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146685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107950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25" w:lineRule="exact"/>
        <w:rPr>
          <w:sz w:val="24"/>
          <w:szCs w:val="24"/>
          <w:color w:val="auto"/>
        </w:rPr>
      </w:pPr>
    </w:p>
    <w:p>
      <w:pPr>
        <w:ind w:left="720" w:hanging="694"/>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2024</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4" w:lineRule="exact"/>
        <w:rPr>
          <w:sz w:val="24"/>
          <w:szCs w:val="24"/>
          <w:color w:val="auto"/>
        </w:rPr>
      </w:pPr>
    </w:p>
    <w:p>
      <w:pPr>
        <w:ind w:left="720" w:hanging="694"/>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ind w:left="38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1-13087 (BXP,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139065</wp:posOffset>
            </wp:positionV>
            <wp:extent cx="264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BXP, INC.</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BOSTON PROPERTIES LIMITED PARTNERSHIP</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114935</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w w:val="97"/>
              </w:rPr>
              <w:t>BXP, Inc.</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04-2473675</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r>
        <w:trPr>
          <w:trHeight w:val="312"/>
        </w:trPr>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rPr>
              <w:t>Boston Properties Limited Partnership</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04-3372948</w:t>
            </w:r>
          </w:p>
        </w:tc>
      </w:tr>
      <w:tr>
        <w:trPr>
          <w:trHeight w:val="215"/>
        </w:trPr>
        <w:tc>
          <w:tcPr>
            <w:tcW w:w="3280" w:type="dxa"/>
            <w:vAlign w:val="bottom"/>
          </w:tcPr>
          <w:p>
            <w:pPr>
              <w:spacing w:after="0"/>
              <w:rPr>
                <w:sz w:val="18"/>
                <w:szCs w:val="18"/>
                <w:color w:val="auto"/>
              </w:rPr>
            </w:pPr>
          </w:p>
        </w:tc>
        <w:tc>
          <w:tcPr>
            <w:tcW w:w="4620" w:type="dxa"/>
            <w:vAlign w:val="bottom"/>
          </w:tcPr>
          <w:p>
            <w:pPr>
              <w:jc w:val="center"/>
              <w:ind w:left="7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236-3300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BOSTON PROPERTIES,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117475</wp:posOffset>
            </wp:positionV>
            <wp:extent cx="2640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rPr>
              <w:t>Registrant</w:t>
            </w:r>
          </w:p>
        </w:tc>
        <w:tc>
          <w:tcPr>
            <w:tcW w:w="28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Title of each class</w:t>
            </w:r>
          </w:p>
        </w:tc>
        <w:tc>
          <w:tcPr>
            <w:tcW w:w="278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9"/>
              </w:rPr>
              <w:t>Trading Symbol(s)</w:t>
            </w:r>
          </w:p>
        </w:tc>
        <w:tc>
          <w:tcPr>
            <w:tcW w:w="28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Name of each</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284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5"/>
              </w:rPr>
              <w:t>BXP, Inc.</w:t>
            </w:r>
          </w:p>
        </w:tc>
        <w:tc>
          <w:tcPr>
            <w:tcW w:w="16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Common Stock, par value $0.01 per</w:t>
            </w:r>
          </w:p>
        </w:tc>
        <w:tc>
          <w:tcPr>
            <w:tcW w:w="180" w:type="dxa"/>
            <w:vAlign w:val="bottom"/>
          </w:tcPr>
          <w:p>
            <w:pPr>
              <w:spacing w:after="0"/>
              <w:rPr>
                <w:sz w:val="13"/>
                <w:szCs w:val="13"/>
                <w:color w:val="auto"/>
              </w:rPr>
            </w:pPr>
          </w:p>
        </w:tc>
        <w:tc>
          <w:tcPr>
            <w:tcW w:w="26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w w:val="99"/>
              </w:rPr>
              <w:t>BXP</w:t>
            </w:r>
          </w:p>
        </w:tc>
        <w:tc>
          <w:tcPr>
            <w:tcW w:w="160" w:type="dxa"/>
            <w:vAlign w:val="bottom"/>
          </w:tcPr>
          <w:p>
            <w:pPr>
              <w:spacing w:after="0"/>
              <w:rPr>
                <w:sz w:val="13"/>
                <w:szCs w:val="13"/>
                <w:color w:val="auto"/>
              </w:rPr>
            </w:pPr>
          </w:p>
        </w:tc>
        <w:tc>
          <w:tcPr>
            <w:tcW w:w="2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color w:val="auto"/>
              </w:rPr>
              <w:t>New York Stock Exchange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share</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9"/>
        </w:trPr>
        <w:tc>
          <w:tcPr>
            <w:tcW w:w="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445"/>
        <w:spacing w:after="0" w:line="27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 w:lineRule="exact"/>
        <w:rPr>
          <w:sz w:val="20"/>
          <w:szCs w:val="20"/>
          <w:color w:val="auto"/>
        </w:rPr>
      </w:pPr>
    </w:p>
    <w:p>
      <w:pPr>
        <w:ind w:left="420"/>
        <w:spacing w:after="0" w:line="196" w:lineRule="exact"/>
        <w:tabs>
          <w:tab w:leader="none" w:pos="1260" w:val="left"/>
          <w:tab w:leader="none" w:pos="1940" w:val="left"/>
          <w:tab w:leader="none" w:pos="2800" w:val="left"/>
          <w:tab w:leader="none" w:pos="5740" w:val="left"/>
          <w:tab w:leader="none" w:pos="6460" w:val="left"/>
        </w:tabs>
        <w:rPr>
          <w:sz w:val="20"/>
          <w:szCs w:val="20"/>
          <w:color w:val="auto"/>
        </w:rPr>
      </w:pPr>
      <w:r>
        <w:rPr>
          <w:rFonts w:ascii="Arial" w:cs="Arial" w:eastAsia="Arial" w:hAnsi="Arial"/>
          <w:sz w:val="16"/>
          <w:szCs w:val="16"/>
          <w:color w:val="auto"/>
        </w:rPr>
        <w:t>BXP, Inc.:</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27"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 w:lineRule="exact"/>
        <w:rPr>
          <w:sz w:val="20"/>
          <w:szCs w:val="20"/>
          <w:color w:val="auto"/>
        </w:rPr>
      </w:pPr>
    </w:p>
    <w:p>
      <w:pPr>
        <w:ind w:left="420"/>
        <w:spacing w:after="0" w:line="196" w:lineRule="exact"/>
        <w:tabs>
          <w:tab w:leader="none" w:pos="1260" w:val="left"/>
          <w:tab w:leader="none" w:pos="1980" w:val="left"/>
          <w:tab w:leader="none" w:pos="2840" w:val="left"/>
          <w:tab w:leader="none" w:pos="5800" w:val="left"/>
          <w:tab w:leader="none" w:pos="6500" w:val="left"/>
        </w:tabs>
        <w:rPr>
          <w:sz w:val="20"/>
          <w:szCs w:val="20"/>
          <w:color w:val="auto"/>
        </w:rPr>
      </w:pPr>
      <w:r>
        <w:rPr>
          <w:rFonts w:ascii="Arial" w:cs="Arial" w:eastAsia="Arial" w:hAnsi="Arial"/>
          <w:sz w:val="16"/>
          <w:szCs w:val="16"/>
          <w:color w:val="auto"/>
        </w:rPr>
        <w:t>BXP, Inc.:</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227" w:lineRule="exact"/>
        <w:rPr>
          <w:sz w:val="20"/>
          <w:szCs w:val="20"/>
          <w:color w:val="auto"/>
        </w:rPr>
      </w:pPr>
    </w:p>
    <w:p>
      <w:pPr>
        <w:ind w:right="180" w:firstLine="445"/>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0"/>
          <w:szCs w:val="20"/>
          <w:color w:val="auto"/>
        </w:rPr>
      </w:pPr>
    </w:p>
    <w:tbl>
      <w:tblPr>
        <w:tblLayout w:type="fixed"/>
        <w:tblInd w:w="42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Arial" w:cs="Arial" w:eastAsia="Arial" w:hAnsi="Arial"/>
                <w:sz w:val="16"/>
                <w:szCs w:val="16"/>
                <w:color w:val="auto"/>
              </w:rPr>
              <w:t>BXP, Inc.:</w:t>
            </w:r>
          </w:p>
        </w:tc>
        <w:tc>
          <w:tcPr>
            <w:tcW w:w="1800" w:type="dxa"/>
            <w:vAlign w:val="bottom"/>
            <w:vMerge w:val="restart"/>
          </w:tcPr>
          <w:p>
            <w:pPr>
              <w:ind w:left="200"/>
              <w:spacing w:after="0" w:line="19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p>
        </w:tc>
        <w:tc>
          <w:tcPr>
            <w:tcW w:w="2160" w:type="dxa"/>
            <w:vAlign w:val="bottom"/>
            <w:vMerge w:val="restart"/>
          </w:tcPr>
          <w:p>
            <w:pPr>
              <w:ind w:left="220"/>
              <w:spacing w:after="0" w:line="196"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p>
        </w:tc>
        <w:tc>
          <w:tcPr>
            <w:tcW w:w="2600" w:type="dxa"/>
            <w:vAlign w:val="bottom"/>
            <w:vMerge w:val="restart"/>
          </w:tcPr>
          <w:p>
            <w:pPr>
              <w:ind w:left="200"/>
              <w:spacing w:after="0" w:line="196"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7"/>
                <w:szCs w:val="17"/>
                <w:color w:val="auto"/>
              </w:rPr>
              <w:t>☐</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60" w:type="dxa"/>
            <w:vAlign w:val="bottom"/>
          </w:tcPr>
          <w:p>
            <w:pPr>
              <w:spacing w:after="0" w:line="164" w:lineRule="exact"/>
              <w:rPr>
                <w:sz w:val="20"/>
                <w:szCs w:val="20"/>
                <w:color w:val="auto"/>
              </w:rPr>
            </w:pPr>
            <w:r>
              <w:rPr>
                <w:rFonts w:ascii="Arial" w:cs="Arial" w:eastAsia="Arial" w:hAnsi="Arial"/>
                <w:sz w:val="16"/>
                <w:szCs w:val="16"/>
                <w:color w:val="auto"/>
              </w:rPr>
              <w:t xml:space="preserve">Large accelerated filer </w:t>
            </w:r>
            <w:r>
              <w:rPr>
                <w:rFonts w:ascii="Wingdings" w:cs="Wingdings" w:eastAsia="Wingdings" w:hAnsi="Wingdings"/>
                <w:sz w:val="16"/>
                <w:szCs w:val="16"/>
                <w:b w:val="1"/>
                <w:bCs w:val="1"/>
                <w:color w:val="auto"/>
              </w:rPr>
              <w:t>x</w:t>
            </w:r>
          </w:p>
        </w:tc>
        <w:tc>
          <w:tcPr>
            <w:tcW w:w="180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420" w:type="dxa"/>
            <w:vAlign w:val="bottom"/>
          </w:tcPr>
          <w:p>
            <w:pPr>
              <w:ind w:left="200"/>
              <w:spacing w:after="0" w:line="164" w:lineRule="exact"/>
              <w:rPr>
                <w:sz w:val="20"/>
                <w:szCs w:val="20"/>
                <w:color w:val="auto"/>
              </w:rPr>
            </w:pPr>
            <w:r>
              <w:rPr>
                <w:rFonts w:ascii="Arial" w:cs="Arial" w:eastAsia="Arial" w:hAnsi="Arial"/>
                <w:sz w:val="16"/>
                <w:szCs w:val="16"/>
                <w:color w:val="auto"/>
                <w:w w:val="99"/>
              </w:rPr>
              <w:t>Emerging growth</w:t>
            </w:r>
          </w:p>
        </w:tc>
        <w:tc>
          <w:tcPr>
            <w:tcW w:w="0" w:type="dxa"/>
            <w:vAlign w:val="bottom"/>
          </w:tcPr>
          <w:p>
            <w:pPr>
              <w:spacing w:after="0"/>
              <w:rPr>
                <w:sz w:val="1"/>
                <w:szCs w:val="1"/>
                <w:color w:val="auto"/>
              </w:rPr>
            </w:pPr>
          </w:p>
        </w:tc>
      </w:tr>
      <w:tr>
        <w:trPr>
          <w:trHeight w:val="303"/>
        </w:trPr>
        <w:tc>
          <w:tcPr>
            <w:tcW w:w="206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Boston Properties Limited Partnership:</w:t>
      </w:r>
    </w:p>
    <w:p>
      <w:pPr>
        <w:spacing w:after="0" w:line="14" w:lineRule="exact"/>
        <w:rPr>
          <w:sz w:val="20"/>
          <w:szCs w:val="20"/>
          <w:color w:val="auto"/>
        </w:rPr>
      </w:pPr>
    </w:p>
    <w:p>
      <w:pPr>
        <w:ind w:left="420" w:right="620"/>
        <w:spacing w:after="0" w:line="23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353"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ind w:left="460"/>
        <w:spacing w:after="0" w:line="184" w:lineRule="exact"/>
        <w:tabs>
          <w:tab w:leader="none" w:pos="2040" w:val="left"/>
        </w:tabs>
        <w:rPr>
          <w:sz w:val="20"/>
          <w:szCs w:val="20"/>
          <w:color w:val="auto"/>
        </w:rPr>
      </w:pPr>
      <w:r>
        <w:rPr>
          <w:rFonts w:ascii="Arial" w:cs="Arial" w:eastAsia="Arial" w:hAnsi="Arial"/>
          <w:sz w:val="16"/>
          <w:szCs w:val="16"/>
          <w:color w:val="auto"/>
        </w:rPr>
        <w:t xml:space="preserve">BXP,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Boston Properties Limited Partnership </w:t>
      </w:r>
      <w:r>
        <w:rPr>
          <w:rFonts w:ascii="MS PGothic" w:cs="MS PGothic" w:eastAsia="MS PGothic" w:hAnsi="MS PGothic"/>
          <w:sz w:val="16"/>
          <w:szCs w:val="16"/>
          <w:color w:val="auto"/>
        </w:rPr>
        <w:t>☐</w:t>
      </w:r>
    </w:p>
    <w:p>
      <w:pPr>
        <w:spacing w:after="0" w:line="2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1" w:lineRule="exact"/>
        <w:rPr>
          <w:sz w:val="20"/>
          <w:szCs w:val="20"/>
          <w:color w:val="auto"/>
        </w:rPr>
      </w:pPr>
    </w:p>
    <w:p>
      <w:pPr>
        <w:ind w:left="420"/>
        <w:spacing w:after="0" w:line="184" w:lineRule="exact"/>
        <w:tabs>
          <w:tab w:leader="none" w:pos="1260" w:val="left"/>
          <w:tab w:leader="none" w:pos="1960" w:val="left"/>
          <w:tab w:leader="none" w:pos="2780" w:val="left"/>
          <w:tab w:leader="none" w:pos="5740" w:val="left"/>
          <w:tab w:leader="none" w:pos="6420" w:val="left"/>
        </w:tabs>
        <w:rPr>
          <w:sz w:val="20"/>
          <w:szCs w:val="20"/>
          <w:color w:val="auto"/>
        </w:rPr>
      </w:pPr>
      <w:r>
        <w:rPr>
          <w:rFonts w:ascii="Arial" w:cs="Arial" w:eastAsia="Arial" w:hAnsi="Arial"/>
          <w:sz w:val="16"/>
          <w:szCs w:val="16"/>
          <w:color w:val="auto"/>
        </w:rPr>
        <w:t>BXP,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Wingdings" w:cs="Wingdings" w:eastAsia="Wingdings" w:hAnsi="Wingdings"/>
          <w:sz w:val="16"/>
          <w:szCs w:val="16"/>
          <w:b w:val="1"/>
          <w:bCs w:val="1"/>
          <w:color w:val="auto"/>
        </w:rPr>
        <w:t>x</w:t>
      </w:r>
    </w:p>
    <w:p>
      <w:pPr>
        <w:spacing w:after="0" w:line="2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jc w:val="center"/>
              <w:ind w:left="859"/>
              <w:spacing w:after="0"/>
              <w:rPr>
                <w:sz w:val="20"/>
                <w:szCs w:val="20"/>
                <w:color w:val="auto"/>
              </w:rPr>
            </w:pPr>
            <w:r>
              <w:rPr>
                <w:rFonts w:ascii="Arial" w:cs="Arial" w:eastAsia="Arial" w:hAnsi="Arial"/>
                <w:sz w:val="16"/>
                <w:szCs w:val="16"/>
                <w:b w:val="1"/>
                <w:bCs w:val="1"/>
                <w:color w:val="auto"/>
                <w:w w:val="97"/>
              </w:rPr>
              <w:t>BXP, Inc.</w:t>
            </w:r>
          </w:p>
        </w:tc>
        <w:tc>
          <w:tcPr>
            <w:tcW w:w="4360" w:type="dxa"/>
            <w:vAlign w:val="bottom"/>
          </w:tcPr>
          <w:p>
            <w:pPr>
              <w:jc w:val="center"/>
              <w:ind w:left="19"/>
              <w:spacing w:after="0"/>
              <w:rPr>
                <w:sz w:val="20"/>
                <w:szCs w:val="20"/>
                <w:color w:val="auto"/>
              </w:rPr>
            </w:pPr>
            <w:r>
              <w:rPr>
                <w:rFonts w:ascii="Arial" w:cs="Arial" w:eastAsia="Arial" w:hAnsi="Arial"/>
                <w:sz w:val="16"/>
                <w:szCs w:val="16"/>
                <w:b w:val="1"/>
                <w:bCs w:val="1"/>
                <w:color w:val="auto"/>
              </w:rPr>
              <w:t>Common Stock, par value $0.01 per share</w:t>
            </w:r>
          </w:p>
        </w:tc>
        <w:tc>
          <w:tcPr>
            <w:tcW w:w="3740" w:type="dxa"/>
            <w:vAlign w:val="bottom"/>
          </w:tcPr>
          <w:p>
            <w:pPr>
              <w:jc w:val="right"/>
              <w:ind w:right="1539"/>
              <w:spacing w:after="0"/>
              <w:rPr>
                <w:sz w:val="20"/>
                <w:szCs w:val="20"/>
                <w:color w:val="auto"/>
              </w:rPr>
            </w:pPr>
            <w:r>
              <w:rPr>
                <w:rFonts w:ascii="Arial" w:cs="Arial" w:eastAsia="Arial" w:hAnsi="Arial"/>
                <w:sz w:val="16"/>
                <w:szCs w:val="16"/>
                <w:b w:val="1"/>
                <w:bCs w:val="1"/>
                <w:color w:val="auto"/>
              </w:rPr>
              <w:t>157,933,760</w:t>
            </w:r>
          </w:p>
        </w:tc>
      </w:tr>
      <w:tr>
        <w:trPr>
          <w:trHeight w:val="223"/>
        </w:trPr>
        <w:tc>
          <w:tcPr>
            <w:tcW w:w="3140" w:type="dxa"/>
            <w:vAlign w:val="bottom"/>
          </w:tcPr>
          <w:p>
            <w:pPr>
              <w:jc w:val="center"/>
              <w:ind w:left="879"/>
              <w:spacing w:after="0"/>
              <w:rPr>
                <w:sz w:val="20"/>
                <w:szCs w:val="20"/>
                <w:color w:val="auto"/>
              </w:rPr>
            </w:pPr>
            <w:r>
              <w:rPr>
                <w:rFonts w:ascii="Arial" w:cs="Arial" w:eastAsia="Arial" w:hAnsi="Arial"/>
                <w:sz w:val="16"/>
                <w:szCs w:val="16"/>
                <w:b w:val="1"/>
                <w:bCs w:val="1"/>
                <w:color w:val="auto"/>
              </w:rPr>
              <w:t>(Registrant)</w:t>
            </w:r>
          </w:p>
        </w:tc>
        <w:tc>
          <w:tcPr>
            <w:tcW w:w="4360" w:type="dxa"/>
            <w:vAlign w:val="bottom"/>
          </w:tcPr>
          <w:p>
            <w:pPr>
              <w:jc w:val="center"/>
              <w:ind w:left="19"/>
              <w:spacing w:after="0"/>
              <w:rPr>
                <w:sz w:val="20"/>
                <w:szCs w:val="20"/>
                <w:color w:val="auto"/>
              </w:rPr>
            </w:pPr>
            <w:r>
              <w:rPr>
                <w:rFonts w:ascii="Arial" w:cs="Arial" w:eastAsia="Arial" w:hAnsi="Arial"/>
                <w:sz w:val="16"/>
                <w:szCs w:val="16"/>
                <w:b w:val="1"/>
                <w:bCs w:val="1"/>
                <w:color w:val="auto"/>
              </w:rPr>
              <w:t>(Class)</w:t>
            </w:r>
          </w:p>
        </w:tc>
        <w:tc>
          <w:tcPr>
            <w:tcW w:w="3740" w:type="dxa"/>
            <w:vAlign w:val="bottom"/>
          </w:tcPr>
          <w:p>
            <w:pPr>
              <w:jc w:val="center"/>
              <w:ind w:right="319"/>
              <w:spacing w:after="0"/>
              <w:rPr>
                <w:sz w:val="20"/>
                <w:szCs w:val="20"/>
                <w:color w:val="auto"/>
              </w:rPr>
            </w:pPr>
            <w:r>
              <w:rPr>
                <w:rFonts w:ascii="Arial" w:cs="Arial" w:eastAsia="Arial" w:hAnsi="Arial"/>
                <w:sz w:val="16"/>
                <w:szCs w:val="16"/>
                <w:b w:val="1"/>
                <w:bCs w:val="1"/>
                <w:color w:val="auto"/>
              </w:rPr>
              <w:t>(Outstanding on July 31, 2024)</w:t>
            </w:r>
          </w:p>
        </w:tc>
      </w:tr>
      <w:tr>
        <w:trPr>
          <w:trHeight w:val="169"/>
        </w:trPr>
        <w:tc>
          <w:tcPr>
            <w:tcW w:w="314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r>
      <w:tr>
        <w:trPr>
          <w:trHeight w:val="34"/>
        </w:trPr>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851"/>
        </w:trPr>
        <w:tc>
          <w:tcPr>
            <w:tcW w:w="31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7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This report combines the Quarterly Reports on Form 10-Q for the period ended June 30, 2024 of BXP, Inc. and Boston Properties Limited Partnership. Unless stated otherwise or the context otherwise requires, references to “BXP” mean BXP, Inc. (formerly known as Boston Properties, Inc.), a Delaware corporation and real estate investment trust (“REIT”), and references to “BPLP” and the “Operating Partnership” mean Boston Properties Limited Partnership, a Delaware limited partnership. Effective July 1, 2024, BXP amended its certificate of incorporation to change its name from Boston Properties, Inc. to BXP, Inc.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refer collectively to BXP, BPLP and those subsidiaries consolidated by BXP.</w:t>
      </w:r>
    </w:p>
    <w:p>
      <w:pPr>
        <w:spacing w:after="0" w:line="12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As of June 30, 2024, BXP owned an approximate 89.1% ownership interest in BPLP. The remaining approximate 10.9% interest was owned by limited partners. The other limited partners of BPLP (1) contributed their direct or indirect interests in properties to BPLP in exchange for common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 number of common units of BPLP that equals the number of shares of BXP common stock so issued. This structure is commonly referred to as an umbrella partnership REIT, or UPREIT.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combining the Quarterly Reports on Form 10-Q of BXP and BPLP into this single report:</w:t>
      </w:r>
    </w:p>
    <w:p>
      <w:pPr>
        <w:spacing w:after="0" w:line="158" w:lineRule="exact"/>
        <w:rPr>
          <w:sz w:val="20"/>
          <w:szCs w:val="20"/>
          <w:color w:val="auto"/>
        </w:rPr>
      </w:pPr>
    </w:p>
    <w:p>
      <w:pPr>
        <w:ind w:left="740" w:right="360" w:hanging="327"/>
        <w:spacing w:after="0" w:line="28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BXP and BPLP by enabling them to view the business as a whole in the same manner as management views and operates the business;</w:t>
      </w:r>
    </w:p>
    <w:p>
      <w:pPr>
        <w:spacing w:after="0" w:line="71" w:lineRule="exact"/>
        <w:rPr>
          <w:rFonts w:ascii="Arial" w:cs="Arial" w:eastAsia="Arial" w:hAnsi="Arial"/>
          <w:sz w:val="18"/>
          <w:szCs w:val="18"/>
          <w:color w:val="auto"/>
        </w:rPr>
      </w:pPr>
    </w:p>
    <w:p>
      <w:pPr>
        <w:ind w:left="740" w:right="540" w:hanging="327"/>
        <w:spacing w:after="0" w:line="28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concise and readable presentation because a substantial portion of the disclosure applies to both BXP and BPLP; and</w:t>
      </w:r>
    </w:p>
    <w:p>
      <w:pPr>
        <w:spacing w:after="0" w:line="8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31"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noncontrolling interests in BPLP’s financial statements include the interests of unaffiliated partners in various consolidated partnerships. The noncontrolling interests in BXP’s financial statements include the same noncontrolling interests in BPLP and limited partners of BPLP. The differences between shareholders’ equity and partners’ capital result from differences in the equity issued by each of BXP and BPLP.</w:t>
      </w:r>
    </w:p>
    <w:p>
      <w:pPr>
        <w:spacing w:after="0" w:line="117"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$239.5 million, or 1.2% at June 30, 2024,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29" w:lineRule="exact"/>
        <w:rPr>
          <w:sz w:val="20"/>
          <w:szCs w:val="20"/>
          <w:color w:val="auto"/>
        </w:rPr>
      </w:pPr>
    </w:p>
    <w:p>
      <w:pPr>
        <w:ind w:right="220" w:firstLine="445"/>
        <w:spacing w:after="0" w:line="287" w:lineRule="auto"/>
        <w:rPr>
          <w:sz w:val="20"/>
          <w:szCs w:val="20"/>
          <w:color w:val="auto"/>
        </w:rPr>
      </w:pPr>
      <w:r>
        <w:rPr>
          <w:rFonts w:ascii="Arial" w:cs="Arial" w:eastAsia="Arial" w:hAnsi="Arial"/>
          <w:sz w:val="18"/>
          <w:szCs w:val="18"/>
          <w:color w:val="auto"/>
        </w:rPr>
        <w:t>To help investors better understand the key differences between BXP and BPLP, the following items in this report present information separately for BXP and BPLP:</w:t>
      </w:r>
    </w:p>
    <w:p>
      <w:pPr>
        <w:spacing w:after="0" w:line="99" w:lineRule="exact"/>
        <w:rPr>
          <w:sz w:val="20"/>
          <w:szCs w:val="20"/>
          <w:color w:val="auto"/>
        </w:rPr>
      </w:pPr>
    </w:p>
    <w:p>
      <w:pPr>
        <w:ind w:left="1300" w:hanging="239"/>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1. Financial Statements (unaudited), which includes the following specific disclosures for BXP and BPLP:</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3. Real Estate;</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10. Stockholders’ Equity / Partners’ Capital;</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11. Segment Information; and</w:t>
      </w:r>
    </w:p>
    <w:p>
      <w:pPr>
        <w:spacing w:after="0" w:line="171" w:lineRule="exact"/>
        <w:rPr>
          <w:rFonts w:ascii="Arial" w:cs="Arial" w:eastAsia="Arial" w:hAnsi="Arial"/>
          <w:sz w:val="18"/>
          <w:szCs w:val="18"/>
          <w:color w:val="auto"/>
        </w:rPr>
      </w:pPr>
    </w:p>
    <w:p>
      <w:pPr>
        <w:ind w:left="1940" w:hanging="191"/>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12. Earnings Per Share / Common Unit</w:t>
      </w:r>
    </w:p>
    <w:p>
      <w:pPr>
        <w:spacing w:after="0" w:line="171" w:lineRule="exact"/>
        <w:rPr>
          <w:rFonts w:ascii="Arial" w:cs="Arial" w:eastAsia="Arial" w:hAnsi="Arial"/>
          <w:sz w:val="18"/>
          <w:szCs w:val="18"/>
          <w:color w:val="auto"/>
        </w:rPr>
      </w:pPr>
    </w:p>
    <w:p>
      <w:pPr>
        <w:ind w:left="1300" w:right="220" w:hanging="239"/>
        <w:spacing w:after="0" w:line="287" w:lineRule="auto"/>
        <w:tabs>
          <w:tab w:leader="none" w:pos="1291"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Management’s Discussion and Analysis of Financial Condition and Results of Operations and Liquidity and Capital Resources, includes information specific to each entity, where applicable.</w:t>
      </w:r>
    </w:p>
    <w:p>
      <w:pPr>
        <w:spacing w:after="0" w:line="99" w:lineRule="exact"/>
        <w:rPr>
          <w:sz w:val="20"/>
          <w:szCs w:val="20"/>
          <w:color w:val="auto"/>
        </w:rPr>
      </w:pPr>
    </w:p>
    <w:p>
      <w:pPr>
        <w:ind w:right="80" w:firstLine="445"/>
        <w:spacing w:after="0" w:line="318"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Arial" w:cs="Arial" w:eastAsia="Arial" w:hAnsi="Arial"/>
                <w:sz w:val="18"/>
                <w:szCs w:val="18"/>
                <w:color w:val="0000FF"/>
              </w:rPr>
              <w:t>Table of Contents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1"/>
        </w:trPr>
        <w:tc>
          <w:tcPr>
            <w:tcW w:w="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gridSpan w:val="16"/>
          </w:tcPr>
          <w:p>
            <w:pPr>
              <w:jc w:val="center"/>
              <w:ind w:right="1900"/>
              <w:spacing w:after="0"/>
              <w:rPr>
                <w:sz w:val="20"/>
                <w:szCs w:val="20"/>
                <w:color w:val="auto"/>
              </w:rPr>
            </w:pPr>
            <w:r>
              <w:rPr>
                <w:rFonts w:ascii="Arial" w:cs="Arial" w:eastAsia="Arial" w:hAnsi="Arial"/>
                <w:sz w:val="18"/>
                <w:szCs w:val="18"/>
                <w:b w:val="1"/>
                <w:bCs w:val="1"/>
                <w:color w:val="auto"/>
                <w:w w:val="99"/>
              </w:rPr>
              <w:t>BXP, INC. AND BOSTON PROPERTIES LIMITED PARTNERSHIP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gridSpan w:val="10"/>
          </w:tcPr>
          <w:p>
            <w:pPr>
              <w:jc w:val="center"/>
              <w:ind w:right="4160"/>
              <w:spacing w:after="0"/>
              <w:rPr>
                <w:sz w:val="20"/>
                <w:szCs w:val="20"/>
                <w:color w:val="auto"/>
              </w:rPr>
            </w:pPr>
            <w:r>
              <w:rPr>
                <w:rFonts w:ascii="Arial" w:cs="Arial" w:eastAsia="Arial" w:hAnsi="Arial"/>
                <w:sz w:val="18"/>
                <w:szCs w:val="18"/>
                <w:b w:val="1"/>
                <w:bCs w:val="1"/>
                <w:color w:val="auto"/>
                <w:w w:val="99"/>
              </w:rPr>
              <w:t>FORM 10-Q</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60" w:type="dxa"/>
            <w:vAlign w:val="bottom"/>
            <w:gridSpan w:val="11"/>
          </w:tcPr>
          <w:p>
            <w:pPr>
              <w:jc w:val="center"/>
              <w:ind w:right="3020"/>
              <w:spacing w:after="0"/>
              <w:rPr>
                <w:sz w:val="20"/>
                <w:szCs w:val="20"/>
                <w:color w:val="auto"/>
              </w:rPr>
            </w:pPr>
            <w:r>
              <w:rPr>
                <w:rFonts w:ascii="Arial" w:cs="Arial" w:eastAsia="Arial" w:hAnsi="Arial"/>
                <w:sz w:val="18"/>
                <w:szCs w:val="18"/>
                <w:b w:val="1"/>
                <w:bCs w:val="1"/>
                <w:color w:val="auto"/>
              </w:rPr>
              <w:t>for the quarter ended June 30, 2024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60" w:type="dxa"/>
            <w:vAlign w:val="bottom"/>
            <w:gridSpan w:val="11"/>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2960" w:type="dxa"/>
            <w:vAlign w:val="bottom"/>
            <w:gridSpan w:val="9"/>
            <w:vMerge w:val="restart"/>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7480" w:type="dxa"/>
            <w:vAlign w:val="bottom"/>
            <w:gridSpan w:val="15"/>
            <w:vMerge w:val="restart"/>
          </w:tcPr>
          <w:p>
            <w:pPr>
              <w:spacing w:after="0"/>
              <w:rPr>
                <w:sz w:val="24"/>
                <w:szCs w:val="24"/>
                <w:color w:val="auto"/>
              </w:rPr>
            </w:pPr>
          </w:p>
        </w:tc>
        <w:tc>
          <w:tcPr>
            <w:tcW w:w="7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60" w:type="dxa"/>
            <w:vAlign w:val="bottom"/>
            <w:tcBorders>
              <w:bottom w:val="single" w:sz="8" w:color="0000FF"/>
            </w:tcBorders>
            <w:gridSpan w:val="9"/>
            <w:vMerge w:val="continue"/>
          </w:tcPr>
          <w:p>
            <w:pPr>
              <w:spacing w:after="0"/>
              <w:rPr>
                <w:sz w:val="14"/>
                <w:szCs w:val="14"/>
                <w:color w:val="auto"/>
              </w:rPr>
            </w:pPr>
          </w:p>
        </w:tc>
        <w:tc>
          <w:tcPr>
            <w:tcW w:w="7480" w:type="dxa"/>
            <w:vAlign w:val="bottom"/>
            <w:gridSpan w:val="15"/>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3"/>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auto"/>
              </w:rPr>
              <w:t>BXP, Inc.</w:t>
            </w: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9300" w:type="dxa"/>
            <w:vAlign w:val="bottom"/>
            <w:gridSpan w:val="23"/>
            <w:vMerge w:val="restart"/>
          </w:tcPr>
          <w:p>
            <w:pPr>
              <w:spacing w:after="0"/>
              <w:rPr>
                <w:sz w:val="20"/>
                <w:szCs w:val="20"/>
                <w:color w:val="auto"/>
              </w:rPr>
            </w:pPr>
            <w:r>
              <w:rPr>
                <w:rFonts w:ascii="Arial" w:cs="Arial" w:eastAsia="Arial" w:hAnsi="Arial"/>
                <w:sz w:val="18"/>
                <w:szCs w:val="18"/>
                <w:color w:val="0000FF"/>
              </w:rPr>
              <w:t>a) Consolidated Balance Sheets as of June 30, 2024 and December 31, 2023</w:t>
            </w:r>
          </w:p>
        </w:tc>
        <w:tc>
          <w:tcPr>
            <w:tcW w:w="780" w:type="dxa"/>
            <w:vAlign w:val="bottom"/>
            <w:gridSpan w:val="5"/>
            <w:vMerge w:val="restart"/>
          </w:tcPr>
          <w:p>
            <w:pPr>
              <w:jc w:val="right"/>
              <w:ind w:right="2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300" w:type="dxa"/>
            <w:vAlign w:val="bottom"/>
            <w:gridSpan w:val="23"/>
            <w:vMerge w:val="continue"/>
          </w:tcPr>
          <w:p>
            <w:pPr>
              <w:spacing w:after="0"/>
              <w:rPr>
                <w:sz w:val="16"/>
                <w:szCs w:val="16"/>
                <w:color w:val="auto"/>
              </w:rPr>
            </w:pPr>
          </w:p>
        </w:tc>
        <w:tc>
          <w:tcPr>
            <w:tcW w:w="78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180" w:type="dxa"/>
            <w:vAlign w:val="bottom"/>
            <w:gridSpan w:val="20"/>
          </w:tcPr>
          <w:p>
            <w:pPr>
              <w:spacing w:after="0"/>
              <w:rPr>
                <w:sz w:val="20"/>
                <w:szCs w:val="20"/>
                <w:color w:val="auto"/>
              </w:rPr>
            </w:pPr>
            <w:r>
              <w:rPr>
                <w:rFonts w:ascii="Arial" w:cs="Arial" w:eastAsia="Arial" w:hAnsi="Arial"/>
                <w:sz w:val="18"/>
                <w:szCs w:val="18"/>
                <w:color w:val="0000FF"/>
                <w:w w:val="99"/>
              </w:rPr>
              <w:t>b) Consolidated Statements of Operations for the three and six months ended June 30, 2024 and 2023</w:t>
            </w:r>
          </w:p>
        </w:tc>
        <w:tc>
          <w:tcPr>
            <w:tcW w:w="1120" w:type="dxa"/>
            <w:vAlign w:val="bottom"/>
            <w:gridSpan w:val="3"/>
          </w:tcPr>
          <w:p>
            <w:pPr>
              <w:spacing w:after="0"/>
              <w:rPr>
                <w:sz w:val="18"/>
                <w:szCs w:val="18"/>
                <w:color w:val="auto"/>
              </w:rPr>
            </w:pPr>
          </w:p>
        </w:tc>
        <w:tc>
          <w:tcPr>
            <w:tcW w:w="660" w:type="dxa"/>
            <w:vAlign w:val="bottom"/>
            <w:gridSpan w:val="3"/>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00" w:type="dxa"/>
            <w:vAlign w:val="bottom"/>
            <w:gridSpan w:val="23"/>
          </w:tcPr>
          <w:p>
            <w:pPr>
              <w:spacing w:after="0"/>
              <w:rPr>
                <w:sz w:val="20"/>
                <w:szCs w:val="20"/>
                <w:color w:val="auto"/>
              </w:rPr>
            </w:pPr>
            <w:r>
              <w:rPr>
                <w:rFonts w:ascii="Arial" w:cs="Arial" w:eastAsia="Arial" w:hAnsi="Arial"/>
                <w:sz w:val="18"/>
                <w:szCs w:val="18"/>
                <w:color w:val="0000FF"/>
              </w:rPr>
              <w:t>c) Consolidated Statements of Comprehensive Income for the three and six months ended June 30, 2024 and 2023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0" w:type="dxa"/>
            <w:vAlign w:val="bottom"/>
            <w:gridSpan w:val="19"/>
          </w:tcPr>
          <w:p>
            <w:pPr>
              <w:spacing w:after="0"/>
              <w:rPr>
                <w:sz w:val="20"/>
                <w:szCs w:val="20"/>
                <w:color w:val="auto"/>
              </w:rPr>
            </w:pPr>
            <w:r>
              <w:rPr>
                <w:rFonts w:ascii="Arial" w:cs="Arial" w:eastAsia="Arial" w:hAnsi="Arial"/>
                <w:sz w:val="18"/>
                <w:szCs w:val="18"/>
                <w:color w:val="0000FF"/>
                <w:w w:val="99"/>
              </w:rPr>
              <w:t>d) Consolidated Statements of Equity for the three and six months ended June 30, 2024 and 2023</w:t>
            </w:r>
          </w:p>
        </w:tc>
        <w:tc>
          <w:tcPr>
            <w:tcW w:w="13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0" w:type="dxa"/>
            <w:vAlign w:val="bottom"/>
            <w:gridSpan w:val="19"/>
          </w:tcPr>
          <w:p>
            <w:pPr>
              <w:spacing w:after="0"/>
              <w:rPr>
                <w:sz w:val="20"/>
                <w:szCs w:val="20"/>
                <w:color w:val="auto"/>
              </w:rPr>
            </w:pPr>
            <w:r>
              <w:rPr>
                <w:rFonts w:ascii="Arial" w:cs="Arial" w:eastAsia="Arial" w:hAnsi="Arial"/>
                <w:sz w:val="18"/>
                <w:szCs w:val="18"/>
                <w:color w:val="0000FF"/>
              </w:rPr>
              <w:t>e) Consolidated Statements of Cash Flows for the six months ended June 30, 2024 and 2023</w:t>
            </w:r>
          </w:p>
        </w:tc>
        <w:tc>
          <w:tcPr>
            <w:tcW w:w="1500" w:type="dxa"/>
            <w:vAlign w:val="bottom"/>
            <w:gridSpan w:val="4"/>
          </w:tcPr>
          <w:p>
            <w:pPr>
              <w:spacing w:after="0"/>
              <w:rPr>
                <w:sz w:val="18"/>
                <w:szCs w:val="18"/>
                <w:color w:val="auto"/>
              </w:rPr>
            </w:pPr>
          </w:p>
        </w:tc>
        <w:tc>
          <w:tcPr>
            <w:tcW w:w="660" w:type="dxa"/>
            <w:vAlign w:val="bottom"/>
            <w:gridSpan w:val="3"/>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Boston Properties Limited Partnership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300" w:type="dxa"/>
            <w:vAlign w:val="bottom"/>
            <w:gridSpan w:val="23"/>
          </w:tcPr>
          <w:p>
            <w:pPr>
              <w:spacing w:after="0" w:line="195" w:lineRule="exact"/>
              <w:rPr>
                <w:sz w:val="20"/>
                <w:szCs w:val="20"/>
                <w:color w:val="auto"/>
              </w:rPr>
            </w:pPr>
            <w:r>
              <w:rPr>
                <w:rFonts w:ascii="Arial" w:cs="Arial" w:eastAsia="Arial" w:hAnsi="Arial"/>
                <w:sz w:val="18"/>
                <w:szCs w:val="18"/>
                <w:color w:val="0000FF"/>
              </w:rPr>
              <w:t>a) Consolidated Balance Sheets as of June 30, 2024 and December 31, 2023</w:t>
            </w:r>
          </w:p>
        </w:tc>
        <w:tc>
          <w:tcPr>
            <w:tcW w:w="780" w:type="dxa"/>
            <w:vAlign w:val="bottom"/>
            <w:gridSpan w:val="5"/>
          </w:tcPr>
          <w:p>
            <w:pPr>
              <w:jc w:val="right"/>
              <w:ind w:right="20"/>
              <w:spacing w:after="0" w:line="195" w:lineRule="exact"/>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180" w:type="dxa"/>
            <w:vAlign w:val="bottom"/>
            <w:gridSpan w:val="20"/>
          </w:tcPr>
          <w:p>
            <w:pPr>
              <w:spacing w:after="0"/>
              <w:rPr>
                <w:sz w:val="20"/>
                <w:szCs w:val="20"/>
                <w:color w:val="auto"/>
              </w:rPr>
            </w:pPr>
            <w:r>
              <w:rPr>
                <w:rFonts w:ascii="Arial" w:cs="Arial" w:eastAsia="Arial" w:hAnsi="Arial"/>
                <w:sz w:val="18"/>
                <w:szCs w:val="18"/>
                <w:color w:val="0000FF"/>
                <w:w w:val="99"/>
              </w:rPr>
              <w:t>b) Consolidated Statements of Operations for the three and six months ended June 30, 2024 and 2023</w:t>
            </w:r>
          </w:p>
        </w:tc>
        <w:tc>
          <w:tcPr>
            <w:tcW w:w="1120" w:type="dxa"/>
            <w:vAlign w:val="bottom"/>
            <w:gridSpan w:val="3"/>
          </w:tcPr>
          <w:p>
            <w:pPr>
              <w:spacing w:after="0"/>
              <w:rPr>
                <w:sz w:val="18"/>
                <w:szCs w:val="18"/>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300" w:type="dxa"/>
            <w:vAlign w:val="bottom"/>
            <w:gridSpan w:val="23"/>
          </w:tcPr>
          <w:p>
            <w:pPr>
              <w:spacing w:after="0"/>
              <w:rPr>
                <w:sz w:val="20"/>
                <w:szCs w:val="20"/>
                <w:color w:val="auto"/>
              </w:rPr>
            </w:pPr>
            <w:r>
              <w:rPr>
                <w:rFonts w:ascii="Arial" w:cs="Arial" w:eastAsia="Arial" w:hAnsi="Arial"/>
                <w:sz w:val="18"/>
                <w:szCs w:val="18"/>
                <w:color w:val="0000FF"/>
              </w:rPr>
              <w:t>c) Consolidated Statements of Comprehensive Income for the three and six months ended June 30, 2024 and 2023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180" w:type="dxa"/>
            <w:vAlign w:val="bottom"/>
            <w:gridSpan w:val="22"/>
          </w:tcPr>
          <w:p>
            <w:pPr>
              <w:spacing w:after="0"/>
              <w:rPr>
                <w:sz w:val="20"/>
                <w:szCs w:val="20"/>
                <w:color w:val="auto"/>
              </w:rPr>
            </w:pPr>
            <w:r>
              <w:rPr>
                <w:rFonts w:ascii="Arial" w:cs="Arial" w:eastAsia="Arial" w:hAnsi="Arial"/>
                <w:sz w:val="18"/>
                <w:szCs w:val="18"/>
                <w:color w:val="0000FF"/>
              </w:rPr>
              <w:t>d) Consolidated Statements of Capital and Noncontrolling Interests for the three and six months ended June 30,</w:t>
            </w:r>
          </w:p>
        </w:tc>
        <w:tc>
          <w:tcPr>
            <w:tcW w:w="1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66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2024 and 2023</w:t>
            </w:r>
          </w:p>
        </w:tc>
        <w:tc>
          <w:tcPr>
            <w:tcW w:w="40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300" w:type="dxa"/>
            <w:vAlign w:val="bottom"/>
            <w:gridSpan w:val="23"/>
          </w:tcPr>
          <w:p>
            <w:pPr>
              <w:spacing w:after="0"/>
              <w:rPr>
                <w:sz w:val="20"/>
                <w:szCs w:val="20"/>
                <w:color w:val="auto"/>
              </w:rPr>
            </w:pPr>
            <w:r>
              <w:rPr>
                <w:rFonts w:ascii="Arial" w:cs="Arial" w:eastAsia="Arial" w:hAnsi="Arial"/>
                <w:sz w:val="18"/>
                <w:szCs w:val="18"/>
                <w:color w:val="0000FF"/>
              </w:rPr>
              <w:t>e) Consolidated Statements of Cash Flows for the six months ended June 30, 2024 and 2023</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color w:val="auto"/>
              </w:rPr>
              <w:t>BXP, Inc. and Boston Properties Limited Partnership</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300" w:type="dxa"/>
            <w:vAlign w:val="bottom"/>
            <w:gridSpan w:val="23"/>
          </w:tcPr>
          <w:p>
            <w:pPr>
              <w:spacing w:after="0" w:line="195" w:lineRule="exact"/>
              <w:rPr>
                <w:sz w:val="20"/>
                <w:szCs w:val="20"/>
                <w:color w:val="auto"/>
              </w:rPr>
            </w:pPr>
            <w:r>
              <w:rPr>
                <w:rFonts w:ascii="Arial" w:cs="Arial" w:eastAsia="Arial" w:hAnsi="Arial"/>
                <w:sz w:val="18"/>
                <w:szCs w:val="18"/>
                <w:color w:val="0000FF"/>
              </w:rPr>
              <w:t>Notes to the Consolidated Financial Statements</w:t>
            </w:r>
          </w:p>
        </w:tc>
        <w:tc>
          <w:tcPr>
            <w:tcW w:w="780" w:type="dxa"/>
            <w:vAlign w:val="bottom"/>
            <w:gridSpan w:val="5"/>
          </w:tcPr>
          <w:p>
            <w:pPr>
              <w:jc w:val="right"/>
              <w:ind w:right="20"/>
              <w:spacing w:after="0" w:line="195" w:lineRule="exact"/>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6"/>
          </w:tcPr>
          <w:p>
            <w:pPr>
              <w:spacing w:after="0"/>
              <w:rPr>
                <w:sz w:val="24"/>
                <w:szCs w:val="24"/>
                <w:color w:val="auto"/>
              </w:rPr>
            </w:pPr>
          </w:p>
        </w:tc>
        <w:tc>
          <w:tcPr>
            <w:tcW w:w="580" w:type="dxa"/>
            <w:vAlign w:val="bottom"/>
            <w:gridSpan w:val="2"/>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220" w:type="dxa"/>
            <w:vAlign w:val="bottom"/>
            <w:gridSpan w:val="6"/>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gridSpan w:val="4"/>
          </w:tcPr>
          <w:p>
            <w:pPr>
              <w:spacing w:after="0"/>
              <w:rPr>
                <w:sz w:val="18"/>
                <w:szCs w:val="18"/>
                <w:color w:val="auto"/>
              </w:rPr>
            </w:pPr>
          </w:p>
        </w:tc>
        <w:tc>
          <w:tcPr>
            <w:tcW w:w="4600" w:type="dxa"/>
            <w:vAlign w:val="bottom"/>
            <w:gridSpan w:val="9"/>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b w:val="1"/>
                <w:bCs w:val="1"/>
                <w:color w:val="0000FF"/>
              </w:rPr>
              <w:t>PART II. OTHER INFORMATION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20" w:type="dxa"/>
            <w:vAlign w:val="bottom"/>
            <w:tcBorders>
              <w:top w:val="single" w:sz="8" w:color="0000FF"/>
            </w:tcBorders>
          </w:tcPr>
          <w:p>
            <w:pPr>
              <w:spacing w:after="0"/>
              <w:rPr>
                <w:sz w:val="18"/>
                <w:szCs w:val="18"/>
                <w:color w:val="auto"/>
              </w:rPr>
            </w:pPr>
          </w:p>
        </w:tc>
        <w:tc>
          <w:tcPr>
            <w:tcW w:w="7780" w:type="dxa"/>
            <w:vAlign w:val="bottom"/>
            <w:gridSpan w:val="16"/>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8300" w:type="dxa"/>
            <w:vAlign w:val="bottom"/>
            <w:gridSpan w:val="19"/>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8"/>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1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9"/>
              </w:rPr>
              <w:t>Other Information</w:t>
            </w:r>
          </w:p>
        </w:tc>
        <w:tc>
          <w:tcPr>
            <w:tcW w:w="480" w:type="dxa"/>
            <w:vAlign w:val="bottom"/>
            <w:tcBorders>
              <w:top w:val="single" w:sz="8" w:color="0000FF"/>
            </w:tcBorders>
            <w:gridSpan w:val="4"/>
          </w:tcPr>
          <w:p>
            <w:pPr>
              <w:spacing w:after="0"/>
              <w:rPr>
                <w:sz w:val="18"/>
                <w:szCs w:val="18"/>
                <w:color w:val="auto"/>
              </w:rPr>
            </w:pPr>
          </w:p>
        </w:tc>
        <w:tc>
          <w:tcPr>
            <w:tcW w:w="738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300" w:type="dxa"/>
            <w:vAlign w:val="bottom"/>
            <w:gridSpan w:val="23"/>
          </w:tcPr>
          <w:p>
            <w:pPr>
              <w:spacing w:after="0"/>
              <w:rPr>
                <w:sz w:val="20"/>
                <w:szCs w:val="20"/>
                <w:color w:val="auto"/>
              </w:rPr>
            </w:pPr>
            <w:r>
              <w:rPr>
                <w:rFonts w:ascii="Arial" w:cs="Arial" w:eastAsia="Arial" w:hAnsi="Arial"/>
                <w:sz w:val="18"/>
                <w:szCs w:val="18"/>
                <w:color w:val="0000FF"/>
              </w:rPr>
              <w:t>Exhibits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8680" w:type="dxa"/>
            <w:vAlign w:val="bottom"/>
            <w:gridSpan w:val="2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440" w:type="dxa"/>
            <w:vAlign w:val="bottom"/>
            <w:gridSpan w:val="24"/>
          </w:tcPr>
          <w:p>
            <w:pPr>
              <w:spacing w:after="0"/>
              <w:rPr>
                <w:sz w:val="20"/>
                <w:szCs w:val="20"/>
                <w:color w:val="auto"/>
              </w:rPr>
            </w:pPr>
            <w:r>
              <w:rPr>
                <w:rFonts w:ascii="Arial" w:cs="Arial" w:eastAsia="Arial" w:hAnsi="Arial"/>
                <w:sz w:val="18"/>
                <w:szCs w:val="18"/>
                <w:b w:val="1"/>
                <w:bCs w:val="1"/>
                <w:color w:val="0000FF"/>
              </w:rPr>
              <w:t>SIGNATURES</w:t>
            </w:r>
          </w:p>
        </w:tc>
        <w:tc>
          <w:tcPr>
            <w:tcW w:w="760" w:type="dxa"/>
            <w:vAlign w:val="bottom"/>
            <w:gridSpan w:val="4"/>
          </w:tcPr>
          <w:p>
            <w:pPr>
              <w:jc w:val="right"/>
              <w:spacing w:after="0"/>
              <w:rPr>
                <w:sz w:val="20"/>
                <w:szCs w:val="20"/>
                <w:color w:val="auto"/>
              </w:rPr>
            </w:pPr>
            <w:r>
              <w:rPr>
                <w:rFonts w:ascii="Arial" w:cs="Arial" w:eastAsia="Arial" w:hAnsi="Arial"/>
                <w:sz w:val="18"/>
                <w:szCs w:val="18"/>
                <w:color w:val="0000FF"/>
              </w:rPr>
              <w:t>104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20" w:type="dxa"/>
            <w:vAlign w:val="bottom"/>
            <w:tcBorders>
              <w:bottom w:val="single" w:sz="8" w:color="9A9A9A"/>
            </w:tcBorders>
          </w:tcPr>
          <w:p>
            <w:pPr>
              <w:spacing w:after="0"/>
              <w:rPr>
                <w:sz w:val="24"/>
                <w:szCs w:val="24"/>
                <w:color w:val="auto"/>
              </w:rPr>
            </w:pPr>
          </w:p>
        </w:tc>
        <w:tc>
          <w:tcPr>
            <w:tcW w:w="11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BXP,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2024</w:t>
            </w: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$7,490,887 and $7,054,075 at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27,273,494</w:t>
            </w:r>
          </w:p>
        </w:tc>
        <w:tc>
          <w:tcPr>
            <w:tcW w:w="20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26,749,209</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June 30, 2024 and December 31, 2023, respectively)</w:t>
            </w:r>
          </w:p>
        </w:tc>
        <w:tc>
          <w:tcPr>
            <w:tcW w:w="1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June 30, 2024 and</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372,896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401,680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Right of use assets - operating leases (amounts related to VIEs of $149,605 and $158,885 at June 30, 2024</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344,292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324,298</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$(1,570,934) and $(1,501,483) at June 30,</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(7,198,566)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(6,881,728)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real estate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20,792,116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20,593,459</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$378,992 and $245,317 at June 30, 2024 and</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685,376</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Cash held in escrows (amounts related to VIEs of $6,805 and $22,160 at June 30, 2024 and December 31,</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52,125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81,090</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2023,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36,337</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$17,481 and $27,987 at June 30, 2024 and</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82,145</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122,407</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 receivable,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Related party note receivable,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88,779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88,779</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Sales-type lease receivable,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Accrued rental income, net (amounts related to VIEs of $416,840 and $401,159 at June 30, 2024 and</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1,414,622</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1,355,212</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Deferred charges, net (amounts related to VIEs of $193,650 and $175,383 at June 30, 2024 and</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800,099</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760,421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Prepaid expenses and other assets (amounts related to VIEs of $14,753 and $11,824 at June 30, 2024 and</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86,188</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64,230</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December 31, 2023,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1,418,817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1,377,319</w:t>
            </w: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25,474,448</w:t>
            </w:r>
          </w:p>
        </w:tc>
        <w:tc>
          <w:tcPr>
            <w:tcW w:w="20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26,026,149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20" w:type="dxa"/>
            <w:vAlign w:val="bottom"/>
            <w:shd w:val="clear" w:color="auto" w:fill="CCEEFF"/>
          </w:tcPr>
          <w:p>
            <w:pPr>
              <w:ind w:left="294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Mortgage notes payable, net (amounts related to VIEs of $3,279,606 and $3,277,185 at June 30, 2024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4,371,478</w:t>
            </w: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4,166,379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Unsecured senior notes,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9,797,220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10,491,617</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Unsecured line of credit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Unsecured term loan,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698,776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1,198,301</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Unsecured commercial paper</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Arial" w:cs="Arial" w:eastAsia="Arial" w:hAnsi="Arial"/>
                <w:sz w:val="16"/>
                <w:szCs w:val="16"/>
                <w:color w:val="auto"/>
              </w:rPr>
              <w:t>Lease liabilities - finance leases (amounts related to VIEs of $20,864 and $20,794 at June 30, 2024 and</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375,601</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417,961</w:t>
            </w:r>
          </w:p>
        </w:tc>
        <w:tc>
          <w:tcPr>
            <w:tcW w:w="0" w:type="dxa"/>
            <w:vAlign w:val="bottom"/>
          </w:tcPr>
          <w:p>
            <w:pPr>
              <w:spacing w:after="0"/>
              <w:rPr>
                <w:sz w:val="1"/>
                <w:szCs w:val="1"/>
                <w:color w:val="auto"/>
              </w:rPr>
            </w:pPr>
          </w:p>
        </w:tc>
      </w:tr>
      <w:tr>
        <w:trPr>
          <w:trHeight w:val="215"/>
        </w:trPr>
        <w:tc>
          <w:tcPr>
            <w:tcW w:w="8020" w:type="dxa"/>
            <w:vAlign w:val="bottom"/>
          </w:tcPr>
          <w:p>
            <w:pPr>
              <w:ind w:left="680"/>
              <w:spacing w:after="0"/>
              <w:rPr>
                <w:sz w:val="20"/>
                <w:szCs w:val="20"/>
                <w:color w:val="auto"/>
              </w:rPr>
            </w:pPr>
            <w:r>
              <w:rPr>
                <w:rFonts w:ascii="Arial" w:cs="Arial" w:eastAsia="Arial" w:hAnsi="Arial"/>
                <w:sz w:val="16"/>
                <w:szCs w:val="16"/>
                <w:color w:val="auto"/>
              </w:rPr>
              <w:t>December 31, 2023,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operating leases (amounts related to VIEs of $151,643 and $145,826 at June 30, 2024</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385,842</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350,391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and December 31, 2023, respectively)</w:t>
            </w: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Arial" w:cs="Arial" w:eastAsia="Arial" w:hAnsi="Arial"/>
                <w:sz w:val="16"/>
                <w:szCs w:val="16"/>
                <w:color w:val="auto"/>
              </w:rPr>
              <w:t>Accounts payable and accrued expenses (amounts related to VIEs of $103,662 and $59,667 at June 30,</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372,484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458,329</w:t>
            </w:r>
          </w:p>
        </w:tc>
        <w:tc>
          <w:tcPr>
            <w:tcW w:w="0" w:type="dxa"/>
            <w:vAlign w:val="bottom"/>
          </w:tcPr>
          <w:p>
            <w:pPr>
              <w:spacing w:after="0"/>
              <w:rPr>
                <w:sz w:val="1"/>
                <w:szCs w:val="1"/>
                <w:color w:val="auto"/>
              </w:rPr>
            </w:pPr>
          </w:p>
        </w:tc>
      </w:tr>
      <w:tr>
        <w:trPr>
          <w:trHeight w:val="215"/>
        </w:trPr>
        <w:tc>
          <w:tcPr>
            <w:tcW w:w="8020" w:type="dxa"/>
            <w:vAlign w:val="bottom"/>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and distributions payable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172,172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171,176</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112,107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133,684</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Other liabilities (amounts related to VIEs of $95,202 and $115,275 at June 30, 2024 and December 31,</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398,525</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445,947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2023,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17,184,205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17,833,785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83" w:right="359"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BXP, INC.</w:t>
      </w:r>
    </w:p>
    <w:p>
      <w:pPr>
        <w:spacing w:after="0" w:line="5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2024</w:t>
            </w: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Redeemable deferred stock units— 128,584 and 119,471 units outstanding at redemption value at June 30,</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7,916</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Stockholders’ equity attributable to BXP, Inc.:</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Preferred stock, $0.01 par value, 50,000,000 shares authorized, none issued or outstanding</w:t>
            </w:r>
          </w:p>
        </w:tc>
        <w:tc>
          <w:tcPr>
            <w:tcW w:w="18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stock, $0.01 par value, 250,000,000 shares authorized, 157,176,741 and 157,019,766 issued</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680"/>
              <w:spacing w:after="0" w:line="162" w:lineRule="exact"/>
              <w:rPr>
                <w:sz w:val="20"/>
                <w:szCs w:val="20"/>
                <w:color w:val="auto"/>
              </w:rPr>
            </w:pPr>
            <w:r>
              <w:rPr>
                <w:rFonts w:ascii="Arial" w:cs="Arial" w:eastAsia="Arial" w:hAnsi="Arial"/>
                <w:sz w:val="16"/>
                <w:szCs w:val="16"/>
                <w:color w:val="auto"/>
              </w:rPr>
              <w:t>and 157,097,841 and 156,940,866 outstanding at June 30, 2024 and December 31, 2023,</w:t>
            </w: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6,768,686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6,715,149</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in excess of earnings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(964,518)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(816,152)</w:t>
            </w: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Treasury common stock at cost, 78,900 shares at June 30, 2024 and December 31, 2023</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stockholders’ equity attributable to BXP, Inc.</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5,802,862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5,876,697</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Common units of Boston Properties Limited Partnership</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677,789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666,580</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1,801,676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1,640,704</w:t>
            </w: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8,282,327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8,183,981</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25,474,448</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26,026,149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BXP,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100" w:type="dxa"/>
            <w:vAlign w:val="bottom"/>
          </w:tcPr>
          <w:p>
            <w:pPr>
              <w:spacing w:after="0"/>
              <w:rPr>
                <w:sz w:val="16"/>
                <w:szCs w:val="16"/>
                <w:color w:val="auto"/>
              </w:rPr>
            </w:pPr>
          </w:p>
        </w:tc>
        <w:tc>
          <w:tcPr>
            <w:tcW w:w="220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w w:val="98"/>
              </w:rPr>
              <w:t>30,</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Lease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790,555</w:t>
            </w:r>
          </w:p>
        </w:tc>
        <w:tc>
          <w:tcPr>
            <w:tcW w:w="4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761,733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1,579,145</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1,518,608</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50,993</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Hotel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22,070</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0" w:type="dxa"/>
            <w:vAlign w:val="bottom"/>
          </w:tcPr>
          <w:p>
            <w:pPr>
              <w:spacing w:after="0"/>
              <w:rPr>
                <w:sz w:val="1"/>
                <w:szCs w:val="1"/>
                <w:color w:val="auto"/>
              </w:rPr>
            </w:pPr>
          </w:p>
        </w:tc>
      </w:tr>
      <w:tr>
        <w:trPr>
          <w:trHeight w:val="162"/>
        </w:trPr>
        <w:tc>
          <w:tcPr>
            <w:tcW w:w="640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4,148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8,441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9,844</w:t>
            </w: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contracts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850,482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817,153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1,689,921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1,620,353</w:t>
            </w:r>
          </w:p>
        </w:tc>
        <w:tc>
          <w:tcPr>
            <w:tcW w:w="0" w:type="dxa"/>
            <w:vAlign w:val="bottom"/>
          </w:tcPr>
          <w:p>
            <w:pPr>
              <w:spacing w:after="0"/>
              <w:rPr>
                <w:sz w:val="1"/>
                <w:szCs w:val="1"/>
                <w:color w:val="auto"/>
              </w:rPr>
            </w:pPr>
          </w:p>
        </w:tc>
      </w:tr>
      <w:tr>
        <w:trPr>
          <w:trHeight w:val="195"/>
        </w:trPr>
        <w:tc>
          <w:tcPr>
            <w:tcW w:w="640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680"/>
              <w:spacing w:after="0"/>
              <w:rPr>
                <w:sz w:val="20"/>
                <w:szCs w:val="20"/>
                <w:color w:val="auto"/>
              </w:rPr>
            </w:pPr>
            <w:r>
              <w:rPr>
                <w:rFonts w:ascii="Arial" w:cs="Arial" w:eastAsia="Arial" w:hAnsi="Arial"/>
                <w:sz w:val="16"/>
                <w:szCs w:val="16"/>
                <w:color w:val="auto"/>
              </w:rPr>
              <w:t>Rental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321,426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291,036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635,583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582,344</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14,832</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99,977</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219,542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202,577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438,258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411,311</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599,253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550,866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1,192,965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1,119,527</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(14,237)</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28,284</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(149,642)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(142,473)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(276,680)</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106,949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136,184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213,553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241,812</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(38,428)</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(12,117)</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(21,169)</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Net income attributable to BXP,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79,615</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159,498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182,215</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 attributable to BXP, Inc.</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0.51</w:t>
            </w:r>
          </w:p>
        </w:tc>
        <w:tc>
          <w:tcPr>
            <w:tcW w:w="4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0"/>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shares outstanding</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157,039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156,826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157,011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156,815</w:t>
            </w:r>
          </w:p>
        </w:tc>
        <w:tc>
          <w:tcPr>
            <w:tcW w:w="0" w:type="dxa"/>
            <w:vAlign w:val="bottom"/>
          </w:tcPr>
          <w:p>
            <w:pPr>
              <w:spacing w:after="0"/>
              <w:rPr>
                <w:sz w:val="1"/>
                <w:szCs w:val="1"/>
                <w:color w:val="auto"/>
              </w:rPr>
            </w:pPr>
          </w:p>
        </w:tc>
      </w:tr>
      <w:tr>
        <w:trPr>
          <w:trHeight w:val="195"/>
        </w:trPr>
        <w:tc>
          <w:tcPr>
            <w:tcW w:w="6400" w:type="dxa"/>
            <w:vAlign w:val="bottom"/>
          </w:tcPr>
          <w:p>
            <w:pPr>
              <w:ind w:left="20"/>
              <w:spacing w:after="0"/>
              <w:rPr>
                <w:sz w:val="20"/>
                <w:szCs w:val="20"/>
                <w:color w:val="auto"/>
              </w:rPr>
            </w:pPr>
            <w:r>
              <w:rPr>
                <w:rFonts w:ascii="Arial" w:cs="Arial" w:eastAsia="Arial" w:hAnsi="Arial"/>
                <w:sz w:val="16"/>
                <w:szCs w:val="16"/>
                <w:color w:val="auto"/>
              </w:rPr>
              <w:t>Diluted earnings per common share attributable to BXP, Inc.</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4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9"/>
        </w:trPr>
        <w:tc>
          <w:tcPr>
            <w:tcW w:w="6400" w:type="dxa"/>
            <w:vAlign w:val="bottom"/>
          </w:tcPr>
          <w:p>
            <w:pPr>
              <w:ind w:left="36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157,291</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157,218</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157,210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BXP,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2300" w:type="dxa"/>
            <w:vAlign w:val="bottom"/>
            <w:gridSpan w:val="5"/>
            <w:vMerge w:val="restart"/>
          </w:tcPr>
          <w:p>
            <w:pPr>
              <w:jc w:val="right"/>
              <w:ind w:right="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w w:val="98"/>
              </w:rPr>
              <w:t>30,</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213,553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241,812</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110,966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152,823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237,281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253,588</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(59,597)</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BXP,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83,080</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119,107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192,528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980" w:hanging="332"/>
        <w:spacing w:after="0" w:line="266" w:lineRule="auto"/>
        <w:tabs>
          <w:tab w:leader="none" w:pos="3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BXP,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BXP,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 and in thousands)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3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Dividends in</w:t>
            </w: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rPr>
              <w:t>Other</w:t>
            </w:r>
          </w:p>
        </w:tc>
        <w:tc>
          <w:tcPr>
            <w:tcW w:w="11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rPr>
              <w:t>Interests -</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8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90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5"/>
                <w:szCs w:val="5"/>
                <w:color w:val="auto"/>
              </w:rPr>
            </w:pPr>
          </w:p>
        </w:tc>
        <w:tc>
          <w:tcPr>
            <w:tcW w:w="6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Stock,</w:t>
            </w:r>
          </w:p>
        </w:tc>
        <w:tc>
          <w:tcPr>
            <w:tcW w:w="1200" w:type="dxa"/>
            <w:vAlign w:val="bottom"/>
            <w:gridSpan w:val="3"/>
            <w:vMerge w:val="restart"/>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5"/>
                <w:szCs w:val="5"/>
                <w:color w:val="auto"/>
              </w:rPr>
            </w:pPr>
          </w:p>
        </w:tc>
        <w:tc>
          <w:tcPr>
            <w:tcW w:w="100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Interests -</w:t>
            </w:r>
          </w:p>
        </w:tc>
        <w:tc>
          <w:tcPr>
            <w:tcW w:w="140" w:type="dxa"/>
            <w:vAlign w:val="bottom"/>
          </w:tcPr>
          <w:p>
            <w:pPr>
              <w:spacing w:after="0"/>
              <w:rPr>
                <w:sz w:val="5"/>
                <w:szCs w:val="5"/>
                <w:color w:val="auto"/>
              </w:rPr>
            </w:pPr>
          </w:p>
        </w:tc>
        <w:tc>
          <w:tcPr>
            <w:tcW w:w="10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Property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8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Units</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Partnerships</w:t>
            </w: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March 31, 2024</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157,049</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$ 1,570</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$ 6,752,648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(890,177)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684,969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1,734,904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$ 8,277,572</w:t>
            </w:r>
          </w:p>
        </w:tc>
        <w:tc>
          <w:tcPr>
            <w:tcW w:w="0" w:type="dxa"/>
            <w:vAlign w:val="bottom"/>
          </w:tcPr>
          <w:p>
            <w:pPr>
              <w:spacing w:after="0"/>
              <w:rPr>
                <w:sz w:val="1"/>
                <w:szCs w:val="1"/>
                <w:color w:val="auto"/>
              </w:rPr>
            </w:pPr>
          </w:p>
        </w:tc>
      </w:tr>
      <w:tr>
        <w:trPr>
          <w:trHeight w:val="149"/>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79,615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106,949</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(153,956)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(172,798)</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14,041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16,540</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Proceeds from sale of interest in property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80" w:type="dxa"/>
            <w:vAlign w:val="bottom"/>
          </w:tcPr>
          <w:p>
            <w:pPr>
              <w:ind w:left="180"/>
              <w:spacing w:after="0" w:line="139" w:lineRule="exact"/>
              <w:rPr>
                <w:sz w:val="20"/>
                <w:szCs w:val="20"/>
                <w:color w:val="auto"/>
              </w:rPr>
            </w:pPr>
            <w:r>
              <w:rPr>
                <w:rFonts w:ascii="Arial" w:cs="Arial" w:eastAsia="Arial" w:hAnsi="Arial"/>
                <w:sz w:val="14"/>
                <w:szCs w:val="14"/>
                <w:color w:val="auto"/>
              </w:rPr>
              <w:t>partnerships and contributions from</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180"/>
              <w:spacing w:after="0" w:line="149" w:lineRule="exact"/>
              <w:rPr>
                <w:sz w:val="20"/>
                <w:szCs w:val="20"/>
                <w:color w:val="auto"/>
              </w:rPr>
            </w:pPr>
            <w:r>
              <w:rPr>
                <w:rFonts w:ascii="Arial" w:cs="Arial" w:eastAsia="Arial" w:hAnsi="Arial"/>
                <w:sz w:val="14"/>
                <w:szCs w:val="14"/>
                <w:color w:val="auto"/>
              </w:rPr>
              <w:t>noncontrolling interests in property</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66,237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67,481</w:t>
            </w:r>
          </w:p>
        </w:tc>
        <w:tc>
          <w:tcPr>
            <w:tcW w:w="0" w:type="dxa"/>
            <w:vAlign w:val="bottom"/>
          </w:tcPr>
          <w:p>
            <w:pPr>
              <w:spacing w:after="0"/>
              <w:rPr>
                <w:sz w:val="1"/>
                <w:szCs w:val="1"/>
                <w:color w:val="auto"/>
              </w:rPr>
            </w:pPr>
          </w:p>
        </w:tc>
      </w:tr>
      <w:tr>
        <w:trPr>
          <w:trHeight w:val="194"/>
        </w:trPr>
        <w:tc>
          <w:tcPr>
            <w:tcW w:w="2880" w:type="dxa"/>
            <w:vAlign w:val="bottom"/>
          </w:tcPr>
          <w:p>
            <w:pPr>
              <w:ind w:left="180"/>
              <w:spacing w:after="0"/>
              <w:rPr>
                <w:sz w:val="20"/>
                <w:szCs w:val="20"/>
                <w:color w:val="auto"/>
              </w:rPr>
            </w:pPr>
            <w:r>
              <w:rPr>
                <w:rFonts w:ascii="Arial" w:cs="Arial" w:eastAsia="Arial" w:hAnsi="Arial"/>
                <w:sz w:val="14"/>
                <w:szCs w:val="14"/>
                <w:color w:val="auto"/>
              </w:rPr>
              <w:t>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(17,434)</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(17,434)</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07"/>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10,845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June 30,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$ 1,571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$ 6,768,686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(964,518)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677,789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1,801,676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$ 8,282,327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March 31, 2023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156,830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$ 1,568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$ 6,549,314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691,627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1,552,070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$ 8,306,484</w:t>
            </w: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(599)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104,325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136,184</w:t>
            </w:r>
          </w:p>
        </w:tc>
        <w:tc>
          <w:tcPr>
            <w:tcW w:w="0" w:type="dxa"/>
            <w:vAlign w:val="bottom"/>
          </w:tcPr>
          <w:p>
            <w:pPr>
              <w:spacing w:after="0"/>
              <w:rPr>
                <w:sz w:val="1"/>
                <w:szCs w:val="1"/>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(153,716)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(18,376)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(172,092)</w:t>
            </w:r>
          </w:p>
        </w:tc>
        <w:tc>
          <w:tcPr>
            <w:tcW w:w="0" w:type="dxa"/>
            <w:vAlign w:val="bottom"/>
          </w:tcPr>
          <w:p>
            <w:pPr>
              <w:spacing w:after="0"/>
              <w:rPr>
                <w:sz w:val="1"/>
                <w:szCs w:val="1"/>
                <w:color w:val="auto"/>
              </w:rPr>
            </w:pPr>
          </w:p>
        </w:tc>
      </w:tr>
      <w:tr>
        <w:trPr>
          <w:trHeight w:val="153"/>
        </w:trPr>
        <w:tc>
          <w:tcPr>
            <w:tcW w:w="28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14,052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13,942</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9"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(14,614)</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(14,614)</w:t>
            </w:r>
          </w:p>
        </w:tc>
        <w:tc>
          <w:tcPr>
            <w:tcW w:w="0" w:type="dxa"/>
            <w:vAlign w:val="bottom"/>
          </w:tcPr>
          <w:p>
            <w:pPr>
              <w:spacing w:after="0"/>
              <w:rPr>
                <w:sz w:val="1"/>
                <w:szCs w:val="1"/>
                <w:color w:val="auto"/>
              </w:rPr>
            </w:pPr>
          </w:p>
        </w:tc>
      </w:tr>
      <w:tr>
        <w:trPr>
          <w:trHeight w:val="189"/>
        </w:trPr>
        <w:tc>
          <w:tcPr>
            <w:tcW w:w="2880" w:type="dxa"/>
            <w:vAlign w:val="bottom"/>
          </w:tcPr>
          <w:p>
            <w:pPr>
              <w:ind w:left="2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14,965</w:t>
            </w:r>
          </w:p>
        </w:tc>
        <w:tc>
          <w:tcPr>
            <w:tcW w:w="0" w:type="dxa"/>
            <w:vAlign w:val="bottom"/>
          </w:tcPr>
          <w:p>
            <w:pPr>
              <w:spacing w:after="0"/>
              <w:rPr>
                <w:sz w:val="1"/>
                <w:szCs w:val="1"/>
                <w:color w:val="auto"/>
              </w:rPr>
            </w:pPr>
          </w:p>
        </w:tc>
      </w:tr>
      <w:tr>
        <w:trPr>
          <w:trHeight w:val="199"/>
        </w:trPr>
        <w:tc>
          <w:tcPr>
            <w:tcW w:w="288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880" w:type="dxa"/>
            <w:vAlign w:val="bottom"/>
          </w:tcPr>
          <w:p>
            <w:pPr>
              <w:ind w:left="20"/>
              <w:spacing w:after="0"/>
              <w:rPr>
                <w:sz w:val="20"/>
                <w:szCs w:val="20"/>
                <w:color w:val="auto"/>
              </w:rPr>
            </w:pPr>
            <w:r>
              <w:rPr>
                <w:rFonts w:ascii="Arial" w:cs="Arial" w:eastAsia="Arial" w:hAnsi="Arial"/>
                <w:sz w:val="14"/>
                <w:szCs w:val="14"/>
                <w:color w:val="auto"/>
              </w:rPr>
              <w:t>Equity, June 30, 2023</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156,854</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$ 1,569</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$ 6,561,161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(516,550)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689,123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1,557,368</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$ 8,286,543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BXP,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3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Dividends in</w:t>
            </w:r>
          </w:p>
        </w:tc>
        <w:tc>
          <w:tcPr>
            <w:tcW w:w="7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Noncontrolling</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Interests -</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8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ind w:right="80"/>
              <w:spacing w:after="0" w:line="144"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880" w:type="dxa"/>
            <w:vAlign w:val="bottom"/>
            <w:gridSpan w:val="2"/>
            <w:vMerge w:val="restart"/>
          </w:tcPr>
          <w:p>
            <w:pPr>
              <w:jc w:val="center"/>
              <w:ind w:right="180"/>
              <w:spacing w:after="0" w:line="144" w:lineRule="exact"/>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5"/>
                <w:szCs w:val="5"/>
                <w:color w:val="auto"/>
              </w:rPr>
            </w:pPr>
          </w:p>
        </w:tc>
        <w:tc>
          <w:tcPr>
            <w:tcW w:w="660" w:type="dxa"/>
            <w:vAlign w:val="bottom"/>
            <w:gridSpan w:val="2"/>
            <w:vMerge w:val="restart"/>
          </w:tcPr>
          <w:p>
            <w:pPr>
              <w:jc w:val="center"/>
              <w:ind w:right="200"/>
              <w:spacing w:after="0" w:line="144" w:lineRule="exact"/>
              <w:rPr>
                <w:sz w:val="20"/>
                <w:szCs w:val="20"/>
                <w:color w:val="auto"/>
              </w:rPr>
            </w:pPr>
            <w:r>
              <w:rPr>
                <w:rFonts w:ascii="Arial" w:cs="Arial" w:eastAsia="Arial" w:hAnsi="Arial"/>
                <w:sz w:val="14"/>
                <w:szCs w:val="14"/>
                <w:b w:val="1"/>
                <w:bCs w:val="1"/>
                <w:color w:val="auto"/>
                <w:w w:val="99"/>
              </w:rPr>
              <w:t>Stock,</w:t>
            </w:r>
          </w:p>
        </w:tc>
        <w:tc>
          <w:tcPr>
            <w:tcW w:w="1200" w:type="dxa"/>
            <w:vAlign w:val="bottom"/>
            <w:gridSpan w:val="3"/>
            <w:vMerge w:val="restart"/>
          </w:tcPr>
          <w:p>
            <w:pPr>
              <w:ind w:left="20"/>
              <w:spacing w:after="0" w:line="144"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5"/>
                <w:szCs w:val="5"/>
                <w:color w:val="auto"/>
              </w:rPr>
            </w:pPr>
          </w:p>
        </w:tc>
        <w:tc>
          <w:tcPr>
            <w:tcW w:w="1000" w:type="dxa"/>
            <w:vAlign w:val="bottom"/>
            <w:gridSpan w:val="2"/>
            <w:vMerge w:val="restart"/>
          </w:tcPr>
          <w:p>
            <w:pPr>
              <w:ind w:left="60"/>
              <w:spacing w:after="0" w:line="144" w:lineRule="exact"/>
              <w:rPr>
                <w:sz w:val="20"/>
                <w:szCs w:val="20"/>
                <w:color w:val="auto"/>
              </w:rPr>
            </w:pPr>
            <w:r>
              <w:rPr>
                <w:rFonts w:ascii="Arial" w:cs="Arial" w:eastAsia="Arial" w:hAnsi="Arial"/>
                <w:sz w:val="14"/>
                <w:szCs w:val="14"/>
                <w:b w:val="1"/>
                <w:bCs w:val="1"/>
                <w:color w:val="auto"/>
              </w:rPr>
              <w:t>Interests -</w:t>
            </w:r>
          </w:p>
        </w:tc>
        <w:tc>
          <w:tcPr>
            <w:tcW w:w="160" w:type="dxa"/>
            <w:vAlign w:val="bottom"/>
          </w:tcPr>
          <w:p>
            <w:pPr>
              <w:spacing w:after="0"/>
              <w:rPr>
                <w:sz w:val="5"/>
                <w:szCs w:val="5"/>
                <w:color w:val="auto"/>
              </w:rPr>
            </w:pPr>
          </w:p>
        </w:tc>
        <w:tc>
          <w:tcPr>
            <w:tcW w:w="10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4"/>
                <w:szCs w:val="14"/>
                <w:b w:val="1"/>
                <w:bCs w:val="1"/>
                <w:color w:val="auto"/>
              </w:rPr>
              <w:t>Property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820" w:type="dxa"/>
            <w:vAlign w:val="bottom"/>
          </w:tcPr>
          <w:p>
            <w:pPr>
              <w:spacing w:after="0"/>
              <w:rPr>
                <w:sz w:val="5"/>
                <w:szCs w:val="5"/>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Loss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Units</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Partnerships</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December 31, 2023</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156,941</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$ 1,569</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$ 6,715,149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(816,152)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666,580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1,640,704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$ 8,183,981</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Redemption of operating partnership units</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2,752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(2,754)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tcPr>
          <w:p>
            <w:pPr>
              <w:ind w:left="100"/>
              <w:spacing w:after="0"/>
              <w:rPr>
                <w:sz w:val="20"/>
                <w:szCs w:val="20"/>
                <w:color w:val="auto"/>
              </w:rPr>
            </w:pPr>
            <w:r>
              <w:rPr>
                <w:rFonts w:ascii="Arial" w:cs="Arial" w:eastAsia="Arial" w:hAnsi="Arial"/>
                <w:sz w:val="14"/>
                <w:szCs w:val="14"/>
                <w:color w:val="auto"/>
              </w:rPr>
              <w:t>to common stock</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35,046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213,553</w:t>
            </w:r>
          </w:p>
        </w:tc>
        <w:tc>
          <w:tcPr>
            <w:tcW w:w="0" w:type="dxa"/>
            <w:vAlign w:val="bottom"/>
          </w:tcPr>
          <w:p>
            <w:pPr>
              <w:spacing w:after="0"/>
              <w:rPr>
                <w:sz w:val="1"/>
                <w:szCs w:val="1"/>
                <w:color w:val="auto"/>
              </w:rPr>
            </w:pPr>
          </w:p>
        </w:tc>
      </w:tr>
      <w:tr>
        <w:trPr>
          <w:trHeight w:val="199"/>
        </w:trPr>
        <w:tc>
          <w:tcPr>
            <w:tcW w:w="282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(307,864)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(37,706)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(345,570)</w:t>
            </w: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4,761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28,310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33,071</w:t>
            </w:r>
          </w:p>
        </w:tc>
        <w:tc>
          <w:tcPr>
            <w:tcW w:w="0" w:type="dxa"/>
            <w:vAlign w:val="bottom"/>
          </w:tcPr>
          <w:p>
            <w:pPr>
              <w:spacing w:after="0"/>
              <w:rPr>
                <w:sz w:val="1"/>
                <w:szCs w:val="1"/>
                <w:color w:val="auto"/>
              </w:rPr>
            </w:pPr>
          </w:p>
        </w:tc>
      </w:tr>
      <w:tr>
        <w:trPr>
          <w:trHeight w:val="185"/>
        </w:trPr>
        <w:tc>
          <w:tcPr>
            <w:tcW w:w="2820" w:type="dxa"/>
            <w:vAlign w:val="bottom"/>
          </w:tcPr>
          <w:p>
            <w:pPr>
              <w:ind w:left="10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Proceeds from sale of interest in property</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20" w:type="dxa"/>
            <w:vAlign w:val="bottom"/>
            <w:shd w:val="clear" w:color="auto" w:fill="CCEEFF"/>
          </w:tcPr>
          <w:p>
            <w:pPr>
              <w:ind w:left="100"/>
              <w:spacing w:after="0" w:line="145" w:lineRule="exact"/>
              <w:rPr>
                <w:sz w:val="20"/>
                <w:szCs w:val="20"/>
                <w:color w:val="auto"/>
              </w:rPr>
            </w:pPr>
            <w:r>
              <w:rPr>
                <w:rFonts w:ascii="Arial" w:cs="Arial" w:eastAsia="Arial" w:hAnsi="Arial"/>
                <w:sz w:val="14"/>
                <w:szCs w:val="14"/>
                <w:color w:val="auto"/>
              </w:rPr>
              <w:t>partnerships and contributions from</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2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noncontrolling interests in property</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163,097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210,423</w:t>
            </w: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partnerships</w:t>
            </w:r>
          </w:p>
        </w:tc>
        <w:tc>
          <w:tcPr>
            <w:tcW w:w="68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(37,459)</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(37,459)</w:t>
            </w:r>
          </w:p>
        </w:tc>
        <w:tc>
          <w:tcPr>
            <w:tcW w:w="0" w:type="dxa"/>
            <w:vAlign w:val="bottom"/>
          </w:tcPr>
          <w:p>
            <w:pPr>
              <w:spacing w:after="0"/>
              <w:rPr>
                <w:sz w:val="1"/>
                <w:szCs w:val="1"/>
                <w:color w:val="auto"/>
              </w:rPr>
            </w:pPr>
          </w:p>
        </w:tc>
      </w:tr>
      <w:tr>
        <w:trPr>
          <w:trHeight w:val="185"/>
        </w:trPr>
        <w:tc>
          <w:tcPr>
            <w:tcW w:w="282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17,287</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6,441</w:t>
            </w:r>
          </w:p>
        </w:tc>
        <w:tc>
          <w:tcPr>
            <w:tcW w:w="0" w:type="dxa"/>
            <w:vAlign w:val="bottom"/>
          </w:tcPr>
          <w:p>
            <w:pPr>
              <w:spacing w:after="0"/>
              <w:rPr>
                <w:sz w:val="1"/>
                <w:szCs w:val="1"/>
                <w:color w:val="auto"/>
              </w:rPr>
            </w:pPr>
          </w:p>
        </w:tc>
      </w:tr>
      <w:tr>
        <w:trPr>
          <w:trHeight w:val="23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820" w:type="dxa"/>
            <w:vAlign w:val="bottom"/>
          </w:tcPr>
          <w:p>
            <w:pPr>
              <w:ind w:left="20"/>
              <w:spacing w:after="0"/>
              <w:rPr>
                <w:sz w:val="20"/>
                <w:szCs w:val="20"/>
                <w:color w:val="auto"/>
              </w:rPr>
            </w:pPr>
            <w:r>
              <w:rPr>
                <w:rFonts w:ascii="Arial" w:cs="Arial" w:eastAsia="Arial" w:hAnsi="Arial"/>
                <w:sz w:val="14"/>
                <w:szCs w:val="14"/>
                <w:color w:val="auto"/>
              </w:rPr>
              <w:t>Equity, June 30, 2024</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157,098</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$ 1,571</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$ 6,768,686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(964,518)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677,789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1,801,676</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$ 8,282,327</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Equity, December 31, 2022</w:t>
            </w:r>
          </w:p>
        </w:tc>
        <w:tc>
          <w:tcPr>
            <w:tcW w:w="600" w:type="dxa"/>
            <w:vAlign w:val="bottom"/>
          </w:tcPr>
          <w:p>
            <w:pPr>
              <w:jc w:val="right"/>
              <w:spacing w:after="0"/>
              <w:rPr>
                <w:sz w:val="20"/>
                <w:szCs w:val="20"/>
                <w:color w:val="auto"/>
              </w:rPr>
            </w:pPr>
            <w:r>
              <w:rPr>
                <w:rFonts w:ascii="Arial" w:cs="Arial" w:eastAsia="Arial" w:hAnsi="Arial"/>
                <w:sz w:val="14"/>
                <w:szCs w:val="14"/>
                <w:color w:val="auto"/>
              </w:rPr>
              <w:t>156,758</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$ 1,568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$ 6,539,147</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(391,356)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(13,718)</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683,583</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1,547,317</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$ 8,363,819</w:t>
            </w:r>
          </w:p>
        </w:tc>
        <w:tc>
          <w:tcPr>
            <w:tcW w:w="0" w:type="dxa"/>
            <w:vAlign w:val="bottom"/>
          </w:tcPr>
          <w:p>
            <w:pPr>
              <w:spacing w:after="0"/>
              <w:rPr>
                <w:sz w:val="1"/>
                <w:szCs w:val="1"/>
                <w:color w:val="auto"/>
              </w:rPr>
            </w:pPr>
          </w:p>
        </w:tc>
      </w:tr>
      <w:tr>
        <w:trPr>
          <w:trHeight w:val="157"/>
        </w:trPr>
        <w:tc>
          <w:tcPr>
            <w:tcW w:w="28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Redemption of operating partnership units</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 common stock</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182,215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38,428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241,812</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(344,146)</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Shares issued pursuant to stock purchase</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85"/>
        </w:trPr>
        <w:tc>
          <w:tcPr>
            <w:tcW w:w="282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38,023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41,361</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line="153" w:lineRule="exact"/>
              <w:rPr>
                <w:sz w:val="20"/>
                <w:szCs w:val="20"/>
                <w:color w:val="auto"/>
              </w:rPr>
            </w:pPr>
            <w:r>
              <w:rPr>
                <w:rFonts w:ascii="Arial" w:cs="Arial" w:eastAsia="Arial" w:hAnsi="Arial"/>
                <w:sz w:val="14"/>
                <w:szCs w:val="14"/>
                <w:color w:val="auto"/>
              </w:rPr>
              <w:t>Contributions from noncontrolling interests</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vMerge w:val="restart"/>
          </w:tcPr>
          <w:p>
            <w:pPr>
              <w:jc w:val="right"/>
              <w:ind w:right="7"/>
              <w:spacing w:after="0"/>
              <w:rPr>
                <w:sz w:val="20"/>
                <w:szCs w:val="20"/>
                <w:color w:val="auto"/>
              </w:rPr>
            </w:pPr>
            <w:r>
              <w:rPr>
                <w:rFonts w:ascii="Arial" w:cs="Arial" w:eastAsia="Arial" w:hAnsi="Arial"/>
                <w:sz w:val="14"/>
                <w:szCs w:val="14"/>
                <w:color w:val="auto"/>
              </w:rPr>
              <w:t>7,555</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7,555</w:t>
            </w:r>
          </w:p>
        </w:tc>
        <w:tc>
          <w:tcPr>
            <w:tcW w:w="0" w:type="dxa"/>
            <w:vAlign w:val="bottom"/>
          </w:tcPr>
          <w:p>
            <w:pPr>
              <w:spacing w:after="0"/>
              <w:rPr>
                <w:sz w:val="1"/>
                <w:szCs w:val="1"/>
                <w:color w:val="auto"/>
              </w:rPr>
            </w:pPr>
          </w:p>
        </w:tc>
      </w:tr>
      <w:tr>
        <w:trPr>
          <w:trHeight w:val="185"/>
        </w:trPr>
        <w:tc>
          <w:tcPr>
            <w:tcW w:w="2820" w:type="dxa"/>
            <w:vAlign w:val="bottom"/>
          </w:tcPr>
          <w:p>
            <w:pPr>
              <w:ind w:left="100"/>
              <w:spacing w:after="0"/>
              <w:rPr>
                <w:sz w:val="20"/>
                <w:szCs w:val="20"/>
                <w:color w:val="auto"/>
              </w:rPr>
            </w:pPr>
            <w:r>
              <w:rPr>
                <w:rFonts w:ascii="Arial" w:cs="Arial" w:eastAsia="Arial" w:hAnsi="Arial"/>
                <w:sz w:val="14"/>
                <w:szCs w:val="14"/>
                <w:color w:val="auto"/>
              </w:rPr>
              <w:t>in property partnerships</w:t>
            </w:r>
          </w:p>
        </w:tc>
        <w:tc>
          <w:tcPr>
            <w:tcW w:w="6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Distributions to noncontrolling interests in</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(36,220)</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(36,220)</w:t>
            </w:r>
          </w:p>
        </w:tc>
        <w:tc>
          <w:tcPr>
            <w:tcW w:w="0" w:type="dxa"/>
            <w:vAlign w:val="bottom"/>
          </w:tcPr>
          <w:p>
            <w:pPr>
              <w:spacing w:after="0"/>
              <w:rPr>
                <w:sz w:val="1"/>
                <w:szCs w:val="1"/>
                <w:color w:val="auto"/>
              </w:rPr>
            </w:pPr>
          </w:p>
        </w:tc>
      </w:tr>
      <w:tr>
        <w:trPr>
          <w:trHeight w:val="185"/>
        </w:trPr>
        <w:tc>
          <w:tcPr>
            <w:tcW w:w="2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6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8,427</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17,297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June 30, 2023</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156,854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$ 1,569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$ 6,561,161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(516,550)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689,123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1,557,368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$ 8,286,543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BXP,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213,553</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241,812</w:t>
            </w:r>
          </w:p>
        </w:tc>
      </w:tr>
      <w:tr>
        <w:trPr>
          <w:trHeight w:val="217"/>
        </w:trPr>
        <w:tc>
          <w:tcPr>
            <w:tcW w:w="7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438,258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411,311</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sales type lease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above and below market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compensation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(Income) loss from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14,237</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11,437</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Gains from investments in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(3,236)</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Allowance for current expected credit losses (gains)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Non-cash portion of 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14,940</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Unrealized gain on non-real estate investment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and other receivables,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(42,965)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(24,758)</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Right of use assets - operating lease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Lease liabilities - operating leases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(24,650)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6,320</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interest payable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(32,922)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(21,773)</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leasing costs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(42,449)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(47,651)</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adjustments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351,106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371,371</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564,659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613,183</w:t>
            </w:r>
          </w:p>
        </w:tc>
      </w:tr>
      <w:tr>
        <w:trPr>
          <w:trHeight w:val="195"/>
        </w:trPr>
        <w:tc>
          <w:tcPr>
            <w:tcW w:w="79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in progress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(235,331)</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Building and other capital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(66,799)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(78,344)</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improvements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(117,848)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Acquisition of real estate (net of cash received upon consolidation)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contributions to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(60,461)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Capital distributions from unconsolidated joint ventures</w:t>
            </w:r>
          </w:p>
        </w:tc>
        <w:tc>
          <w:tcPr>
            <w:tcW w:w="3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non-real estate investments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note receivables (including related party)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(10,500)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securities,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(553,504)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(554,864)</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Repayments of mortgage notes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unsecured senior notes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747,727</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 / redemption of unsecured 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on unsecured term loan</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Payments on finance lease obligations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BXP,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unsecured term loan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Borrowings on commercial paper program</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1,859,075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commercial paper program</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(1,359,075)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(12,339)</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activity from equity transactions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Dividends and distributions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(344,574)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(343,325)</w:t>
            </w:r>
          </w:p>
        </w:tc>
        <w:tc>
          <w:tcPr>
            <w:tcW w:w="0" w:type="dxa"/>
            <w:vAlign w:val="bottom"/>
          </w:tcPr>
          <w:p>
            <w:pPr>
              <w:spacing w:after="0"/>
              <w:rPr>
                <w:sz w:val="1"/>
                <w:szCs w:val="1"/>
                <w:color w:val="auto"/>
              </w:rPr>
            </w:pPr>
          </w:p>
        </w:tc>
      </w:tr>
      <w:tr>
        <w:trPr>
          <w:trHeight w:val="163"/>
        </w:trPr>
        <w:tc>
          <w:tcPr>
            <w:tcW w:w="796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Proceeds from sale of interest in property partnerships and contributions from noncontrolling interests in</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208,599</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(36,220)</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(886,221)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833,359</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(875,066)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891,678</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737,501</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1,628,490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1,581,575</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end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46,915</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737,501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1,628,490</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paid for interest (net of amounts capitalized)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342,409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273,214</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capitalized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21,153</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(57,999)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(85,878)</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(48,896)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25,562</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assets obtained in exchange for lease liabilities - operating lease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liability - finance lease reversal for re-assessment event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(38,491)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 - finance lease reversal for re-assessment event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distributions to noncontrolling interests in property partnerships,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60,410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operating lease costs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unconsolidated joint ventures eliminated upon consolidation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Mortgage note payable recorded upon consolidation</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and intangibles recorded upon consolidation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Dividends and distributions declared but not paid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172,172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171,465</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noncontrolling interests to stockholders’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43,366</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47,885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6"/>
        </w:trPr>
        <w:tc>
          <w:tcPr>
            <w:tcW w:w="280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CCEEFF"/>
            </w:tcBorders>
            <w:gridSpan w:val="4"/>
            <w:shd w:val="clear" w:color="auto" w:fill="CCEEFF"/>
          </w:tcPr>
          <w:p>
            <w:pPr>
              <w:jc w:val="center"/>
              <w:ind w:right="2940"/>
              <w:spacing w:after="0" w:line="155" w:lineRule="exact"/>
              <w:rPr>
                <w:sz w:val="20"/>
                <w:szCs w:val="20"/>
                <w:color w:val="auto"/>
              </w:rPr>
            </w:pPr>
            <w:r>
              <w:rPr>
                <w:rFonts w:ascii="Arial" w:cs="Arial" w:eastAsia="Arial" w:hAnsi="Arial"/>
                <w:sz w:val="16"/>
                <w:szCs w:val="16"/>
                <w:b w:val="1"/>
                <w:bCs w:val="1"/>
                <w:color w:val="auto"/>
                <w:w w:val="99"/>
              </w:rPr>
              <w:t>ASSETS</w:t>
            </w:r>
          </w:p>
        </w:tc>
        <w:tc>
          <w:tcPr>
            <w:tcW w:w="2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Real estate, at cost (amounts related to variable interest entities (“VIEs”) of $7,490,887 and $7,054,075 at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26,907,229</w:t>
            </w:r>
          </w:p>
        </w:tc>
        <w:tc>
          <w:tcPr>
            <w:tcW w:w="20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26,382,944</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June 30, 2024 and December 31, 2023, respectively)</w:t>
            </w:r>
          </w:p>
        </w:tc>
        <w:tc>
          <w:tcPr>
            <w:tcW w:w="20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Right of use assets - finance leases (amounts related to VIEs of $21,000 and $21,000 at June 30, 2024</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372,896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401,680</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and December 31, 2023, respectively)</w:t>
            </w: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Right of use assets - operating leases (amounts related to VIEs of $149,605 and $158,885 at June 30,</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344,292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324,298</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2024 and 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Less: accumulated depreciation (amounts related to VIEs of $(1,570,934) and $(1,501,483) at June</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(7,071,799)</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(6,758,361)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30, 2024 and December 31, 2023,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real estate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20,552,618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20,350,561</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Cash and cash equivalents (amounts related to VIEs of $378,992 and $245,317 at June 30, 2024 and</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685,376</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Cash held in escrows (amounts related to VIEs of $6,805 and $22,160 at June 30, 2024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52,125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81,090</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36,337</w:t>
            </w: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Tenant and other receivables, net (amounts related to VIEs of $17,481 and $27,987 at June 30, 2024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82,145</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122,407</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Note receivable, net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5"/>
        </w:trPr>
        <w:tc>
          <w:tcPr>
            <w:tcW w:w="7820" w:type="dxa"/>
            <w:vAlign w:val="bottom"/>
            <w:gridSpan w:val="5"/>
          </w:tcPr>
          <w:p>
            <w:pPr>
              <w:ind w:left="20"/>
              <w:spacing w:after="0"/>
              <w:rPr>
                <w:sz w:val="20"/>
                <w:szCs w:val="20"/>
                <w:color w:val="auto"/>
              </w:rPr>
            </w:pPr>
            <w:r>
              <w:rPr>
                <w:rFonts w:ascii="Arial" w:cs="Arial" w:eastAsia="Arial" w:hAnsi="Arial"/>
                <w:sz w:val="16"/>
                <w:szCs w:val="16"/>
                <w:color w:val="auto"/>
              </w:rPr>
              <w:t>Related party note receivable,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88,779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88,779</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Sales-type lease receivable, net</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Accrued rental income, net (amounts related to VIEs of $416,840 and $401,159 at June 30, 2024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1,414,622</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1,355,212</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20"/>
              <w:spacing w:after="0" w:line="163" w:lineRule="exact"/>
              <w:rPr>
                <w:sz w:val="20"/>
                <w:szCs w:val="20"/>
                <w:color w:val="auto"/>
              </w:rPr>
            </w:pPr>
            <w:r>
              <w:rPr>
                <w:rFonts w:ascii="Arial" w:cs="Arial" w:eastAsia="Arial" w:hAnsi="Arial"/>
                <w:sz w:val="16"/>
                <w:szCs w:val="16"/>
                <w:color w:val="auto"/>
              </w:rPr>
              <w:t>Deferred charges, net (amounts related to VIEs of $193,650 and $175,383 at June 30, 2024 and</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800,099</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760,421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December 31, 2023, respectively)</w:t>
            </w: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20"/>
              <w:spacing w:after="0" w:line="162" w:lineRule="exact"/>
              <w:rPr>
                <w:sz w:val="20"/>
                <w:szCs w:val="20"/>
                <w:color w:val="auto"/>
              </w:rPr>
            </w:pPr>
            <w:r>
              <w:rPr>
                <w:rFonts w:ascii="Arial" w:cs="Arial" w:eastAsia="Arial" w:hAnsi="Arial"/>
                <w:sz w:val="16"/>
                <w:szCs w:val="16"/>
                <w:color w:val="auto"/>
              </w:rPr>
              <w:t>Prepaid expenses and other assets (amounts related to VIEs of $14,753 and $11,824 at June 30, 2024</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86,188</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64,230</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and 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1,418,817</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1,377,319</w:t>
            </w:r>
          </w:p>
        </w:tc>
        <w:tc>
          <w:tcPr>
            <w:tcW w:w="0" w:type="dxa"/>
            <w:vAlign w:val="bottom"/>
          </w:tcPr>
          <w:p>
            <w:pPr>
              <w:spacing w:after="0"/>
              <w:rPr>
                <w:sz w:val="1"/>
                <w:szCs w:val="1"/>
                <w:color w:val="auto"/>
              </w:rPr>
            </w:pPr>
          </w:p>
        </w:tc>
      </w:tr>
      <w:tr>
        <w:trPr>
          <w:trHeight w:val="209"/>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25,234,950</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25,783,251</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800" w:type="dxa"/>
            <w:vAlign w:val="bottom"/>
            <w:shd w:val="clear" w:color="auto" w:fill="CCEEFF"/>
          </w:tcPr>
          <w:p>
            <w:pPr>
              <w:spacing w:after="0"/>
              <w:rPr>
                <w:sz w:val="14"/>
                <w:szCs w:val="14"/>
                <w:color w:val="auto"/>
              </w:rPr>
            </w:pPr>
          </w:p>
        </w:tc>
        <w:tc>
          <w:tcPr>
            <w:tcW w:w="5020" w:type="dxa"/>
            <w:vAlign w:val="bottom"/>
            <w:gridSpan w:val="4"/>
            <w:shd w:val="clear" w:color="auto" w:fill="CCEEFF"/>
          </w:tcPr>
          <w:p>
            <w:pPr>
              <w:jc w:val="center"/>
              <w:ind w:right="2960"/>
              <w:spacing w:after="0" w:line="143" w:lineRule="exact"/>
              <w:rPr>
                <w:sz w:val="20"/>
                <w:szCs w:val="20"/>
                <w:color w:val="auto"/>
              </w:rPr>
            </w:pPr>
            <w:r>
              <w:rPr>
                <w:rFonts w:ascii="Arial" w:cs="Arial" w:eastAsia="Arial" w:hAnsi="Arial"/>
                <w:sz w:val="16"/>
                <w:szCs w:val="16"/>
                <w:b w:val="1"/>
                <w:bCs w:val="1"/>
                <w:color w:val="auto"/>
              </w:rPr>
              <w:t>LIABILITIES AND CAPITAL</w:t>
            </w:r>
          </w:p>
        </w:tc>
        <w:tc>
          <w:tcPr>
            <w:tcW w:w="2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Liabilities:</w:t>
            </w:r>
          </w:p>
        </w:tc>
        <w:tc>
          <w:tcPr>
            <w:tcW w:w="2060" w:type="dxa"/>
            <w:vAlign w:val="bottom"/>
            <w:tcBorders>
              <w:top w:val="single" w:sz="8" w:color="auto"/>
            </w:tcBorders>
            <w:gridSpan w:val="3"/>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Mortgage notes payable, net (amounts related to VIEs of $3,279,606 and $3,277,185 at June 30,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4,371,478</w:t>
            </w:r>
          </w:p>
        </w:tc>
        <w:tc>
          <w:tcPr>
            <w:tcW w:w="2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4,166,379</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20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Unsecured senior notes,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9,797,220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10,491,617</w:t>
            </w: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Unsecured line of credit</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Unsecured term loan,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698,776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1,198,301</w:t>
            </w:r>
          </w:p>
        </w:tc>
        <w:tc>
          <w:tcPr>
            <w:tcW w:w="0" w:type="dxa"/>
            <w:vAlign w:val="bottom"/>
          </w:tcPr>
          <w:p>
            <w:pPr>
              <w:spacing w:after="0"/>
              <w:rPr>
                <w:sz w:val="1"/>
                <w:szCs w:val="1"/>
                <w:color w:val="auto"/>
              </w:rPr>
            </w:pPr>
          </w:p>
        </w:tc>
      </w:tr>
      <w:tr>
        <w:trPr>
          <w:trHeight w:val="230"/>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Unsecured commercial paper</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Lease liabilities - finance leases (amounts related to VIEs of $20,864 and $20,794 at June 30, 2024</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375,601</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417,961</w:t>
            </w:r>
          </w:p>
        </w:tc>
        <w:tc>
          <w:tcPr>
            <w:tcW w:w="0" w:type="dxa"/>
            <w:vAlign w:val="bottom"/>
          </w:tcPr>
          <w:p>
            <w:pPr>
              <w:spacing w:after="0"/>
              <w:rPr>
                <w:sz w:val="1"/>
                <w:szCs w:val="1"/>
                <w:color w:val="auto"/>
              </w:rPr>
            </w:pPr>
          </w:p>
        </w:tc>
      </w:tr>
      <w:tr>
        <w:trPr>
          <w:trHeight w:val="215"/>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and 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Lease liabilities - operating leases (amounts related to VIEs of $151,643 and $145,826 at June 30,</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385,842</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350,391</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2024 and December 31, 2023, respectively)</w:t>
            </w:r>
          </w:p>
        </w:tc>
        <w:tc>
          <w:tcPr>
            <w:tcW w:w="20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gridSpan w:val="5"/>
          </w:tcPr>
          <w:p>
            <w:pPr>
              <w:ind w:left="360"/>
              <w:spacing w:after="0" w:line="162" w:lineRule="exact"/>
              <w:rPr>
                <w:sz w:val="20"/>
                <w:szCs w:val="20"/>
                <w:color w:val="auto"/>
              </w:rPr>
            </w:pPr>
            <w:r>
              <w:rPr>
                <w:rFonts w:ascii="Arial" w:cs="Arial" w:eastAsia="Arial" w:hAnsi="Arial"/>
                <w:sz w:val="16"/>
                <w:szCs w:val="16"/>
                <w:color w:val="auto"/>
              </w:rPr>
              <w:t>Accounts payable and accrued expenses (amounts related to VIEs of $103,662 and $59,667 at June</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372,484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458,329</w:t>
            </w:r>
          </w:p>
        </w:tc>
        <w:tc>
          <w:tcPr>
            <w:tcW w:w="0" w:type="dxa"/>
            <w:vAlign w:val="bottom"/>
          </w:tcPr>
          <w:p>
            <w:pPr>
              <w:spacing w:after="0"/>
              <w:rPr>
                <w:sz w:val="1"/>
                <w:szCs w:val="1"/>
                <w:color w:val="auto"/>
              </w:rPr>
            </w:pPr>
          </w:p>
        </w:tc>
      </w:tr>
      <w:tr>
        <w:trPr>
          <w:trHeight w:val="215"/>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30, 2024 and 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Dividends and distributions payable</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172,172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171,176</w:t>
            </w:r>
          </w:p>
        </w:tc>
        <w:tc>
          <w:tcPr>
            <w:tcW w:w="0" w:type="dxa"/>
            <w:vAlign w:val="bottom"/>
          </w:tcPr>
          <w:p>
            <w:pPr>
              <w:spacing w:after="0"/>
              <w:rPr>
                <w:sz w:val="1"/>
                <w:szCs w:val="1"/>
                <w:color w:val="auto"/>
              </w:rPr>
            </w:pPr>
          </w:p>
        </w:tc>
      </w:tr>
      <w:tr>
        <w:trPr>
          <w:trHeight w:val="215"/>
        </w:trPr>
        <w:tc>
          <w:tcPr>
            <w:tcW w:w="7820" w:type="dxa"/>
            <w:vAlign w:val="bottom"/>
            <w:gridSpan w:val="5"/>
          </w:tcPr>
          <w:p>
            <w:pPr>
              <w:ind w:left="36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112,107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133,684</w:t>
            </w:r>
          </w:p>
        </w:tc>
        <w:tc>
          <w:tcPr>
            <w:tcW w:w="0" w:type="dxa"/>
            <w:vAlign w:val="bottom"/>
          </w:tcPr>
          <w:p>
            <w:pPr>
              <w:spacing w:after="0"/>
              <w:rPr>
                <w:sz w:val="1"/>
                <w:szCs w:val="1"/>
                <w:color w:val="auto"/>
              </w:rPr>
            </w:pPr>
          </w:p>
        </w:tc>
      </w:tr>
      <w:tr>
        <w:trPr>
          <w:trHeight w:val="163"/>
        </w:trPr>
        <w:tc>
          <w:tcPr>
            <w:tcW w:w="7820" w:type="dxa"/>
            <w:vAlign w:val="bottom"/>
            <w:gridSpan w:val="5"/>
            <w:shd w:val="clear" w:color="auto" w:fill="CCEEFF"/>
          </w:tcPr>
          <w:p>
            <w:pPr>
              <w:ind w:left="360"/>
              <w:spacing w:after="0" w:line="163" w:lineRule="exact"/>
              <w:rPr>
                <w:sz w:val="20"/>
                <w:szCs w:val="20"/>
                <w:color w:val="auto"/>
              </w:rPr>
            </w:pPr>
            <w:r>
              <w:rPr>
                <w:rFonts w:ascii="Arial" w:cs="Arial" w:eastAsia="Arial" w:hAnsi="Arial"/>
                <w:sz w:val="16"/>
                <w:szCs w:val="16"/>
                <w:color w:val="auto"/>
              </w:rPr>
              <w:t>Other liabilities (amounts related to VIEs of $95,202 and $115,275 at June 30, 2024 and</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398,525</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445,947</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December 31, 2023,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20" w:type="dxa"/>
            <w:vAlign w:val="bottom"/>
            <w:gridSpan w:val="5"/>
          </w:tcPr>
          <w:p>
            <w:pPr>
              <w:ind w:left="6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17,184,205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17,833,785</w:t>
            </w:r>
          </w:p>
        </w:tc>
        <w:tc>
          <w:tcPr>
            <w:tcW w:w="0" w:type="dxa"/>
            <w:vAlign w:val="bottom"/>
          </w:tcPr>
          <w:p>
            <w:pPr>
              <w:spacing w:after="0"/>
              <w:rPr>
                <w:sz w:val="1"/>
                <w:szCs w:val="1"/>
                <w:color w:val="auto"/>
              </w:rPr>
            </w:pPr>
          </w:p>
        </w:tc>
      </w:tr>
      <w:tr>
        <w:trPr>
          <w:trHeight w:val="903"/>
        </w:trPr>
        <w:tc>
          <w:tcPr>
            <w:tcW w:w="7820" w:type="dxa"/>
            <w:vAlign w:val="bottom"/>
            <w:gridSpan w:val="5"/>
          </w:tcPr>
          <w:p>
            <w:pPr>
              <w:ind w:left="55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2024</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2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
              <w:spacing w:after="0" w:line="162" w:lineRule="exact"/>
              <w:rPr>
                <w:sz w:val="20"/>
                <w:szCs w:val="20"/>
                <w:color w:val="auto"/>
              </w:rPr>
            </w:pPr>
            <w:r>
              <w:rPr>
                <w:rFonts w:ascii="Arial" w:cs="Arial" w:eastAsia="Arial" w:hAnsi="Arial"/>
                <w:sz w:val="16"/>
                <w:szCs w:val="16"/>
                <w:color w:val="auto"/>
              </w:rPr>
              <w:t>Redeemable deferred stock units— 128,584 and 119,471 units outstanding at redemption value at June</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7,916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30, 2024 and December 31, 2023, respectively</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Redeemable partnership units— 16,454,712 and 16,508,277 common units and 2,681,580 and</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680"/>
              <w:spacing w:after="0" w:line="162" w:lineRule="exact"/>
              <w:rPr>
                <w:sz w:val="20"/>
                <w:szCs w:val="20"/>
                <w:color w:val="auto"/>
              </w:rPr>
            </w:pPr>
            <w:r>
              <w:rPr>
                <w:rFonts w:ascii="Arial" w:cs="Arial" w:eastAsia="Arial" w:hAnsi="Arial"/>
                <w:sz w:val="16"/>
                <w:szCs w:val="16"/>
                <w:color w:val="auto"/>
              </w:rPr>
              <w:t>2,065,861 long term incentive units outstanding at redemption value at June 30, 2024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1,230,848</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1,347,575</w:t>
            </w:r>
          </w:p>
        </w:tc>
        <w:tc>
          <w:tcPr>
            <w:tcW w:w="0" w:type="dxa"/>
            <w:vAlign w:val="bottom"/>
          </w:tcPr>
          <w:p>
            <w:pPr>
              <w:spacing w:after="0"/>
              <w:rPr>
                <w:sz w:val="1"/>
                <w:szCs w:val="1"/>
                <w:color w:val="auto"/>
              </w:rPr>
            </w:pPr>
          </w:p>
        </w:tc>
      </w:tr>
      <w:tr>
        <w:trPr>
          <w:trHeight w:val="215"/>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December 31, 2023, respectively</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360"/>
              <w:spacing w:after="0" w:line="162" w:lineRule="exact"/>
              <w:rPr>
                <w:sz w:val="20"/>
                <w:szCs w:val="20"/>
                <w:color w:val="auto"/>
              </w:rPr>
            </w:pPr>
            <w:r>
              <w:rPr>
                <w:rFonts w:ascii="Arial" w:cs="Arial" w:eastAsia="Arial" w:hAnsi="Arial"/>
                <w:sz w:val="16"/>
                <w:szCs w:val="16"/>
                <w:color w:val="auto"/>
              </w:rPr>
              <w:t>Boston Properties Limited Partnership partners’ capital— 1,762,341 and 1,755,150 general partner</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680"/>
              <w:spacing w:after="0" w:line="162" w:lineRule="exact"/>
              <w:rPr>
                <w:sz w:val="20"/>
                <w:szCs w:val="20"/>
                <w:color w:val="auto"/>
              </w:rPr>
            </w:pPr>
            <w:r>
              <w:rPr>
                <w:rFonts w:ascii="Arial" w:cs="Arial" w:eastAsia="Arial" w:hAnsi="Arial"/>
                <w:sz w:val="16"/>
                <w:szCs w:val="16"/>
                <w:color w:val="auto"/>
              </w:rPr>
              <w:t>units and 155,335,500 and 155,185,716 limited partner units outstanding at June 30, 2024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5,010,460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4,973,951</w:t>
            </w:r>
          </w:p>
        </w:tc>
        <w:tc>
          <w:tcPr>
            <w:tcW w:w="0" w:type="dxa"/>
            <w:vAlign w:val="bottom"/>
          </w:tcPr>
          <w:p>
            <w:pPr>
              <w:spacing w:after="0"/>
              <w:rPr>
                <w:sz w:val="1"/>
                <w:szCs w:val="1"/>
                <w:color w:val="auto"/>
              </w:rPr>
            </w:pPr>
          </w:p>
        </w:tc>
      </w:tr>
      <w:tr>
        <w:trPr>
          <w:trHeight w:val="215"/>
        </w:trPr>
        <w:tc>
          <w:tcPr>
            <w:tcW w:w="7820" w:type="dxa"/>
            <w:vAlign w:val="bottom"/>
          </w:tcPr>
          <w:p>
            <w:pPr>
              <w:ind w:left="680"/>
              <w:spacing w:after="0"/>
              <w:rPr>
                <w:sz w:val="20"/>
                <w:szCs w:val="20"/>
                <w:color w:val="auto"/>
              </w:rPr>
            </w:pPr>
            <w:r>
              <w:rPr>
                <w:rFonts w:ascii="Arial" w:cs="Arial" w:eastAsia="Arial" w:hAnsi="Arial"/>
                <w:sz w:val="16"/>
                <w:szCs w:val="16"/>
                <w:color w:val="auto"/>
              </w:rPr>
              <w:t>December 31, 2023, respectively</w:t>
            </w:r>
          </w:p>
        </w:tc>
        <w:tc>
          <w:tcPr>
            <w:tcW w:w="2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0" w:type="dxa"/>
            <w:vAlign w:val="bottom"/>
          </w:tcPr>
          <w:p>
            <w:pPr>
              <w:spacing w:after="0"/>
              <w:rPr>
                <w:sz w:val="1"/>
                <w:szCs w:val="1"/>
                <w:color w:val="auto"/>
              </w:rPr>
            </w:pPr>
          </w:p>
        </w:tc>
      </w:tr>
      <w:tr>
        <w:trPr>
          <w:trHeight w:val="209"/>
        </w:trPr>
        <w:tc>
          <w:tcPr>
            <w:tcW w:w="7820" w:type="dxa"/>
            <w:vAlign w:val="bottom"/>
          </w:tcPr>
          <w:p>
            <w:pPr>
              <w:ind w:left="680"/>
              <w:spacing w:after="0"/>
              <w:rPr>
                <w:sz w:val="20"/>
                <w:szCs w:val="20"/>
                <w:color w:val="auto"/>
              </w:rPr>
            </w:pPr>
            <w:r>
              <w:rPr>
                <w:rFonts w:ascii="Arial" w:cs="Arial" w:eastAsia="Arial" w:hAnsi="Arial"/>
                <w:sz w:val="16"/>
                <w:szCs w:val="16"/>
                <w:color w:val="auto"/>
              </w:rPr>
              <w:t>Total partners’ capital</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5,010,305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4,952,804</w:t>
            </w: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1,801,676</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1,640,704</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capital</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6,811,981</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6,593,508</w:t>
            </w:r>
          </w:p>
        </w:tc>
        <w:tc>
          <w:tcPr>
            <w:tcW w:w="0" w:type="dxa"/>
            <w:vAlign w:val="bottom"/>
          </w:tcPr>
          <w:p>
            <w:pPr>
              <w:spacing w:after="0"/>
              <w:rPr>
                <w:sz w:val="1"/>
                <w:szCs w:val="1"/>
                <w:color w:val="auto"/>
              </w:rPr>
            </w:pPr>
          </w:p>
        </w:tc>
      </w:tr>
      <w:tr>
        <w:trPr>
          <w:trHeight w:val="234"/>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capital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25,234,950</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25,783,251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unit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100" w:type="dxa"/>
            <w:vAlign w:val="bottom"/>
          </w:tcPr>
          <w:p>
            <w:pPr>
              <w:spacing w:after="0"/>
              <w:rPr>
                <w:sz w:val="16"/>
                <w:szCs w:val="16"/>
                <w:color w:val="auto"/>
              </w:rPr>
            </w:pPr>
          </w:p>
        </w:tc>
        <w:tc>
          <w:tcPr>
            <w:tcW w:w="220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w w:val="98"/>
              </w:rPr>
              <w:t>30,</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Lease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790,555</w:t>
            </w:r>
          </w:p>
        </w:tc>
        <w:tc>
          <w:tcPr>
            <w:tcW w:w="4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761,733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1,579,145</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1,518,608</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Parking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50,993</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Hotel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22,070</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0" w:type="dxa"/>
            <w:vAlign w:val="bottom"/>
          </w:tcPr>
          <w:p>
            <w:pPr>
              <w:spacing w:after="0"/>
              <w:rPr>
                <w:sz w:val="1"/>
                <w:szCs w:val="1"/>
                <w:color w:val="auto"/>
              </w:rPr>
            </w:pPr>
          </w:p>
        </w:tc>
      </w:tr>
      <w:tr>
        <w:trPr>
          <w:trHeight w:val="162"/>
        </w:trPr>
        <w:tc>
          <w:tcPr>
            <w:tcW w:w="640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4,148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4,609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8,441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9,844</w:t>
            </w: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contracts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850,482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817,153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1,689,921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1,620,353</w:t>
            </w:r>
          </w:p>
        </w:tc>
        <w:tc>
          <w:tcPr>
            <w:tcW w:w="0" w:type="dxa"/>
            <w:vAlign w:val="bottom"/>
          </w:tcPr>
          <w:p>
            <w:pPr>
              <w:spacing w:after="0"/>
              <w:rPr>
                <w:sz w:val="1"/>
                <w:szCs w:val="1"/>
                <w:color w:val="auto"/>
              </w:rPr>
            </w:pPr>
          </w:p>
        </w:tc>
      </w:tr>
      <w:tr>
        <w:trPr>
          <w:trHeight w:val="195"/>
        </w:trPr>
        <w:tc>
          <w:tcPr>
            <w:tcW w:w="640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680"/>
              <w:spacing w:after="0"/>
              <w:rPr>
                <w:sz w:val="20"/>
                <w:szCs w:val="20"/>
                <w:color w:val="auto"/>
              </w:rPr>
            </w:pPr>
            <w:r>
              <w:rPr>
                <w:rFonts w:ascii="Arial" w:cs="Arial" w:eastAsia="Arial" w:hAnsi="Arial"/>
                <w:sz w:val="16"/>
                <w:szCs w:val="16"/>
                <w:color w:val="auto"/>
              </w:rPr>
              <w:t>Rental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321,426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291,036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635,583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582,344</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14,832</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94,127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99,977</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217,839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200,895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434,858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407,767</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597,550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549,184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1,189,565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1,115,983</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(14,237)</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28,284</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3,236</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(149,642)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(142,473)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(311,533)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(276,680)</w:t>
            </w:r>
          </w:p>
        </w:tc>
        <w:tc>
          <w:tcPr>
            <w:tcW w:w="0" w:type="dxa"/>
            <w:vAlign w:val="bottom"/>
          </w:tcPr>
          <w:p>
            <w:pPr>
              <w:spacing w:after="0"/>
              <w:rPr>
                <w:sz w:val="1"/>
                <w:szCs w:val="1"/>
                <w:color w:val="auto"/>
              </w:rPr>
            </w:pPr>
          </w:p>
        </w:tc>
      </w:tr>
      <w:tr>
        <w:trPr>
          <w:trHeight w:val="209"/>
        </w:trPr>
        <w:tc>
          <w:tcPr>
            <w:tcW w:w="6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108,652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137,866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216,953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245,356</w:t>
            </w: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(38,428)</w:t>
            </w:r>
          </w:p>
        </w:tc>
        <w:tc>
          <w:tcPr>
            <w:tcW w:w="0" w:type="dxa"/>
            <w:vAlign w:val="bottom"/>
          </w:tcPr>
          <w:p>
            <w:pPr>
              <w:spacing w:after="0"/>
              <w:rPr>
                <w:sz w:val="1"/>
                <w:szCs w:val="1"/>
                <w:color w:val="auto"/>
              </w:rPr>
            </w:pPr>
          </w:p>
        </w:tc>
      </w:tr>
      <w:tr>
        <w:trPr>
          <w:trHeight w:val="23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90,827</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118,098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181,907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206,928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4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Weighted average number of common units outstanding</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175,408</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174,748</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175,332</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174,693</w:t>
            </w:r>
          </w:p>
        </w:tc>
        <w:tc>
          <w:tcPr>
            <w:tcW w:w="0" w:type="dxa"/>
            <w:vAlign w:val="bottom"/>
          </w:tcPr>
          <w:p>
            <w:pPr>
              <w:spacing w:after="0"/>
              <w:rPr>
                <w:sz w:val="1"/>
                <w:szCs w:val="1"/>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0.52</w:t>
            </w:r>
          </w:p>
        </w:tc>
        <w:tc>
          <w:tcPr>
            <w:tcW w:w="4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175,660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175,140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175,531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Pr>
          <w:p>
            <w:pPr>
              <w:spacing w:after="0"/>
              <w:rPr>
                <w:sz w:val="18"/>
                <w:szCs w:val="18"/>
                <w:color w:val="auto"/>
              </w:rPr>
            </w:pPr>
          </w:p>
        </w:tc>
        <w:tc>
          <w:tcPr>
            <w:tcW w:w="260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2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6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portion of interest rate contracts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r>
      <w:tr>
        <w:trPr>
          <w:trHeight w:val="229"/>
        </w:trPr>
        <w:tc>
          <w:tcPr>
            <w:tcW w:w="6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Amortization of interest rate contracts (1)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r>
      <w:tr>
        <w:trPr>
          <w:trHeight w:val="223"/>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23,728</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11,776</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112,669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154,505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240,681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257,132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(35,334)</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(38,716)</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Comprehensive income attributable to Boston Properties Limited Partnership</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94,700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134,593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205,347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218,416</w:t>
            </w:r>
          </w:p>
        </w:tc>
      </w:tr>
      <w:tr>
        <w:trPr>
          <w:trHeight w:val="21"/>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7" w:lineRule="exact"/>
        <w:rPr>
          <w:sz w:val="20"/>
          <w:szCs w:val="20"/>
          <w:color w:val="auto"/>
        </w:rPr>
      </w:pPr>
    </w:p>
    <w:p>
      <w:pPr>
        <w:ind w:left="340" w:right="940" w:hanging="332"/>
        <w:spacing w:after="0" w:line="266"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340" w:right="2420"/>
        <w:spacing w:after="0" w:line="329"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680" w:type="dxa"/>
            <w:vAlign w:val="bottom"/>
          </w:tcPr>
          <w:p>
            <w:pPr>
              <w:spacing w:after="0"/>
              <w:rPr>
                <w:sz w:val="17"/>
                <w:szCs w:val="17"/>
                <w:color w:val="auto"/>
              </w:rPr>
            </w:pPr>
          </w:p>
        </w:tc>
        <w:tc>
          <w:tcPr>
            <w:tcW w:w="1680" w:type="dxa"/>
            <w:vAlign w:val="bottom"/>
            <w:gridSpan w:val="4"/>
          </w:tcPr>
          <w:p>
            <w:pPr>
              <w:ind w:left="5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700"/>
              <w:spacing w:after="0"/>
              <w:rPr>
                <w:sz w:val="20"/>
                <w:szCs w:val="20"/>
                <w:color w:val="auto"/>
              </w:rPr>
            </w:pPr>
            <w:r>
              <w:rPr>
                <w:rFonts w:ascii="Arial" w:cs="Arial" w:eastAsia="Arial" w:hAnsi="Arial"/>
                <w:sz w:val="14"/>
                <w:szCs w:val="14"/>
                <w:b w:val="1"/>
                <w:bCs w:val="1"/>
                <w:color w:val="auto"/>
              </w:rPr>
              <w:t>Capital</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Partners’</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Interests -</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(General and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Interests -</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Limited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Property</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Capital</w:t>
            </w: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Partnership</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Partners)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Partnerships</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March 31,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5,004,678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1,734,904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$6,735,962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1,300,409</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2,499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2,499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14,041</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(153,956)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(18,842)</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73,226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73,226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(73,226)</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Proceeds from sale of interest in property</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partnerships and contributions from</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66,237</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67,481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noncontrolling interests in property partnerships</w:t>
            </w: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(17,434)</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(17,434)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partnerships</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June 30, 2024</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5,010,460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1,801,676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$ 6,811,981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1,230,848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March 31, 2023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5,449,936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1,552,070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$6,983,792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1,074,648</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14,052</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106,007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12,091</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(153,716)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(18,376)</w:t>
            </w: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(51,550)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(51,550)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51,550</w:t>
            </w:r>
          </w:p>
        </w:tc>
        <w:tc>
          <w:tcPr>
            <w:tcW w:w="0" w:type="dxa"/>
            <w:vAlign w:val="bottom"/>
          </w:tcPr>
          <w:p>
            <w:pPr>
              <w:spacing w:after="0"/>
              <w:rPr>
                <w:sz w:val="1"/>
                <w:szCs w:val="1"/>
                <w:color w:val="auto"/>
              </w:rPr>
            </w:pPr>
          </w:p>
        </w:tc>
      </w:tr>
      <w:tr>
        <w:trPr>
          <w:trHeight w:val="215"/>
        </w:trPr>
        <w:tc>
          <w:tcPr>
            <w:tcW w:w="36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8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Distributions to noncontrolling interests in property</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partnerships</w:t>
            </w:r>
          </w:p>
        </w:tc>
        <w:tc>
          <w:tcPr>
            <w:tcW w:w="8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Equity, June 30, 2023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155,098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5,351,166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1,557,368</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6,905,128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1,135,053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80" w:right="2380"/>
        <w:spacing w:after="0" w:line="329"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560" w:type="dxa"/>
            <w:vAlign w:val="bottom"/>
            <w:gridSpan w:val="4"/>
          </w:tcPr>
          <w:p>
            <w:pPr>
              <w:ind w:left="52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700"/>
              <w:spacing w:after="0"/>
              <w:rPr>
                <w:sz w:val="20"/>
                <w:szCs w:val="20"/>
                <w:color w:val="auto"/>
              </w:rPr>
            </w:pPr>
            <w:r>
              <w:rPr>
                <w:rFonts w:ascii="Arial" w:cs="Arial" w:eastAsia="Arial" w:hAnsi="Arial"/>
                <w:sz w:val="14"/>
                <w:szCs w:val="14"/>
                <w:b w:val="1"/>
                <w:bCs w:val="1"/>
                <w:color w:val="auto"/>
              </w:rPr>
              <w:t>Capital</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Partners’</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rPr>
              <w:t>Interests -</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General</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Limited</w:t>
            </w: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(General and</w:t>
            </w: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Interests -</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Limited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Property</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Capital</w:t>
            </w:r>
          </w:p>
        </w:tc>
        <w:tc>
          <w:tcPr>
            <w:tcW w:w="12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rPr>
              <w:t>Partnership</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Partner</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Partners)</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Partnerships</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December 31, 2023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4,973,951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1,640,704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$6,593,508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1,347,575</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5,361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5,361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28,310</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compensation</w:t>
            </w: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19,009</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(307,864)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(307,864)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(37,706)</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126,034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126,034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(126,034)</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Proceeds from sale of interest in property</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partnerships and contributions from noncontrolling</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47,326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163,097</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210,423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interests in property partnerships</w:t>
            </w: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(37,459)</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(37,459)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partnerships</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June 30, 2024</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5,010,460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1,801,676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$ 6,811,981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1,230,848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December 31, 2022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5,299,428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1,547,317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1,280,886</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Net activity from contributions and unearned</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3,922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38,025</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compensation</w:t>
            </w: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21,169</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(307,409)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(36,737)</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Adjustment to reflect redeemable partnership units</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168,672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168,672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(168,672)</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63"/>
        </w:trPr>
        <w:tc>
          <w:tcPr>
            <w:tcW w:w="37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Contributions from noncontrolling interests in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partnerships</w:t>
            </w:r>
          </w:p>
        </w:tc>
        <w:tc>
          <w:tcPr>
            <w:tcW w:w="74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Arial" w:cs="Arial" w:eastAsia="Arial" w:hAnsi="Arial"/>
                <w:sz w:val="16"/>
                <w:szCs w:val="16"/>
                <w:color w:val="auto"/>
              </w:rPr>
              <w:t>Distributions to noncontrolling interests in property</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(36,220)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(36,220)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80" w:type="dxa"/>
            <w:vAlign w:val="bottom"/>
          </w:tcPr>
          <w:p>
            <w:pPr>
              <w:ind w:left="100"/>
              <w:spacing w:after="0"/>
              <w:rPr>
                <w:sz w:val="20"/>
                <w:szCs w:val="20"/>
                <w:color w:val="auto"/>
              </w:rPr>
            </w:pPr>
            <w:r>
              <w:rPr>
                <w:rFonts w:ascii="Arial" w:cs="Arial" w:eastAsia="Arial" w:hAnsi="Arial"/>
                <w:sz w:val="16"/>
                <w:szCs w:val="16"/>
                <w:color w:val="auto"/>
              </w:rPr>
              <w:t>partnerships</w:t>
            </w:r>
          </w:p>
        </w:tc>
        <w:tc>
          <w:tcPr>
            <w:tcW w:w="7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June 30,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155,098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5,351,166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1,557,368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6,905,128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1,135,053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9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9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216,953</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245,356</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434,858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407,767</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929</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sales type lease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above and below market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compensation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(Income) loss from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14,237</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11,437</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Gains from investments in securities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(3,236)</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Allowance for current expected credit losses (gains)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Non-cash portion of interest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14,940</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Unrealized gain on non-real estate investment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and other receivables,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(42,965)</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(24,758)</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Right of use assets - operating lease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Lease liabilities - operating leases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(24,650)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6,320</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interest payable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7,314</w:t>
            </w:r>
          </w:p>
        </w:tc>
      </w:tr>
      <w:tr>
        <w:trPr>
          <w:trHeight w:val="215"/>
        </w:trPr>
        <w:tc>
          <w:tcPr>
            <w:tcW w:w="7960" w:type="dxa"/>
            <w:vAlign w:val="bottom"/>
          </w:tcPr>
          <w:p>
            <w:pPr>
              <w:ind w:left="680"/>
              <w:spacing w:after="0"/>
              <w:rPr>
                <w:sz w:val="20"/>
                <w:szCs w:val="20"/>
                <w:color w:val="auto"/>
              </w:rPr>
            </w:pPr>
            <w:r>
              <w:rPr>
                <w:rFonts w:ascii="Arial" w:cs="Arial" w:eastAsia="Arial" w:hAnsi="Arial"/>
                <w:sz w:val="16"/>
                <w:szCs w:val="16"/>
                <w:color w:val="auto"/>
              </w:rPr>
              <w:t>Other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(32,922)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(21,773)</w:t>
            </w:r>
          </w:p>
        </w:tc>
      </w:tr>
      <w:tr>
        <w:trPr>
          <w:trHeight w:val="217"/>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leasing costs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(42,449)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(47,651)</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adjustments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347,706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367,827</w:t>
            </w: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564,659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613,183</w:t>
            </w:r>
          </w:p>
        </w:tc>
      </w:tr>
      <w:tr>
        <w:trPr>
          <w:trHeight w:val="195"/>
        </w:trPr>
        <w:tc>
          <w:tcPr>
            <w:tcW w:w="79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 in progress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(235,331)</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Building and other capital improvements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(66,799)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(78,344)</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Tenant improvements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(117,848)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Acquisition of real estate (net of cash received upon consolidation)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6,086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contributions to unconsolidated joint ventures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(60,461)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(103,595)</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Capital distributions from unconsolidated joint ventures</w:t>
            </w:r>
          </w:p>
        </w:tc>
        <w:tc>
          <w:tcPr>
            <w:tcW w:w="3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non-real estate investments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note receivables (including related party)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(10,500)</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in securities, net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r>
      <w:tr>
        <w:trPr>
          <w:trHeight w:val="209"/>
        </w:trPr>
        <w:tc>
          <w:tcPr>
            <w:tcW w:w="79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(553,504)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(554,864)</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Repayments of mortgage notes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unsecured senior notes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747,727</w:t>
            </w: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Repayment / redemption of unsecured senior notes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Borrowings on unsecured term loan</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7960" w:type="dxa"/>
            <w:vAlign w:val="bottom"/>
            <w:vMerge w:val="restart"/>
          </w:tcPr>
          <w:p>
            <w:pPr>
              <w:ind w:left="360"/>
              <w:spacing w:after="0"/>
              <w:rPr>
                <w:sz w:val="20"/>
                <w:szCs w:val="20"/>
                <w:color w:val="auto"/>
              </w:rPr>
            </w:pPr>
            <w:r>
              <w:rPr>
                <w:rFonts w:ascii="Arial" w:cs="Arial" w:eastAsia="Arial" w:hAnsi="Arial"/>
                <w:sz w:val="16"/>
                <w:szCs w:val="16"/>
                <w:color w:val="auto"/>
              </w:rPr>
              <w:t>Payments on finance lease obligations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9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unsecured term loan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Borrowings on commercial paper program</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1,859,075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commercial paper program</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(1,359,075)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Deferred financing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(12,339)</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activity from equity transactions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7960" w:type="dxa"/>
            <w:vAlign w:val="bottom"/>
          </w:tcPr>
          <w:p>
            <w:pPr>
              <w:ind w:left="360"/>
              <w:spacing w:after="0"/>
              <w:rPr>
                <w:sz w:val="20"/>
                <w:szCs w:val="20"/>
                <w:color w:val="auto"/>
              </w:rPr>
            </w:pPr>
            <w:r>
              <w:rPr>
                <w:rFonts w:ascii="Arial" w:cs="Arial" w:eastAsia="Arial" w:hAnsi="Arial"/>
                <w:sz w:val="16"/>
                <w:szCs w:val="16"/>
                <w:color w:val="auto"/>
              </w:rPr>
              <w:t>Distributions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(344,574)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(343,325)</w:t>
            </w:r>
          </w:p>
        </w:tc>
        <w:tc>
          <w:tcPr>
            <w:tcW w:w="0" w:type="dxa"/>
            <w:vAlign w:val="bottom"/>
          </w:tcPr>
          <w:p>
            <w:pPr>
              <w:spacing w:after="0"/>
              <w:rPr>
                <w:sz w:val="1"/>
                <w:szCs w:val="1"/>
                <w:color w:val="auto"/>
              </w:rPr>
            </w:pPr>
          </w:p>
        </w:tc>
      </w:tr>
      <w:tr>
        <w:trPr>
          <w:trHeight w:val="163"/>
        </w:trPr>
        <w:tc>
          <w:tcPr>
            <w:tcW w:w="796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Proceeds from sale of interest in property partnerships and contributions from noncontrolling interests in</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208,599</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partnerships</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(37,459)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(36,220)</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(886,221)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833,359</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cash held in escrows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(875,066)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891,678</w:t>
            </w: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09"/>
        </w:trPr>
        <w:tc>
          <w:tcPr>
            <w:tcW w:w="796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737,501</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1,628,490</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beginning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1,612,567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736,812</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1,581,575</w:t>
            </w: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held in escrows, end of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52,125</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46,915</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737,501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1,628,490</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paid for interest (net of amounts capitalized)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342,409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273,214</w:t>
            </w:r>
          </w:p>
        </w:tc>
        <w:tc>
          <w:tcPr>
            <w:tcW w:w="0" w:type="dxa"/>
            <w:vAlign w:val="bottom"/>
          </w:tcPr>
          <w:p>
            <w:pPr>
              <w:spacing w:after="0"/>
              <w:rPr>
                <w:sz w:val="1"/>
                <w:szCs w:val="1"/>
                <w:color w:val="auto"/>
              </w:rPr>
            </w:pPr>
          </w:p>
        </w:tc>
      </w:tr>
      <w:tr>
        <w:trPr>
          <w:trHeight w:val="20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capitalized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21,153</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Write-off of fully depreciated real estate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(57,999)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(84,629)</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(48,896)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25,562</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assets obtained in exchange for lease liabilities - operating lease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liability - finance lease reversal for re-assessment event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(38,491)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Right of use asset - finance lease reversal for re-assessment event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distributions to noncontrolling interests in property partnerships,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60,410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Capitalized operating lease costs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unconsolidated joint ventures eliminated upon consolidation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Mortgage notes payable recorded upon consolidation</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 estate and intangibles recorded upon consolidation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(220,015)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Distributions declared but not paid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172,172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171,465</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Conversions of redeemable partnership units to partners’ capital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43,366</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47,885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BXP, INC. AND BOSTON PROPERTIES LIMITED PARTNERSHIP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04"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BXP is a fully integrated, self-administered and self-managed REIT. BXP is the sole general partner of BPLP, its operating partnership, and at June 30, 2024, owned an approximate 89.1% (89.4% at December 31, 2023) general and limited partnership interest in BPLP. Effective July 1, 2024, BXP amended its certificate of incorporation to change its name from Boston Properties, Inc. to BXP, Inc. Unless stated otherwise or the context requires, the “Company” refers to BXP and its subsidiaries, including BPLP and its consolidated subsidiaries. Partnership interests in BPLP include:</w:t>
      </w:r>
    </w:p>
    <w:p>
      <w:pPr>
        <w:spacing w:after="0" w:line="98" w:lineRule="exact"/>
        <w:rPr>
          <w:sz w:val="20"/>
          <w:szCs w:val="20"/>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units of partnership interest (also referred to as “OP Units”) and</w:t>
      </w:r>
    </w:p>
    <w:p>
      <w:pPr>
        <w:spacing w:after="0" w:line="103" w:lineRule="exact"/>
        <w:rPr>
          <w:rFonts w:ascii="Arial" w:cs="Arial" w:eastAsia="Arial" w:hAnsi="Arial"/>
          <w:sz w:val="18"/>
          <w:szCs w:val="18"/>
          <w:color w:val="auto"/>
        </w:rPr>
      </w:pPr>
    </w:p>
    <w:p>
      <w:pPr>
        <w:ind w:left="740" w:hanging="32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term incentive units of partnership interest (also referred to as “LTIP Units”)</w:t>
      </w:r>
    </w:p>
    <w:p>
      <w:pPr>
        <w:spacing w:after="0" w:line="1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3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2013 - 2024 multi-year, long-term incentive program awards (also referred to as “MYLTIP Units”), each of which, upon the satisfaction of certain performance-based and time-based vesting conditions, is convertible into one OP Unit. The three-year measurement periods for the 2012 OPP Units and the 2013 - 2021 MYLTIP Units have ended and BXP’s total stockholder return (“TSR”) was sufficient for employees to earn and therefore become eligible to vest in a portion of the awards. Unless and until they are earned, the rights, preferences and privileges of the 2022 - 2024 MYLTIP Units differ from other LTIP Units granted to employees (including the 2012 OPP Units and the 2013 - 2021 MYLTIP Units, which have been earned). Therefore, unless specifically noted otherwise, all references to LTIP Units exclude the 2022 - 2024 MYLTIP Units. LTIP Units (including the earned 2012 OPP Units and the earned 2013 - 2021 MYLTIP Units), whether vested or not, receive the same quarterly per unit distributions as OP Units, which equal per share dividends on Common Stock (See Notes 9 and 13).</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Properties</w:t>
      </w:r>
    </w:p>
    <w:p>
      <w:pPr>
        <w:spacing w:after="0" w:line="88" w:lineRule="exact"/>
        <w:rPr>
          <w:sz w:val="20"/>
          <w:szCs w:val="20"/>
          <w:color w:val="auto"/>
        </w:rPr>
      </w:pPr>
    </w:p>
    <w:p>
      <w:pPr>
        <w:ind w:right="180" w:firstLine="445"/>
        <w:spacing w:after="0" w:line="291" w:lineRule="auto"/>
        <w:rPr>
          <w:sz w:val="20"/>
          <w:szCs w:val="20"/>
          <w:color w:val="auto"/>
        </w:rPr>
      </w:pPr>
      <w:r>
        <w:rPr>
          <w:rFonts w:ascii="Arial" w:cs="Arial" w:eastAsia="Arial" w:hAnsi="Arial"/>
          <w:sz w:val="17"/>
          <w:szCs w:val="17"/>
          <w:color w:val="auto"/>
        </w:rPr>
        <w:t>At June 30, 2024, the Company owned or had joint venture interests in a portfolio of 186 commercial real estate properties (the “Properties”) aggregating approximately 53.5 million net rentable square feet of primarily premier workplaces, including 10 properties under construction/redevelopment totaling approximately 3.1 million net rentable square feet. At June 30, 2024, the Properties consisted of:</w:t>
      </w:r>
    </w:p>
    <w:p>
      <w:pPr>
        <w:spacing w:after="0" w:line="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164 office and life sciences properties (including seven properties under construction/redevelopment);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 retail properties (including one property under construction);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seven residential properties (including two properties under construction</w:t>
      </w:r>
      <w:r>
        <w:rPr>
          <w:rFonts w:ascii="Times New Roman" w:cs="Times New Roman" w:eastAsia="Times New Roman" w:hAnsi="Times New Roman"/>
          <w:sz w:val="18"/>
          <w:szCs w:val="18"/>
          <w:color w:val="auto"/>
        </w:rPr>
        <w:t>)</w:t>
      </w:r>
      <w:r>
        <w:rPr>
          <w:rFonts w:ascii="Arial" w:cs="Arial" w:eastAsia="Arial" w:hAnsi="Arial"/>
          <w:sz w:val="18"/>
          <w:szCs w:val="18"/>
          <w:color w:val="auto"/>
        </w:rPr>
        <w: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hotel.</w:t>
      </w:r>
    </w:p>
    <w:p>
      <w:pPr>
        <w:spacing w:after="0" w:line="153" w:lineRule="exact"/>
        <w:rPr>
          <w:sz w:val="20"/>
          <w:szCs w:val="20"/>
          <w:color w:val="auto"/>
        </w:rPr>
      </w:pPr>
    </w:p>
    <w:p>
      <w:pPr>
        <w:jc w:val="both"/>
        <w:ind w:right="540" w:firstLine="445"/>
        <w:spacing w:after="0" w:line="268" w:lineRule="auto"/>
        <w:rPr>
          <w:sz w:val="20"/>
          <w:szCs w:val="20"/>
          <w:color w:val="auto"/>
        </w:rPr>
      </w:pPr>
      <w:r>
        <w:rPr>
          <w:rFonts w:ascii="Arial" w:cs="Arial" w:eastAsia="Arial" w:hAnsi="Arial"/>
          <w:sz w:val="18"/>
          <w:szCs w:val="18"/>
          <w:color w:val="auto"/>
        </w:rPr>
        <w:t>The Company considers premier workplaces to be well-located buildings that are modern structures or have been modernized to compete with newer buildings and professionally managed and maintained. As such, these properties attract high-quality tenants and command upper-tier rental rates.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determined it is the primary beneficiary are included in the consolidated financial statements. All significant 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2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2023.</w:t>
      </w:r>
    </w:p>
    <w:p>
      <w:pPr>
        <w:spacing w:after="0" w:line="127"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Company bases its estimates on historical experience and on various other assumptions that it considers to be reasonable under the circumstances, including the impact of extraordinary events such as a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Entities (VIEs)</w:t>
      </w:r>
    </w:p>
    <w:p>
      <w:pPr>
        <w:spacing w:after="0" w:line="102"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nine entities that are VIEs as of June 30, 2024 and has determined that it is the primary beneficiary for all of these entities as of June 30, 2024.</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71" w:lineRule="exact"/>
        <w:rPr>
          <w:sz w:val="20"/>
          <w:szCs w:val="20"/>
          <w:color w:val="auto"/>
        </w:rPr>
      </w:pPr>
    </w:p>
    <w:p>
      <w:pPr>
        <w:jc w:val="both"/>
        <w:ind w:right="20" w:firstLine="445"/>
        <w:spacing w:after="0" w:line="262" w:lineRule="auto"/>
        <w:rPr>
          <w:sz w:val="20"/>
          <w:szCs w:val="20"/>
          <w:color w:val="auto"/>
        </w:rPr>
      </w:pPr>
      <w:r>
        <w:rPr>
          <w:rFonts w:ascii="Arial" w:cs="Arial" w:eastAsia="Arial" w:hAnsi="Arial"/>
          <w:sz w:val="18"/>
          <w:szCs w:val="18"/>
          <w:color w:val="auto"/>
        </w:rPr>
        <w:t>As of June 30, 2024, BXP has identified nine consolidated VIEs, including BPLP. Excluding BPLP, the consolidated VIEs consisted of (i) the following five in-service properties: 767 Fifth Avenue (the General Motors Building), Times Square Tower, 601 Lexington Avenue, Atlantic Wharf Office Building and 100 Federal Street, (ii) 343 Madison Avenue, which is categorized as land held for future development and (iii) 290 Binney Street and 300 Binney Street, which are currently under development / redevelopment.</w:t>
      </w:r>
    </w:p>
    <w:p>
      <w:pPr>
        <w:spacing w:after="0" w:line="122"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spacing w:after="0" w:line="117"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In addition, BXP’s only significant asset is its investment in BPLP and, consequently, substantially all of BXP’s assets and liabilities are the assets and liabilities of BPLP.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Variable Interest Entities Not Consolidated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2024, the Company does not have any unconsolidated joint ventures that are classified as VIEs.</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88"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The Company follows the authoritative guidance for fair value measurements when valuing its financial instruments for disclosure purposes. The table below presents for June 30, 2024 and December 31, 2023, the financial instruments that are being valued for disclosure purposes as well as the Level at which they are categorized as defined in Accounting Standards Codification (“ASC”) 820 “Fair Value Measurements and Disclosures” (“ASC 820”).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80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925"/>
        </w:trPr>
        <w:tc>
          <w:tcPr>
            <w:tcW w:w="3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Financial Instrument</w:t>
            </w:r>
          </w:p>
        </w:tc>
        <w:tc>
          <w:tcPr>
            <w:tcW w:w="78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Level</w:t>
            </w:r>
          </w:p>
        </w:tc>
      </w:tr>
      <w:tr>
        <w:trPr>
          <w:trHeight w:val="22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3-Month United States Treasury Bills</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1</w:t>
            </w:r>
          </w:p>
        </w:tc>
      </w:tr>
      <w:tr>
        <w:trPr>
          <w:trHeight w:val="230"/>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Unsecured commercial paper</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1</w:t>
            </w: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in securities</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1</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Unsecured senior notes (1)</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1</w:t>
            </w: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Related party note receivable</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Notes receivable</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 receivable</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Mortgage notes payable</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Level 3</w:t>
            </w:r>
          </w:p>
        </w:tc>
      </w:tr>
      <w:tr>
        <w:trPr>
          <w:trHeight w:val="23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Unsecured term loan</w:t>
            </w:r>
          </w:p>
        </w:tc>
        <w:tc>
          <w:tcPr>
            <w:tcW w:w="7800" w:type="dxa"/>
            <w:vAlign w:val="bottom"/>
          </w:tcPr>
          <w:p>
            <w:pPr>
              <w:ind w:left="460"/>
              <w:spacing w:after="0"/>
              <w:rPr>
                <w:sz w:val="20"/>
                <w:szCs w:val="20"/>
                <w:color w:val="auto"/>
              </w:rPr>
            </w:pPr>
            <w:r>
              <w:rPr>
                <w:rFonts w:ascii="Arial" w:cs="Arial" w:eastAsia="Arial" w:hAnsi="Arial"/>
                <w:sz w:val="18"/>
                <w:szCs w:val="18"/>
                <w:color w:val="auto"/>
              </w:rPr>
              <w:t>Level 3</w:t>
            </w:r>
          </w:p>
        </w:tc>
      </w:tr>
      <w:tr>
        <w:trPr>
          <w:trHeight w:val="290"/>
        </w:trPr>
        <w:tc>
          <w:tcPr>
            <w:tcW w:w="342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7800" w:type="dxa"/>
            <w:vAlign w:val="bottom"/>
          </w:tcPr>
          <w:p>
            <w:pPr>
              <w:spacing w:after="0"/>
              <w:rPr>
                <w:sz w:val="24"/>
                <w:szCs w:val="24"/>
                <w:color w:val="auto"/>
              </w:rPr>
            </w:pPr>
          </w:p>
        </w:tc>
      </w:tr>
    </w:tbl>
    <w:p>
      <w:pPr>
        <w:ind w:left="180"/>
        <w:spacing w:after="0"/>
        <w:rPr>
          <w:sz w:val="20"/>
          <w:szCs w:val="20"/>
          <w:color w:val="auto"/>
        </w:rPr>
      </w:pPr>
      <w:r>
        <w:rPr>
          <w:rFonts w:ascii="Arial" w:cs="Arial" w:eastAsia="Arial" w:hAnsi="Arial"/>
          <w:sz w:val="16"/>
          <w:szCs w:val="16"/>
          <w:color w:val="auto"/>
        </w:rPr>
        <w:t>(1)  If trading volume for the period is low, the valuation could be categorized as Level 2.</w:t>
      </w:r>
    </w:p>
    <w:p>
      <w:pPr>
        <w:spacing w:after="0" w:line="268"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Because the Company’s valuations of its financial instruments are based on the above Levels and involve the use of estimates, the actual fair values of its financial instruments may differ materially from those estimates. In addition, the Company’s estimated fair values for these instruments as of the end of the applicable reporting period are not projections of, nor necessarily indicative of, estimated or actual fair values in future reporting periods.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2023, the Company had outstanding three-month United States Treasury Bills with a maturity date of January 30,</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2024 that were classified as held to maturity because the Company determined that it had the positive intent and ability to hold to maturity. Because these securities were considered a short-term investment, they are reflected at amortized cost within Cash and Cash Equivalents on the Consolidated Balance Sheets. At December 31, 2023, the amortized cost of these securities was approximately $302.7 million. There were no such securities outstanding at June 30, 2024.</w:t>
      </w:r>
    </w:p>
    <w:p>
      <w:pPr>
        <w:spacing w:after="0" w:line="128"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At June 30, 2024, the Company had $500.0 million outstanding under its unsecured commercial paper program (See Note 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Due to their short-term maturity and because they bear interest at market rates, the fair value of the Company’s commercial paper borrowings is approximately the carrying amount.</w:t>
      </w:r>
    </w:p>
    <w:p>
      <w:pPr>
        <w:spacing w:after="0" w:line="116" w:lineRule="exact"/>
        <w:rPr>
          <w:sz w:val="20"/>
          <w:szCs w:val="20"/>
          <w:color w:val="auto"/>
        </w:rPr>
      </w:pPr>
    </w:p>
    <w:p>
      <w:pPr>
        <w:jc w:val="both"/>
        <w:ind w:right="420" w:firstLine="445"/>
        <w:spacing w:after="0" w:line="268" w:lineRule="auto"/>
        <w:rPr>
          <w:sz w:val="20"/>
          <w:szCs w:val="20"/>
          <w:color w:val="auto"/>
        </w:rPr>
      </w:pPr>
      <w:r>
        <w:rPr>
          <w:rFonts w:ascii="Arial" w:cs="Arial" w:eastAsia="Arial" w:hAnsi="Arial"/>
          <w:sz w:val="18"/>
          <w:szCs w:val="18"/>
          <w:color w:val="auto"/>
        </w:rPr>
        <w:t>The Company’s investment in non-real estate investments is shown within Prepaid and Other Assets on the Consolidated Balance Sheets and was approximately $5.8 million and $4.6 million at June 30, 2024 and December 31, 2023, respectively. The non-real estate investments utilize net asset value as the practical expedient.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Non-Recurring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aggregate carrying value of the Company’s non-recurring fair value financial instruments and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Company’s corresponding estimate of fair value as of June 30, 2024 and December 31, 2023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gridSpan w:val="5"/>
          </w:tcPr>
          <w:p>
            <w:pPr>
              <w:ind w:left="720"/>
              <w:spacing w:after="0"/>
              <w:rPr>
                <w:sz w:val="20"/>
                <w:szCs w:val="20"/>
                <w:color w:val="auto"/>
              </w:rPr>
            </w:pPr>
            <w:r>
              <w:rPr>
                <w:rFonts w:ascii="Arial" w:cs="Arial" w:eastAsia="Arial" w:hAnsi="Arial"/>
                <w:sz w:val="16"/>
                <w:szCs w:val="16"/>
                <w:b w:val="1"/>
                <w:bCs w:val="1"/>
                <w:color w:val="auto"/>
              </w:rPr>
              <w:t>June 30, 2024</w:t>
            </w:r>
          </w:p>
        </w:tc>
        <w:tc>
          <w:tcPr>
            <w:tcW w:w="260" w:type="dxa"/>
            <w:vAlign w:val="bottom"/>
          </w:tcPr>
          <w:p>
            <w:pPr>
              <w:spacing w:after="0"/>
              <w:rPr>
                <w:sz w:val="18"/>
                <w:szCs w:val="18"/>
                <w:color w:val="auto"/>
              </w:rPr>
            </w:pPr>
          </w:p>
        </w:tc>
        <w:tc>
          <w:tcPr>
            <w:tcW w:w="27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December 31, 2023</w:t>
            </w:r>
          </w:p>
        </w:tc>
      </w:tr>
      <w:tr>
        <w:trPr>
          <w:trHeight w:val="156"/>
        </w:trPr>
        <w:tc>
          <w:tcPr>
            <w:tcW w:w="49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6"/>
                <w:szCs w:val="16"/>
                <w:b w:val="1"/>
                <w:bCs w:val="1"/>
                <w:color w:val="auto"/>
              </w:rPr>
              <w:t>Estimated</w:t>
            </w:r>
          </w:p>
        </w:tc>
        <w:tc>
          <w:tcPr>
            <w:tcW w:w="3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6"/>
                <w:szCs w:val="16"/>
                <w:b w:val="1"/>
                <w:bCs w:val="1"/>
                <w:color w:val="auto"/>
              </w:rPr>
              <w:t>Estimated</w:t>
            </w:r>
          </w:p>
        </w:tc>
      </w:tr>
      <w:tr>
        <w:trPr>
          <w:trHeight w:val="216"/>
        </w:trPr>
        <w:tc>
          <w:tcPr>
            <w:tcW w:w="4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Fair Value</w:t>
            </w: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8"/>
                <w:szCs w:val="18"/>
                <w:color w:val="auto"/>
              </w:rPr>
            </w:pPr>
          </w:p>
        </w:tc>
        <w:tc>
          <w:tcPr>
            <w:tcW w:w="1180" w:type="dxa"/>
            <w:vAlign w:val="bottom"/>
          </w:tcPr>
          <w:p>
            <w:pPr>
              <w:jc w:val="right"/>
              <w:ind w:right="231"/>
              <w:spacing w:after="0"/>
              <w:rPr>
                <w:sz w:val="20"/>
                <w:szCs w:val="20"/>
                <w:color w:val="auto"/>
              </w:rPr>
            </w:pPr>
            <w:r>
              <w:rPr>
                <w:rFonts w:ascii="Arial" w:cs="Arial" w:eastAsia="Arial" w:hAnsi="Arial"/>
                <w:sz w:val="16"/>
                <w:szCs w:val="16"/>
                <w:b w:val="1"/>
                <w:bCs w:val="1"/>
                <w:color w:val="auto"/>
              </w:rPr>
              <w:t>Fair Value</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3-Month United States Treasury Bills (1)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302,746</w:t>
            </w:r>
          </w:p>
        </w:tc>
      </w:tr>
      <w:tr>
        <w:trPr>
          <w:trHeight w:val="257"/>
        </w:trPr>
        <w:tc>
          <w:tcPr>
            <w:tcW w:w="4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note receivable,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90,538</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90,593</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Note receivable,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3,099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Sales-type lease receivable, net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13,491</w:t>
            </w: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r>
      <w:tr>
        <w:trPr>
          <w:trHeight w:val="223"/>
        </w:trPr>
        <w:tc>
          <w:tcPr>
            <w:tcW w:w="490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107,128</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104,197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105,608</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Mortgage notes payable,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4,371,478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3,894,606</w:t>
            </w:r>
          </w:p>
        </w:tc>
        <w:tc>
          <w:tcPr>
            <w:tcW w:w="3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4,166,379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3,705,513</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senior notes,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9,797,220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8,903,772</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9,697,393</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Unsecured line of credit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term loan,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1,196,945</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Unsecured commercial paper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13,998,378</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15,856,297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14,599,851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20" w:right="100" w:hanging="331"/>
        <w:spacing w:after="0" w:line="283" w:lineRule="auto"/>
        <w:tabs>
          <w:tab w:leader="none" w:pos="339"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 the guidance in ASC 326 “Financial Instruments — Credit Losses” (“ASC 326”), the Company concluded that the risk of nonpayment is nonexistent because the U.S. Government has a long history with no credit losses and, therefore, no credit loss allowance was recorded.</w:t>
      </w:r>
    </w:p>
    <w:p>
      <w:pPr>
        <w:spacing w:after="0" w:line="193"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At March 31, 2024, the Company evaluated the expected hold period for a portion of its Shady Grove property, consisting of 2 Choke Cherry Road, 2094 Gaither Road and a land parcel, located in Rockville, Maryland. Based on a shorter-than-expected hold period, the Company reduced the carrying value of a portion of the property that the Company anticipates selling to a third-party developer to its estimated fair value at March 31, 2024. As a result, during the six months ended June 30, 2024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each of BXP and BPLP recognized an impairment loss of approximately $13.6 million. The Company’s estimated fair value utilized Level 3 inputs and was based on a pending offer from a third party (See Note 3).</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Recurring Fair Value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Derivatives</w:t>
      </w:r>
    </w:p>
    <w:p>
      <w:pPr>
        <w:spacing w:after="0" w:line="10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addition to the financial instruments noted above, the Company uses interest rate swap agreements to manage its interest rate risk (See Note 7).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are classified in Level 2 of the fair value hierarchy.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The following table presents the aggregate fair value of the Company’s interest rate swaps as of June 30, 2024 and December 31, 2023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30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2024</w:t>
            </w:r>
          </w:p>
        </w:tc>
        <w:tc>
          <w:tcPr>
            <w:tcW w:w="200" w:type="dxa"/>
            <w:vAlign w:val="bottom"/>
          </w:tcPr>
          <w:p>
            <w:pPr>
              <w:spacing w:after="0"/>
              <w:rPr>
                <w:sz w:val="18"/>
                <w:szCs w:val="18"/>
                <w:color w:val="auto"/>
              </w:rPr>
            </w:pPr>
          </w:p>
        </w:tc>
        <w:tc>
          <w:tcPr>
            <w:tcW w:w="1820" w:type="dxa"/>
            <w:vAlign w:val="bottom"/>
          </w:tcPr>
          <w:p>
            <w:pPr>
              <w:jc w:val="right"/>
              <w:ind w:right="195"/>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r>
    </w:tbl>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Investments</w:t>
      </w:r>
    </w:p>
    <w:p>
      <w:pPr>
        <w:spacing w:after="0" w:line="1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 accounts for investments in equity securities at fair value, with gains or losses resulting from changes in fair value recognized currently in earnings. The Company maintains deferred compensation plans that are designed to allow officers and non-employee directors of BXP to defer a portion of the officer’s current income or the non-employee director’s current compensation on a pre-tax basis and receive a tax-deferred return on these deferrals based on the performance of specific investments selected by the officer or non-employee director. The Company’s obligation under the plans is that of an unsecured promise to pay the deferred compensation to the plan participants in the future. At June 30, 2024 and December 31, 2023, the Company had maintained approximately $36.5 million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$36.1 million, respectively, in separate accounts, which are not restricted as to their use. The Company recognized gains of approximately</w:t>
      </w:r>
    </w:p>
    <w:p>
      <w:pPr>
        <w:spacing w:after="0" w:line="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$0.3 million and $1.6 million on its investments in the accounts associated with the Company’s deferred compensation plans during the three months ended June 30, 2024 and June 30, 2023, respectively, and approximately $2.6 million and $3.2 million during the six months ended June 30, 2024 and June 30, 2023, respectively, primarily due to the observable change in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June 30, 2024 and December 31,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2024</w:t>
            </w:r>
          </w:p>
        </w:tc>
        <w:tc>
          <w:tcPr>
            <w:tcW w:w="200" w:type="dxa"/>
            <w:vAlign w:val="bottom"/>
          </w:tcPr>
          <w:p>
            <w:pPr>
              <w:spacing w:after="0"/>
              <w:rPr>
                <w:sz w:val="18"/>
                <w:szCs w:val="18"/>
                <w:color w:val="auto"/>
              </w:rPr>
            </w:pPr>
          </w:p>
        </w:tc>
        <w:tc>
          <w:tcPr>
            <w:tcW w:w="182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5,317,032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5,251,224</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Right of use assets - finance leases (1)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372,896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401,680</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324,298</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675,191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697,061</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16,759,079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16,607,756</w:t>
            </w: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3,710,439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3,592,172</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54,397</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53,716</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757,356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547,280</w:t>
            </w: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27,990,682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27,475,187</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(7,198,566)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(6,881,728)</w:t>
            </w:r>
          </w:p>
        </w:tc>
      </w:tr>
      <w:tr>
        <w:trPr>
          <w:trHeight w:val="248"/>
        </w:trPr>
        <w:tc>
          <w:tcPr>
            <w:tcW w:w="6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20,792,116</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20,593,459</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 4.</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June 30, 2024 and December 31, 2023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2024</w:t>
            </w:r>
          </w:p>
        </w:tc>
        <w:tc>
          <w:tcPr>
            <w:tcW w:w="200" w:type="dxa"/>
            <w:vAlign w:val="bottom"/>
          </w:tcPr>
          <w:p>
            <w:pPr>
              <w:spacing w:after="0"/>
              <w:rPr>
                <w:sz w:val="18"/>
                <w:szCs w:val="18"/>
                <w:color w:val="auto"/>
              </w:rPr>
            </w:pPr>
          </w:p>
        </w:tc>
        <w:tc>
          <w:tcPr>
            <w:tcW w:w="1820" w:type="dxa"/>
            <w:vAlign w:val="bottom"/>
          </w:tcPr>
          <w:p>
            <w:pPr>
              <w:jc w:val="right"/>
              <w:ind w:right="191"/>
              <w:spacing w:after="0"/>
              <w:rPr>
                <w:sz w:val="20"/>
                <w:szCs w:val="20"/>
                <w:color w:val="auto"/>
              </w:rPr>
            </w:pPr>
            <w:r>
              <w:rPr>
                <w:rFonts w:ascii="Arial" w:cs="Arial" w:eastAsia="Arial" w:hAnsi="Arial"/>
                <w:sz w:val="16"/>
                <w:szCs w:val="16"/>
                <w:b w:val="1"/>
                <w:bCs w:val="1"/>
                <w:color w:val="auto"/>
              </w:rPr>
              <w:t>December 31, 2023</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5,222,323</w:t>
            </w: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5,156,515</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Right of use assets - finance leases (1)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372,896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401,680</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 (1)</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344,292</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324,298</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Land held for future development (2)</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675,191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697,061</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16,487,523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16,336,200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3,710,439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3,592,172</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54,397</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53,716</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757,356</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547,280</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27,624,417</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27,108,922</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(7,071,799)</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(6,758,361)</w:t>
            </w: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20,552,618</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20,350,561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See Note 4.</w:t>
      </w:r>
    </w:p>
    <w:p>
      <w:pPr>
        <w:spacing w:after="0" w:line="5" w:lineRule="exact"/>
        <w:rPr>
          <w:rFonts w:ascii="Arial" w:cs="Arial" w:eastAsia="Arial" w:hAnsi="Arial"/>
          <w:sz w:val="16"/>
          <w:szCs w:val="16"/>
          <w:color w:val="auto"/>
        </w:rPr>
      </w:pPr>
    </w:p>
    <w:p>
      <w:pPr>
        <w:ind w:left="480" w:hanging="310"/>
        <w:spacing w:after="0"/>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pre-development costs.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w:t>
      </w:r>
    </w:p>
    <w:p>
      <w:pPr>
        <w:spacing w:after="0" w:line="10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January 8, 2024, the Company completed the acquisition of its joint venture partner’s 50% economic ownership interest in the joint venture that owns 901 New York Avenue, located in Washington, DC. At acquisition, the total net equity acquired was $20.0 million, which includes $10.0 million in cash that the Company paid for the joint venture partner's 50% economic ownership interest in the joint venture. The property is subject to existing mortgage indebtedness of approximately $207.1 million (See Note 6</w:t>
      </w:r>
      <w:r>
        <w:rPr>
          <w:rFonts w:ascii="Times New Roman" w:cs="Times New Roman" w:eastAsia="Times New Roman" w:hAnsi="Times New Roman"/>
          <w:sz w:val="18"/>
          <w:szCs w:val="18"/>
          <w:color w:val="auto"/>
        </w:rPr>
        <w:t>)</w:t>
      </w:r>
      <w:r>
        <w:rPr>
          <w:rFonts w:ascii="Arial" w:cs="Arial" w:eastAsia="Arial" w:hAnsi="Arial"/>
          <w:sz w:val="18"/>
          <w:szCs w:val="18"/>
          <w:color w:val="auto"/>
        </w:rPr>
        <w:t>. The acquisition resulted in the Company recording a gain upon consolidation of approximately $21.8 million, which is the difference between the fair value of the previously held equity method investment immediately prior to the consolidation of $10.0 million, less the Company’s costs basis of approximately</w:t>
      </w:r>
    </w:p>
    <w:p>
      <w:pPr>
        <w:spacing w:after="0" w:line="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$(11.8) million. The gain on consolidation is included within income (loss) from unconsolidated joint ventures in the Consolidated Statement of Operations.</w:t>
      </w:r>
    </w:p>
    <w:p>
      <w:pPr>
        <w:spacing w:after="0" w:line="117" w:lineRule="exact"/>
        <w:rPr>
          <w:sz w:val="20"/>
          <w:szCs w:val="20"/>
          <w:color w:val="auto"/>
        </w:rPr>
      </w:pPr>
    </w:p>
    <w:p>
      <w:pPr>
        <w:jc w:val="both"/>
        <w:ind w:right="220" w:firstLine="405"/>
        <w:spacing w:after="0" w:line="262" w:lineRule="auto"/>
        <w:rPr>
          <w:sz w:val="20"/>
          <w:szCs w:val="20"/>
          <w:color w:val="auto"/>
        </w:rPr>
      </w:pPr>
      <w:r>
        <w:rPr>
          <w:rFonts w:ascii="Arial" w:cs="Arial" w:eastAsia="Arial" w:hAnsi="Arial"/>
          <w:sz w:val="18"/>
          <w:szCs w:val="18"/>
          <w:color w:val="auto"/>
        </w:rPr>
        <w:t>The total net assets acquired is equal to (1) the total net equity acquired of $ 20.0 million, which includes $10.0 million in cash that the Company paid for the joint venture partner's 50% economic ownership interest in the joint venture plus (2) $207.1 million of debt assumed, less (3) net working capital acquired of approximately $ 7.1 million. The following table summarizes the allocation of the fair value of the net assets the Company received at the date of acquisition for 901 New York Avenue (in thousands):</w:t>
      </w:r>
    </w:p>
    <w:p>
      <w:pPr>
        <w:sectPr>
          <w:pgSz w:w="11900" w:h="16838" w:orient="portrait"/>
          <w:cols w:equalWidth="0" w:num="1">
            <w:col w:w="11240"/>
          </w:cols>
          <w:pgMar w:left="320" w:top="283" w:right="339" w:bottom="1440" w:gutter="0" w:footer="0" w:header="0"/>
        </w:sectPr>
      </w:pP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Land and site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Tenant improvements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In-place lease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Above-market lease intangibles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Below-market lease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Mortgage note payable adjustment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65,808</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56,882</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16,088</w:t>
            </w:r>
          </w:p>
        </w:tc>
      </w:tr>
      <w:tr>
        <w:trPr>
          <w:trHeight w:val="229"/>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72,621</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30"/>
        </w:trPr>
        <w:tc>
          <w:tcPr>
            <w:tcW w:w="8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(2,515)</w:t>
            </w:r>
          </w:p>
        </w:tc>
      </w:tr>
      <w:tr>
        <w:trPr>
          <w:trHeight w:val="235"/>
        </w:trPr>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8,374</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220,015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283" w:right="339" w:bottom="1440" w:gutter="0" w:footer="0" w:header="0"/>
          <w:type w:val="continuous"/>
        </w:sectPr>
      </w:pPr>
    </w:p>
    <w:p>
      <w:pPr>
        <w:spacing w:after="0" w:line="119" w:lineRule="exact"/>
        <w:rPr>
          <w:sz w:val="20"/>
          <w:szCs w:val="20"/>
          <w:color w:val="auto"/>
        </w:rPr>
      </w:pPr>
    </w:p>
    <w:p>
      <w:pPr>
        <w:jc w:val="both"/>
        <w:ind w:right="100" w:firstLine="441"/>
        <w:spacing w:after="0" w:line="268" w:lineRule="auto"/>
        <w:rPr>
          <w:sz w:val="20"/>
          <w:szCs w:val="20"/>
          <w:color w:val="auto"/>
        </w:rPr>
      </w:pPr>
      <w:r>
        <w:rPr>
          <w:rFonts w:ascii="Arial" w:cs="Arial" w:eastAsia="Arial" w:hAnsi="Arial"/>
          <w:sz w:val="18"/>
          <w:szCs w:val="18"/>
          <w:color w:val="auto"/>
        </w:rPr>
        <w:t>The following table summarizes the estimated annual amortization of the acquired in-place lease intangibles, and the acquired above-and below-market lease intangibles for 901 New York Avenue from January 8, 2024 through the remainder of 2024 and each of the next five succeeding fiscal years (in thousands):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Acquired In-Place Lease</w:t>
            </w:r>
          </w:p>
        </w:tc>
        <w:tc>
          <w:tcPr>
            <w:tcW w:w="2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Acquired Above-Market Lease</w:t>
            </w: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Acquired Below-Market Lease</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Intangibles</w:t>
            </w:r>
          </w:p>
        </w:tc>
        <w:tc>
          <w:tcPr>
            <w:tcW w:w="420" w:type="dxa"/>
            <w:vAlign w:val="bottom"/>
          </w:tcPr>
          <w:p>
            <w:pPr>
              <w:spacing w:after="0"/>
              <w:rPr>
                <w:sz w:val="16"/>
                <w:szCs w:val="16"/>
                <w:color w:val="auto"/>
              </w:rPr>
            </w:pPr>
          </w:p>
        </w:tc>
        <w:tc>
          <w:tcPr>
            <w:tcW w:w="18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Intangibles</w:t>
            </w:r>
          </w:p>
        </w:tc>
        <w:tc>
          <w:tcPr>
            <w:tcW w:w="400" w:type="dxa"/>
            <w:vAlign w:val="bottom"/>
          </w:tcPr>
          <w:p>
            <w:pPr>
              <w:spacing w:after="0"/>
              <w:rPr>
                <w:sz w:val="16"/>
                <w:szCs w:val="16"/>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56"/>
        </w:trPr>
        <w:tc>
          <w:tcPr>
            <w:tcW w:w="470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Period from January 8, 2024 through December 31,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vMerge w:val="continue"/>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9,030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6,265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9"/>
        </w:trPr>
        <w:tc>
          <w:tcPr>
            <w:tcW w:w="4700" w:type="dxa"/>
            <w:vAlign w:val="bottom"/>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6,076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firstLine="441"/>
        <w:spacing w:after="0" w:line="287" w:lineRule="auto"/>
        <w:rPr>
          <w:sz w:val="20"/>
          <w:szCs w:val="20"/>
          <w:color w:val="auto"/>
        </w:rPr>
      </w:pPr>
      <w:r>
        <w:rPr>
          <w:rFonts w:ascii="Arial" w:cs="Arial" w:eastAsia="Arial" w:hAnsi="Arial"/>
          <w:sz w:val="18"/>
          <w:szCs w:val="18"/>
          <w:color w:val="auto"/>
        </w:rPr>
        <w:t>The following table summarizes the weighted-average useful life of the acquired in-place lease intangibles and the acquired above- and below-market lease intangibles for 901 New York Avenue as of the acquisition date (in years):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Acquired In-Place Lease</w:t>
            </w:r>
          </w:p>
        </w:tc>
        <w:tc>
          <w:tcPr>
            <w:tcW w:w="2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Acquired Above-Market Lease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Acquired Below-Market Lease</w:t>
            </w:r>
          </w:p>
        </w:tc>
      </w:tr>
      <w:tr>
        <w:trPr>
          <w:trHeight w:val="185"/>
        </w:trPr>
        <w:tc>
          <w:tcPr>
            <w:tcW w:w="4720" w:type="dxa"/>
            <w:vAlign w:val="bottom"/>
          </w:tcPr>
          <w:p>
            <w:pPr>
              <w:spacing w:after="0"/>
              <w:rPr>
                <w:sz w:val="16"/>
                <w:szCs w:val="16"/>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Intangibles</w:t>
            </w:r>
          </w:p>
        </w:tc>
        <w:tc>
          <w:tcPr>
            <w:tcW w:w="2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Intangibles</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Intangibles</w:t>
            </w: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bl>
    <w:p>
      <w:pPr>
        <w:spacing w:after="0" w:line="332" w:lineRule="exact"/>
        <w:rPr>
          <w:sz w:val="20"/>
          <w:szCs w:val="20"/>
          <w:color w:val="auto"/>
        </w:rPr>
      </w:pPr>
    </w:p>
    <w:p>
      <w:pPr>
        <w:ind w:right="40" w:firstLine="441"/>
        <w:spacing w:after="0" w:line="268" w:lineRule="auto"/>
        <w:rPr>
          <w:sz w:val="20"/>
          <w:szCs w:val="20"/>
          <w:color w:val="auto"/>
        </w:rPr>
      </w:pPr>
      <w:r>
        <w:rPr>
          <w:rFonts w:ascii="Arial" w:cs="Arial" w:eastAsia="Arial" w:hAnsi="Arial"/>
          <w:sz w:val="18"/>
          <w:szCs w:val="18"/>
          <w:color w:val="auto"/>
        </w:rPr>
        <w:t>901 New York Avenue contributed approximately $16.3 million of revenue and $4.6 million of net loss to the Company for the period from January 8, 2024 through June 30, 2024. 901 New York Avenue is a premier workplace consisting of approximately 524,000 net rentable square feet.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w:t>
      </w:r>
    </w:p>
    <w:p>
      <w:pPr>
        <w:spacing w:after="0" w:line="102" w:lineRule="exact"/>
        <w:rPr>
          <w:sz w:val="20"/>
          <w:szCs w:val="20"/>
          <w:color w:val="auto"/>
        </w:rPr>
      </w:pPr>
    </w:p>
    <w:p>
      <w:pPr>
        <w:ind w:right="320" w:firstLine="441"/>
        <w:spacing w:after="0" w:line="262" w:lineRule="auto"/>
        <w:rPr>
          <w:sz w:val="20"/>
          <w:szCs w:val="20"/>
          <w:color w:val="auto"/>
        </w:rPr>
      </w:pPr>
      <w:r>
        <w:rPr>
          <w:rFonts w:ascii="Arial" w:cs="Arial" w:eastAsia="Arial" w:hAnsi="Arial"/>
          <w:sz w:val="18"/>
          <w:szCs w:val="18"/>
          <w:color w:val="auto"/>
        </w:rPr>
        <w:t>On February 12, 2024, the Company commenced the development of a residential project at 121 Broadway Street in Cambridge, Massachusetts that is adjacent to its development projects at 290 Binney Street and 300 Binney Street. 121 Broadway will consist of 439 residential units aggregating approximately 492,000 net rentable square feet. There can be no assurance that the Company will complete development of the project on the terms and schedule currently contemplated or at all.</w:t>
      </w:r>
    </w:p>
    <w:p>
      <w:pPr>
        <w:spacing w:after="0" w:line="122" w:lineRule="exact"/>
        <w:rPr>
          <w:sz w:val="20"/>
          <w:szCs w:val="20"/>
          <w:color w:val="auto"/>
        </w:rPr>
      </w:pPr>
    </w:p>
    <w:p>
      <w:pPr>
        <w:ind w:right="540" w:firstLine="445"/>
        <w:spacing w:after="0" w:line="287" w:lineRule="auto"/>
        <w:rPr>
          <w:sz w:val="20"/>
          <w:szCs w:val="20"/>
          <w:color w:val="auto"/>
        </w:rPr>
      </w:pPr>
      <w:r>
        <w:rPr>
          <w:rFonts w:ascii="Arial" w:cs="Arial" w:eastAsia="Arial" w:hAnsi="Arial"/>
          <w:sz w:val="18"/>
          <w:szCs w:val="18"/>
          <w:color w:val="auto"/>
        </w:rPr>
        <w:t>On April 5, 2024, the Company completed and fully placed in-service 760 Boylston Street, an approximately 118,000 net rentable square foot retail redevelopment located in Boston, Massachusetts.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Pending Disposition and Impairment</w:t>
      </w:r>
    </w:p>
    <w:p>
      <w:pPr>
        <w:spacing w:after="0" w:line="88"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At March 31, 2024, the Company evaluated the expected hold period for a portion of its Shady Grove property, consisting of 2 Choke Cherry Road, 2094 Gaither Road and a land parcel, located in Rockville, Maryland. Based on a shorter-than-expected hold period, the Company reduced the carrying value of a portion of the property that the Company anticipates selling to a third-party developer to its estimated fair value at March 31, 2024. As a result, each of BXP and BPLP recognized an impairment loss of approximately $13.6 million during the six months ended June 30, 2024. The Company’s estimated fair value was based on Level 3 inputs as defined in ASC 820 and on a pending offer from a third-party. On May 7, 2024, the Company entered into the agreement with the third-party developer for an aggregate gross sale price of approximately $24.8 million (See Note 14). 2 Choke Cherry Road and 2094 Gaither Road are two vacant office properties aggregating approximately 143,000 net rentable square feet that were taken out of service and held for redevelopment. The disposition is subject to satisfaction of customary closing conditions and there can be no assurance that this transaction will be consummated on the terms currently contemplated or at all.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220" w:right="10420" w:hanging="212"/>
        <w:spacing w:after="0" w:line="414" w:lineRule="auto"/>
        <w:tabs>
          <w:tab w:leader="none" w:pos="218"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Lessor</w:t>
      </w:r>
    </w:p>
    <w:p>
      <w:pPr>
        <w:spacing w:after="0" w:line="1"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following table summarizes the components of lease revenue recognized under the Company’s operating and sales-type leases for the three and six months ended June 30, 2024 and 2023 and included within the Company's Consolidated Statements of Operations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68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Revenue</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Fixed contractual payments</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651,730</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629,189</w:t>
            </w:r>
          </w:p>
        </w:tc>
        <w:tc>
          <w:tcPr>
            <w:tcW w:w="2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1,300,620</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1,250,835</w:t>
            </w: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Variable lease payments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138,579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132,315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278,037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267,318</w:t>
            </w: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 revenue</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23"/>
        </w:trPr>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790,555</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761,733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1,579,145</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1,518,608</w:t>
            </w:r>
          </w:p>
        </w:tc>
      </w:tr>
      <w:tr>
        <w:trPr>
          <w:trHeight w:val="21"/>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Lessee</w:t>
      </w:r>
    </w:p>
    <w:p>
      <w:pPr>
        <w:spacing w:after="0" w:line="102"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On March 28, 2024, the Company entered into a 90-year air rights lease with the Massachusetts Department of Transportation for an approximately 61,000 square foot site at the parking garage located at 100 Clarendon Street and the concourse level of the Massachusetts Bay Transportation Authority’s Back Bay Station (the “Station”). The lease requires annual base rental payments of $ 250,000 until the commencement of construction, as defined in the lease. If the Company commences construction of a project on the site on or before August 1, 2028, then a final fixed rental payment is due in accordance with the lease at that time. After August 1, 2028, if the Company commences construction of a project on the site, then a final rental payment based on the then current fair market value will be due at that time. In addition, the lease requires annual payments of $500,000 through 2033 to fund maintenance and improvements to the Station. The Company has assumed that it will begin construction on the site on or before August 1, 2028. The incremental borrowing rate for this lease is 6.57% per annum. The net present value of the ground lease payments is approximately $23.2 million. The Company classifies this lease as an operating lease. As a result, the Company recorded a Right of Use Assets – Operating Leases and Lease Liabilities – Operating Leases of approximately $23.9 million and $23.2 million, respectively, on its Consolidated Balance Sheets at March 31, 2024. The ground lease had operating lease costs of approximately $87,000 for the three months ended June 30, 2024 and for the period from March 28, 2024 through June 30, 2024.</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maturity analysis for the air rights operating lease as of March 28, 2024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Operating</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 from March 28, 2024 through December 31, 2024</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2029</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30,576</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 portion</w:t>
            </w:r>
          </w:p>
        </w:tc>
        <w:tc>
          <w:tcPr>
            <w:tcW w:w="4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23,185</w:t>
            </w:r>
          </w:p>
        </w:tc>
      </w:tr>
      <w:tr>
        <w:trPr>
          <w:trHeight w:val="20"/>
        </w:trPr>
        <w:tc>
          <w:tcPr>
            <w:tcW w:w="9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The Company has a ground lease for the land underlying its residential property, The Skylyne, in Oakland, California. The Skylyne is a residential property consisting of 402 residential units and supporting retail space totaling approximately 331,000 net rentable square feet. The ground lease has approximately 92-years remaining (including extension options) and provides the Company with the right to purchase the land subject to certain conditions. When the lease was executed in 2017, the purchase option was considered a bargain purchase option and, as a result, the Company classified it as a finance lease and the Company assumed the lessor would exercise its right to require the Company to purchase the land in May 2024 for approximately $38.7 million. In May 2024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the date of this report, the lessor has not exercised this option and the Company reassessed the accounting for the ground lease and determined that the purchase option continues to be considered a bargain purchase option and the ground lease will continue to be accounted for as a finance lease. The lease requires monthly base rental payments of a nominal amount until the purchase occurs, which the Company now estimates will be in 2030. As a result of the reassessment, the lease liability was remeasured and reduced to approximately $0.1 million. In conjunction with the reduction in the lease liability, the right of use asset was reduced to $ 0 and the difference between the lease liability and right of use asset of approximately $9.5 million was recorded as a decrease to interest expense for the three and six months ended June 30, 2024. There can be no assurance that this transaction will be consummated on the terms currently contemplated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Joint Ventures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investments in unconsolidated joint ventures consist of the following at June 30, 2024 and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31"/>
        </w:trPr>
        <w:tc>
          <w:tcPr>
            <w:tcW w:w="3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3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56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rPr>
              <w:t>Nominal %</w:t>
            </w:r>
          </w:p>
        </w:tc>
        <w:tc>
          <w:tcPr>
            <w:tcW w:w="200" w:type="dxa"/>
            <w:vAlign w:val="bottom"/>
          </w:tcPr>
          <w:p>
            <w:pPr>
              <w:spacing w:after="0"/>
              <w:rPr>
                <w:sz w:val="11"/>
                <w:szCs w:val="11"/>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 2024</w:t>
            </w:r>
          </w:p>
        </w:tc>
        <w:tc>
          <w:tcPr>
            <w:tcW w:w="14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336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2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gridSpan w:val="3"/>
          </w:tcPr>
          <w:p>
            <w:pPr>
              <w:jc w:val="right"/>
              <w:ind w:right="8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901 New York,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901 New York Avenue</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25.00 % (2)</w:t>
            </w:r>
          </w:p>
        </w:tc>
        <w:tc>
          <w:tcPr>
            <w:tcW w:w="20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(11,764)</w:t>
            </w:r>
          </w:p>
        </w:tc>
        <w:tc>
          <w:tcPr>
            <w:tcW w:w="0" w:type="dxa"/>
            <w:vAlign w:val="bottom"/>
          </w:tcPr>
          <w:p>
            <w:pPr>
              <w:spacing w:after="0"/>
              <w:rPr>
                <w:sz w:val="1"/>
                <w:szCs w:val="1"/>
                <w:color w:val="auto"/>
              </w:rPr>
            </w:pPr>
          </w:p>
        </w:tc>
      </w:tr>
      <w:tr>
        <w:trPr>
          <w:trHeight w:val="163"/>
        </w:trPr>
        <w:tc>
          <w:tcPr>
            <w:tcW w:w="33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WP Project Developer LLC</w:t>
            </w:r>
          </w:p>
        </w:tc>
        <w:tc>
          <w:tcPr>
            <w:tcW w:w="308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Wisconsin Place Land and</w:t>
            </w:r>
          </w:p>
        </w:tc>
        <w:tc>
          <w:tcPr>
            <w:tcW w:w="156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6"/>
                <w:szCs w:val="16"/>
                <w:color w:val="auto"/>
              </w:rPr>
              <w:t>33.33 % (3)</w:t>
            </w: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30,099</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30,375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Infrastructure</w:t>
            </w: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500 North Capitol Venture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500 North Capitol Street, NW</w:t>
            </w:r>
          </w:p>
        </w:tc>
        <w:tc>
          <w:tcPr>
            <w:tcW w:w="1180" w:type="dxa"/>
            <w:vAlign w:val="bottom"/>
          </w:tcPr>
          <w:p>
            <w:pPr>
              <w:jc w:val="right"/>
              <w:spacing w:after="0"/>
              <w:rPr>
                <w:sz w:val="20"/>
                <w:szCs w:val="20"/>
                <w:color w:val="auto"/>
              </w:rPr>
            </w:pPr>
            <w:r>
              <w:rPr>
                <w:rFonts w:ascii="Arial" w:cs="Arial" w:eastAsia="Arial" w:hAnsi="Arial"/>
                <w:sz w:val="16"/>
                <w:szCs w:val="16"/>
                <w:color w:val="auto"/>
              </w:rPr>
              <w:t>30.00 %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(11,198)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(10,253)</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501 K Street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1001 6th Street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Podium Developer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The Hub on Causeway - Podium</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44,223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45,201</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Tower Developer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Hub50House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40,235</w:t>
            </w:r>
          </w:p>
        </w:tc>
        <w:tc>
          <w:tcPr>
            <w:tcW w:w="0" w:type="dxa"/>
            <w:vAlign w:val="bottom"/>
          </w:tcPr>
          <w:p>
            <w:pPr>
              <w:spacing w:after="0"/>
              <w:rPr>
                <w:sz w:val="1"/>
                <w:szCs w:val="1"/>
                <w:color w:val="auto"/>
              </w:rPr>
            </w:pPr>
          </w:p>
        </w:tc>
      </w:tr>
      <w:tr>
        <w:trPr>
          <w:trHeight w:val="162"/>
        </w:trPr>
        <w:tc>
          <w:tcPr>
            <w:tcW w:w="33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Hotel Tower Developer LLC</w:t>
            </w:r>
          </w:p>
        </w:tc>
        <w:tc>
          <w:tcPr>
            <w:tcW w:w="30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The Hub on Causeway - Hotel Air</w:t>
            </w:r>
          </w:p>
        </w:tc>
        <w:tc>
          <w:tcPr>
            <w:tcW w:w="1180" w:type="dxa"/>
            <w:vAlign w:val="bottom"/>
          </w:tcPr>
          <w:p>
            <w:pPr>
              <w:jc w:val="right"/>
              <w:spacing w:after="0" w:line="162" w:lineRule="exact"/>
              <w:rPr>
                <w:sz w:val="20"/>
                <w:szCs w:val="20"/>
                <w:color w:val="auto"/>
              </w:rPr>
            </w:pPr>
            <w:r>
              <w:rPr>
                <w:rFonts w:ascii="Arial" w:cs="Arial" w:eastAsia="Arial" w:hAnsi="Arial"/>
                <w:sz w:val="16"/>
                <w:szCs w:val="16"/>
                <w:color w:val="auto"/>
              </w:rPr>
              <w:t>50.00 %</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color w:val="auto"/>
              </w:rPr>
              <w:t>13,863</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Arial" w:cs="Arial" w:eastAsia="Arial" w:hAnsi="Arial"/>
                <w:sz w:val="16"/>
                <w:szCs w:val="16"/>
                <w:color w:val="auto"/>
              </w:rPr>
              <w:t>13,494</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Rights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Office Tower Developer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Causeway Street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57,660</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1265 Main Office JV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1265 Main Street</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3,585</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BNY Tower Holdings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50.00 % (4)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CA-Colorado Center,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235,144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237,815</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7750 Wisconsin Avenue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49,445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BP-M 3HB Venture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3 Hudson Boulevard</w:t>
            </w:r>
          </w:p>
        </w:tc>
        <w:tc>
          <w:tcPr>
            <w:tcW w:w="1180" w:type="dxa"/>
            <w:vAlign w:val="bottom"/>
          </w:tcPr>
          <w:p>
            <w:pPr>
              <w:jc w:val="right"/>
              <w:spacing w:after="0"/>
              <w:rPr>
                <w:sz w:val="20"/>
                <w:szCs w:val="20"/>
                <w:color w:val="auto"/>
              </w:rPr>
            </w:pPr>
            <w:r>
              <w:rPr>
                <w:rFonts w:ascii="Arial" w:cs="Arial" w:eastAsia="Arial" w:hAnsi="Arial"/>
                <w:sz w:val="16"/>
                <w:szCs w:val="16"/>
                <w:color w:val="auto"/>
              </w:rPr>
              <w:t>25.00 %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114,223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115,103</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Platform 16 Holdings LP</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Platform 16</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55,689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Gateway Portfolio Holdings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Gateway Commons</w:t>
            </w:r>
          </w:p>
        </w:tc>
        <w:tc>
          <w:tcPr>
            <w:tcW w:w="1180" w:type="dxa"/>
            <w:vAlign w:val="bottom"/>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388,599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376,834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Rosecrans-Sepulveda Partners 4,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Beach Cities Media Campus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27,034</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Safeco Plaza REIT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Safeco Plaza</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33.67 % (5)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46,222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44,734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360 PAS Holdco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360 Park Avenue South</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71.11 % (6)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42,988</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PR II/BXP Reston Gateway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Skymark - Reston Next Residential</w:t>
            </w:r>
          </w:p>
        </w:tc>
        <w:tc>
          <w:tcPr>
            <w:tcW w:w="1180" w:type="dxa"/>
            <w:vAlign w:val="bottom"/>
          </w:tcPr>
          <w:p>
            <w:pPr>
              <w:jc w:val="right"/>
              <w:spacing w:after="0"/>
              <w:rPr>
                <w:sz w:val="20"/>
                <w:szCs w:val="20"/>
                <w:color w:val="auto"/>
              </w:rPr>
            </w:pPr>
            <w:r>
              <w:rPr>
                <w:rFonts w:ascii="Arial" w:cs="Arial" w:eastAsia="Arial" w:hAnsi="Arial"/>
                <w:sz w:val="16"/>
                <w:szCs w:val="16"/>
                <w:color w:val="auto"/>
              </w:rPr>
              <w:t>20.00 %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15,496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15,184</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751 Gateway Holdings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751 Gateway</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49.00 %</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98,117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93,411</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200 Fifth Avenue JV LLC</w:t>
            </w:r>
          </w:p>
        </w:tc>
        <w:tc>
          <w:tcPr>
            <w:tcW w:w="3080" w:type="dxa"/>
            <w:vAlign w:val="bottom"/>
            <w:gridSpan w:val="2"/>
          </w:tcPr>
          <w:p>
            <w:pPr>
              <w:ind w:left="20"/>
              <w:spacing w:after="0"/>
              <w:rPr>
                <w:sz w:val="20"/>
                <w:szCs w:val="20"/>
                <w:color w:val="auto"/>
              </w:rPr>
            </w:pPr>
            <w:r>
              <w:rPr>
                <w:rFonts w:ascii="Arial" w:cs="Arial" w:eastAsia="Arial" w:hAnsi="Arial"/>
                <w:sz w:val="16"/>
                <w:szCs w:val="16"/>
                <w:color w:val="auto"/>
              </w:rPr>
              <w:t>200 Fifth Avenue</w:t>
            </w:r>
          </w:p>
        </w:tc>
        <w:tc>
          <w:tcPr>
            <w:tcW w:w="1180" w:type="dxa"/>
            <w:vAlign w:val="bottom"/>
          </w:tcPr>
          <w:p>
            <w:pPr>
              <w:jc w:val="right"/>
              <w:spacing w:after="0"/>
              <w:rPr>
                <w:sz w:val="20"/>
                <w:szCs w:val="20"/>
                <w:color w:val="auto"/>
              </w:rPr>
            </w:pPr>
            <w:r>
              <w:rPr>
                <w:rFonts w:ascii="Arial" w:cs="Arial" w:eastAsia="Arial" w:hAnsi="Arial"/>
                <w:sz w:val="16"/>
                <w:szCs w:val="16"/>
                <w:color w:val="auto"/>
              </w:rPr>
              <w:t>26.69 %</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75,108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75,718</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ABXP Worldgate Investments LLC</w:t>
            </w: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13100 and 13150 Worldgate Drive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50.00 %</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18,360</w:t>
            </w: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1,387,305</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1,337,416</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200" w:hanging="330"/>
        <w:spacing w:after="0" w:line="255"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$31.5 million and $39.9 million at June 30, 2024 and December 31, 2023, respectively, are included within Other Liabilities in the Company’s Consolidated Balance Sheets.</w:t>
      </w:r>
    </w:p>
    <w:p>
      <w:pPr>
        <w:ind w:left="500" w:right="60" w:hanging="330"/>
        <w:spacing w:after="0" w:line="264" w:lineRule="auto"/>
        <w:tabs>
          <w:tab w:leader="none" w:pos="4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December 31, 2023, the Company’s economic ownership was approximately 50%. On January 8, 2024, the Company completed the acquisition of its joint venture partner’s 50% economic ownership interest for a gross purchase price of $10.0 million, as described in Note 3 and this Note 5. Since then, the Company accounts for its assets, liabilities and operations on a consolidated basis.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500" w:right="80" w:hanging="330"/>
        <w:spacing w:after="0" w:line="263" w:lineRule="auto"/>
        <w:tabs>
          <w:tab w:leader="none" w:pos="4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33.33% interest in the joint venture entity that owns the land, parking garage and infrastructure of the project.</w:t>
      </w:r>
    </w:p>
    <w:p>
      <w:pPr>
        <w:ind w:left="480" w:hanging="310"/>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property includes net equity balances from the amenity joint venture.</w:t>
      </w:r>
    </w:p>
    <w:p>
      <w:pPr>
        <w:spacing w:after="0" w:line="8" w:lineRule="exact"/>
        <w:rPr>
          <w:rFonts w:ascii="Arial" w:cs="Arial" w:eastAsia="Arial" w:hAnsi="Arial"/>
          <w:sz w:val="16"/>
          <w:szCs w:val="16"/>
          <w:color w:val="auto"/>
        </w:rPr>
      </w:pPr>
    </w:p>
    <w:p>
      <w:pPr>
        <w:ind w:left="500" w:right="20" w:hanging="330"/>
        <w:spacing w:after="0" w:line="255" w:lineRule="auto"/>
        <w:tabs>
          <w:tab w:leader="none" w:pos="4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ownership includes (1) a 33.0% direct interest in the joint venture, and (2) an additional 1% interest in each of the two entities through which each partner owns its interest in the joint venture.</w:t>
      </w:r>
    </w:p>
    <w:p>
      <w:pPr>
        <w:ind w:left="500" w:right="200" w:hanging="330"/>
        <w:spacing w:after="0" w:line="265" w:lineRule="auto"/>
        <w:tabs>
          <w:tab w:leader="none" w:pos="4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ownership includes (1) a 35.79% direct interest in the joint venture, (2) an additional 35.02% indirect ownership in the joint venture, and (3) an additional 1% interest in the entity through which the partner owns its interest in the joint venture.</w:t>
      </w:r>
    </w:p>
    <w:p>
      <w:pPr>
        <w:spacing w:after="0" w:line="234" w:lineRule="exact"/>
        <w:rPr>
          <w:sz w:val="20"/>
          <w:szCs w:val="20"/>
          <w:color w:val="auto"/>
        </w:rPr>
      </w:pPr>
    </w:p>
    <w:p>
      <w:pPr>
        <w:ind w:right="60" w:firstLine="445"/>
        <w:spacing w:after="0" w:line="291"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balance sheets of the Company’s unconsolidated joint ventures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gridSpan w:val="4"/>
          </w:tcPr>
          <w:p>
            <w:pPr>
              <w:jc w:val="right"/>
              <w:ind w:right="135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28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5,749,980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5,811,763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(2)</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648,481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682,291</w:t>
            </w:r>
          </w:p>
        </w:tc>
        <w:tc>
          <w:tcPr>
            <w:tcW w:w="0" w:type="dxa"/>
            <w:vAlign w:val="bottom"/>
          </w:tcPr>
          <w:p>
            <w:pPr>
              <w:spacing w:after="0"/>
              <w:rPr>
                <w:sz w:val="1"/>
                <w:szCs w:val="1"/>
                <w:color w:val="auto"/>
              </w:rPr>
            </w:pPr>
          </w:p>
        </w:tc>
      </w:tr>
      <w:tr>
        <w:trPr>
          <w:trHeight w:val="209"/>
        </w:trPr>
        <w:tc>
          <w:tcPr>
            <w:tcW w:w="722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6,398,461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6,494,054</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20" w:type="dxa"/>
            <w:vAlign w:val="bottom"/>
            <w:shd w:val="clear" w:color="auto" w:fill="CCEEFF"/>
          </w:tcPr>
          <w:p>
            <w:pPr>
              <w:ind w:left="1680"/>
              <w:spacing w:after="0"/>
              <w:rPr>
                <w:sz w:val="20"/>
                <w:szCs w:val="20"/>
                <w:color w:val="auto"/>
              </w:rPr>
            </w:pPr>
            <w:r>
              <w:rPr>
                <w:rFonts w:ascii="Arial" w:cs="Arial" w:eastAsia="Arial" w:hAnsi="Arial"/>
                <w:sz w:val="16"/>
                <w:szCs w:val="16"/>
                <w:b w:val="1"/>
                <w:bCs w:val="1"/>
                <w:color w:val="auto"/>
              </w:rPr>
              <w:t>LIABILITIES AND MEMBERS’/PARTNERS’ EQUITY</w:t>
            </w: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3,184,773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3,351,873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(3)</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361,357</w:t>
            </w:r>
          </w:p>
        </w:tc>
        <w:tc>
          <w:tcPr>
            <w:tcW w:w="0" w:type="dxa"/>
            <w:vAlign w:val="bottom"/>
          </w:tcPr>
          <w:p>
            <w:pPr>
              <w:spacing w:after="0"/>
              <w:rPr>
                <w:sz w:val="1"/>
                <w:szCs w:val="1"/>
                <w:color w:val="auto"/>
              </w:rPr>
            </w:pPr>
          </w:p>
        </w:tc>
      </w:tr>
      <w:tr>
        <w:trPr>
          <w:trHeight w:val="21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2,918,178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2,780,824</w:t>
            </w:r>
          </w:p>
        </w:tc>
        <w:tc>
          <w:tcPr>
            <w:tcW w:w="0" w:type="dxa"/>
            <w:vAlign w:val="bottom"/>
          </w:tcPr>
          <w:p>
            <w:pPr>
              <w:spacing w:after="0"/>
              <w:rPr>
                <w:sz w:val="1"/>
                <w:szCs w:val="1"/>
                <w:color w:val="auto"/>
              </w:rPr>
            </w:pPr>
          </w:p>
        </w:tc>
      </w:tr>
      <w:tr>
        <w:trPr>
          <w:trHeight w:val="234"/>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members’/partners’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6,398,461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6,494,054</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20" w:type="dxa"/>
            <w:vAlign w:val="bottom"/>
            <w:vMerge w:val="continue"/>
          </w:tcPr>
          <w:p>
            <w:pPr>
              <w:spacing w:after="0"/>
              <w:rPr>
                <w:sz w:val="16"/>
                <w:szCs w:val="16"/>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1,330,301</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1,278,483</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(4)</w:t>
            </w:r>
          </w:p>
        </w:tc>
        <w:tc>
          <w:tcPr>
            <w:tcW w:w="2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58,933</w:t>
            </w:r>
          </w:p>
        </w:tc>
        <w:tc>
          <w:tcPr>
            <w:tcW w:w="0" w:type="dxa"/>
            <w:vAlign w:val="bottom"/>
          </w:tcPr>
          <w:p>
            <w:pPr>
              <w:spacing w:after="0"/>
              <w:rPr>
                <w:sz w:val="1"/>
                <w:szCs w:val="1"/>
                <w:color w:val="auto"/>
              </w:rPr>
            </w:pPr>
          </w:p>
        </w:tc>
      </w:tr>
      <w:tr>
        <w:trPr>
          <w:trHeight w:val="209"/>
        </w:trPr>
        <w:tc>
          <w:tcPr>
            <w:tcW w:w="722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1,387,305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1,337,416</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560" w:hanging="330"/>
        <w:spacing w:after="0" w:line="252"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June 30, 2024 and December 31, 2023, this amount included right of use assets - operating leases totaling approximately $19.5 million and $20.1 million, respectively.</w:t>
      </w:r>
    </w:p>
    <w:p>
      <w:pPr>
        <w:spacing w:after="0" w:line="1" w:lineRule="exact"/>
        <w:rPr>
          <w:rFonts w:ascii="Arial" w:cs="Arial" w:eastAsia="Arial" w:hAnsi="Arial"/>
          <w:sz w:val="16"/>
          <w:szCs w:val="16"/>
          <w:color w:val="auto"/>
        </w:rPr>
      </w:pPr>
    </w:p>
    <w:p>
      <w:pPr>
        <w:ind w:left="500" w:right="940" w:hanging="330"/>
        <w:spacing w:after="0" w:line="255"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June 30, 2024 and December 31, 2023, this amount included sales-type lease receivable, net totaling approximately $14.0 million and $13.9 million, respectively.</w:t>
      </w:r>
    </w:p>
    <w:p>
      <w:pPr>
        <w:ind w:left="480" w:hanging="310"/>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June 30, 2024 and December 31, 2023, this amount included lease liabilities - operating leases totaling approximately $30.5 million.</w:t>
      </w:r>
    </w:p>
    <w:p>
      <w:pPr>
        <w:spacing w:after="0" w:line="8" w:lineRule="exact"/>
        <w:rPr>
          <w:rFonts w:ascii="Arial" w:cs="Arial" w:eastAsia="Arial" w:hAnsi="Arial"/>
          <w:sz w:val="16"/>
          <w:szCs w:val="16"/>
          <w:color w:val="auto"/>
        </w:rPr>
      </w:pPr>
    </w:p>
    <w:p>
      <w:pPr>
        <w:ind w:left="500" w:right="60" w:hanging="330"/>
        <w:spacing w:after="0" w:line="260" w:lineRule="auto"/>
        <w:tabs>
          <w:tab w:leader="none" w:pos="4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Company’s basis differences include:</w:t>
      </w:r>
    </w:p>
    <w:p>
      <w:pPr>
        <w:spacing w:after="0" w:line="162" w:lineRule="exact"/>
        <w:rPr>
          <w:sz w:val="20"/>
          <w:szCs w:val="20"/>
          <w:color w:val="auto"/>
        </w:rPr>
      </w:pPr>
    </w:p>
    <w:tbl>
      <w:tblPr>
        <w:tblLayout w:type="fixed"/>
        <w:tblInd w:w="5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Property</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June 30, 2024</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3720" w:type="dxa"/>
            <w:vAlign w:val="bottom"/>
            <w:gridSpan w:val="3"/>
          </w:tcPr>
          <w:p>
            <w:pPr>
              <w:jc w:val="right"/>
              <w:ind w:right="1359"/>
              <w:spacing w:after="0" w:line="142"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297,474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200 Fifth Avenue</w:t>
            </w:r>
          </w:p>
        </w:tc>
        <w:tc>
          <w:tcPr>
            <w:tcW w:w="260" w:type="dxa"/>
            <w:vAlign w:val="bottom"/>
          </w:tcPr>
          <w:p>
            <w:pPr>
              <w:spacing w:after="0"/>
              <w:rPr>
                <w:sz w:val="18"/>
                <w:szCs w:val="18"/>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53,949</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58,308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Gateway Commons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50,312</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Safeco Plaza</w:t>
            </w:r>
          </w:p>
        </w:tc>
        <w:tc>
          <w:tcPr>
            <w:tcW w:w="260" w:type="dxa"/>
            <w:vAlign w:val="bottom"/>
          </w:tcPr>
          <w:p>
            <w:pPr>
              <w:spacing w:after="0"/>
              <w:rPr>
                <w:sz w:val="18"/>
                <w:szCs w:val="18"/>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(29,279)</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(29,678)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360 Park Avenue South</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(115,181)</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6"/>
                <w:szCs w:val="16"/>
                <w:color w:val="auto"/>
              </w:rPr>
              <w:t>Dock 72</w:t>
            </w:r>
          </w:p>
        </w:tc>
        <w:tc>
          <w:tcPr>
            <w:tcW w:w="260" w:type="dxa"/>
            <w:vAlign w:val="bottom"/>
          </w:tcPr>
          <w:p>
            <w:pPr>
              <w:spacing w:after="0"/>
              <w:rPr>
                <w:sz w:val="18"/>
                <w:szCs w:val="18"/>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(93,775)</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(95,521)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Platform 16</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(142,680)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(143,052)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100" w:lineRule="exact"/>
        <w:rPr>
          <w:sz w:val="20"/>
          <w:szCs w:val="20"/>
          <w:color w:val="auto"/>
        </w:rPr>
      </w:pPr>
    </w:p>
    <w:p>
      <w:pPr>
        <w:ind w:left="500" w:right="180" w:hanging="330"/>
        <w:spacing w:after="0" w:line="286" w:lineRule="auto"/>
        <w:tabs>
          <w:tab w:leader="none" w:pos="4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$31.5 million and $39.9 million at June 30, 2024 and December 31, 2023, respectively, are reflected within Other Liabilities in the Company’s Consolidated Balance Sheets.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statements of operations of the Company’s unconsolidated joint ventures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4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4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r>
      <w:tr>
        <w:trPr>
          <w:trHeight w:val="210"/>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250,546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316,194</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46,453</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118,229</w:t>
            </w: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38,396</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77,819</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101,211</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84,854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112,283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173,476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219,541</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Loss from early extinguishment of debt</w:t>
            </w:r>
          </w:p>
        </w:tc>
        <w:tc>
          <w:tcPr>
            <w:tcW w:w="36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(86,862)</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(116,049)</w:t>
            </w:r>
          </w:p>
        </w:tc>
      </w:tr>
      <w:tr>
        <w:trPr>
          <w:trHeight w:val="230"/>
        </w:trPr>
        <w:tc>
          <w:tcPr>
            <w:tcW w:w="4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on derivative instruments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10,960</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r>
      <w:tr>
        <w:trPr>
          <w:trHeight w:val="248"/>
        </w:trPr>
        <w:tc>
          <w:tcPr>
            <w:tcW w:w="4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share of net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Gain on sale / consolidation</w:t>
            </w:r>
          </w:p>
        </w:tc>
        <w:tc>
          <w:tcPr>
            <w:tcW w:w="36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21,696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Basis differential (2)</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Income (loss) from unconsolidated joint ventures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(14,237)</w:t>
            </w:r>
          </w:p>
        </w:tc>
      </w:tr>
      <w:tr>
        <w:trPr>
          <w:trHeight w:val="20"/>
        </w:trPr>
        <w:tc>
          <w:tcPr>
            <w:tcW w:w="4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00" w:right="920" w:hanging="330"/>
        <w:spacing w:after="0" w:line="252"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$6.2 million and $6.9 million for the three months ended June 30, 2024 and 2023, respectively, and approximately $13.8 million and $13.2 million for the six months ended June 30, 2024 and 2023, respectively.</w:t>
      </w:r>
    </w:p>
    <w:p>
      <w:pPr>
        <w:spacing w:after="0" w:line="1" w:lineRule="exact"/>
        <w:rPr>
          <w:rFonts w:ascii="Arial" w:cs="Arial" w:eastAsia="Arial" w:hAnsi="Arial"/>
          <w:sz w:val="16"/>
          <w:szCs w:val="16"/>
          <w:color w:val="auto"/>
        </w:rPr>
      </w:pPr>
    </w:p>
    <w:p>
      <w:pPr>
        <w:ind w:left="500" w:right="40" w:hanging="330"/>
        <w:spacing w:after="0" w:line="255" w:lineRule="auto"/>
        <w:tabs>
          <w:tab w:leader="none" w:pos="4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depreciation and amortization of approximately $3.0 million and $3.7 million for the three months ended June 30, 2024 and 2023, respectively, and approximately $5.9 million and $7.4 million for the six months ended June 30, 2024 and 2023, respectively. Includes unrealized gain on derivative instruments of approximately $0.2 million and $3.9 million for the three months ended June 30, 2024 and 2023, respectively, and approximately $2.9 million and $1.0 million for the six months ended June 30, 2024 and 2023, respectively. Includes straight-line rent adjustments of approximately $0.3 million and $0.4 million for the three months ended June 30, 2024 and 2023, respectively, and approximately $0.6 million and $0.7 million for the six months ended June 30, 2024 and 2023, respectively. Also includes net above-/below-market rent adjustments of approximately $0.2 million for the three months ended June 30, 2024 and 2023, respectively, and approximately $0.4 million for the six months ended June 30, 2024 and 2023.</w:t>
      </w:r>
    </w:p>
    <w:p>
      <w:pPr>
        <w:spacing w:after="0" w:line="200" w:lineRule="exact"/>
        <w:rPr>
          <w:sz w:val="20"/>
          <w:szCs w:val="20"/>
          <w:color w:val="auto"/>
        </w:rPr>
      </w:pPr>
    </w:p>
    <w:p>
      <w:pPr>
        <w:spacing w:after="0" w:line="332" w:lineRule="exact"/>
        <w:rPr>
          <w:sz w:val="20"/>
          <w:szCs w:val="20"/>
          <w:color w:val="auto"/>
        </w:rPr>
      </w:pPr>
    </w:p>
    <w:p>
      <w:pPr>
        <w:ind w:right="920" w:firstLine="445"/>
        <w:spacing w:after="0" w:line="268" w:lineRule="auto"/>
        <w:rPr>
          <w:sz w:val="20"/>
          <w:szCs w:val="20"/>
          <w:color w:val="auto"/>
        </w:rPr>
      </w:pPr>
      <w:r>
        <w:rPr>
          <w:rFonts w:ascii="Arial" w:cs="Arial" w:eastAsia="Arial" w:hAnsi="Arial"/>
          <w:sz w:val="18"/>
          <w:szCs w:val="18"/>
          <w:color w:val="auto"/>
        </w:rPr>
        <w:t>On January 2, 2024, a joint venture in which the Company has a 50% interest partially placed in-service 651 Gateway, an approximately 327,000 net rentable square foot laboratory/life sciences project in South San Francisco, California. The property is approximately 21% pre-leased as of July 31, 2024.</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January 8, 2024, the Company acquired its joint venture partner’s 50% economic ownership interest in the joint venture that owns 901 New York Avenue, located in Washington, DC, for a gross purchase price of $10.0 million in cash (See Note 3). Prior to the acquisition, the Company had a 50% economic ownership interest in the joint venture and accounted for it under the equity method of accounting. The acquisition resulted in the Company having full ownership of the joint venture such that the Company now accounts for its assets, liabilities, and operations on a consolidated basis in its financial statements instead of under the equity method of accounting and as a result recognized a gain on consolidation of approximately $21.8 million.</w:t>
      </w:r>
    </w:p>
    <w:p>
      <w:pPr>
        <w:spacing w:after="0" w:line="12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On February 6, 2024, a joint venture in which the Company owns a 25% interest extended the maturity date of the loan collateralized by its 3 Hudson Boulevard property. At the time of the extension, the loan had an outstanding principal balance totaling $80.0 million and was scheduled to mature on February 9, 2024. The extended loan was scheduled to mature on May 9, 2024. On May 8, 2024, the loan was extended 30 days and on June 7, 2024, the loan was extended an additional 60 days. The extended loan continues to bear interest at a variable rate equal to Term SOFR plus approximately 3.61% per annum and is scheduled to mature on August 7, 2024. As of June 30, 2024, the loan had an outstanding balance, including accrued interest, of approximately $112.8 million. The Company is the lender of the loan and the loan is reflected as Related Party Note Receivables, Net on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Company’s Consolidated Balance Sheets. 3 Hudson Boulevard consists of land and improvements held for future development located in New York, New York.</w:t>
      </w:r>
    </w:p>
    <w:p>
      <w:pPr>
        <w:spacing w:after="0" w:line="99"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February 9, 2024, a joint venture in which the Company owns a 50% interest exercised an option to extend the maturity date of the construction loan collateralized by its 7750 Wisconsin Avenue property. The construction loan had a total commitment amount of approximately $252.6 million. The extended loan continues to bear interest at a variable rate equal to Term SOFR plus 1.35% per annum and matures on April 26, 2025. At the time of the extension, the loan had an outstanding balance totaling approximately $251.6 million and was scheduled to mature on April 26, 2024. 7750 Wisconsin Avenue is a premier workplace with approximately 736,000 net rentable square feet located in Bethesda, Maryland.</w:t>
      </w:r>
    </w:p>
    <w:p>
      <w:pPr>
        <w:spacing w:after="0" w:line="223"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Mortgage Notes Payable</w:t>
      </w:r>
    </w:p>
    <w:p>
      <w:pPr>
        <w:spacing w:after="0" w:line="88"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On January 8, 2024, the Company acquired its joint venture partner’s 50% economic ownership interest in the joint venture that owns 901 New York Avenue located in Washington, DC (See Note 3). The property is subject to existing mortgage indebtedness. At acquisition, the mortgage loan had an outstanding principal balance of approximately $207.1 million, bore interest at 3.61% per annum and was scheduled to mature on January 5, 2025. The mortgage loan was recorded at a fair value of approximately $198.7 million. On January 11, 2024, the Company modified the mortgage loan to provide for two extension options totaling five years of additional term, each subject to certain conditions.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Senior Notes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unsecured senior notes outstanding as of June 30, 2024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Coupon/Stated Rate</w:t>
            </w: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Effective Rate(1)</w:t>
            </w:r>
          </w:p>
        </w:tc>
        <w:tc>
          <w:tcPr>
            <w:tcW w:w="14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17"/>
                <w:szCs w:val="17"/>
                <w:color w:val="auto"/>
              </w:rPr>
            </w:pPr>
          </w:p>
        </w:tc>
        <w:tc>
          <w:tcPr>
            <w:tcW w:w="2260" w:type="dxa"/>
            <w:vAlign w:val="bottom"/>
          </w:tcPr>
          <w:p>
            <w:pPr>
              <w:ind w:left="580"/>
              <w:spacing w:after="0"/>
              <w:rPr>
                <w:sz w:val="20"/>
                <w:szCs w:val="20"/>
                <w:color w:val="auto"/>
              </w:rPr>
            </w:pPr>
            <w:r>
              <w:rPr>
                <w:rFonts w:ascii="Arial" w:cs="Arial" w:eastAsia="Arial" w:hAnsi="Arial"/>
                <w:sz w:val="14"/>
                <w:szCs w:val="14"/>
                <w:b w:val="1"/>
                <w:bCs w:val="1"/>
                <w:color w:val="auto"/>
              </w:rPr>
              <w:t>Maturity Date(2)</w:t>
            </w:r>
          </w:p>
        </w:tc>
      </w:tr>
      <w:tr>
        <w:trPr>
          <w:trHeight w:val="224"/>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 Year Unsecured Senior Notes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3.200 %</w:t>
            </w:r>
          </w:p>
        </w:tc>
        <w:tc>
          <w:tcPr>
            <w:tcW w:w="2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3.350 %</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15, 2025</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3.650 %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3.766 %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February 1, 2026</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2026</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6.750 %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6.924 %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December 1, 2027</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2028</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3.400 %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3.505 %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June 21, 2029</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2030</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10.75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3.250 %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3.343 %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January 30, 2031</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2.671 %</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2032</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12 Year Unsecured Senior Notes</w:t>
            </w:r>
          </w:p>
        </w:tc>
        <w:tc>
          <w:tcPr>
            <w:tcW w:w="1580" w:type="dxa"/>
            <w:vAlign w:val="bottom"/>
          </w:tcPr>
          <w:p>
            <w:pPr>
              <w:jc w:val="right"/>
              <w:spacing w:after="0"/>
              <w:rPr>
                <w:sz w:val="20"/>
                <w:szCs w:val="20"/>
                <w:color w:val="auto"/>
              </w:rPr>
            </w:pPr>
            <w:r>
              <w:rPr>
                <w:rFonts w:ascii="Arial" w:cs="Arial" w:eastAsia="Arial" w:hAnsi="Arial"/>
                <w:sz w:val="18"/>
                <w:szCs w:val="18"/>
                <w:color w:val="auto"/>
              </w:rPr>
              <w:t>2.450 %</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2.524 %</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October 1, 2033</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 Year Unsecured Senior Notes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6.500 %</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6.619 %</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2034</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 principal</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9,850,000</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29"/>
        </w:trPr>
        <w:tc>
          <w:tcPr>
            <w:tcW w:w="3860" w:type="dxa"/>
            <w:vAlign w:val="bottom"/>
          </w:tcPr>
          <w:p>
            <w:pPr>
              <w:ind w:left="240"/>
              <w:spacing w:after="0"/>
              <w:rPr>
                <w:sz w:val="20"/>
                <w:szCs w:val="20"/>
                <w:color w:val="auto"/>
              </w:rPr>
            </w:pPr>
            <w:r>
              <w:rPr>
                <w:rFonts w:ascii="Arial" w:cs="Arial" w:eastAsia="Arial" w:hAnsi="Arial"/>
                <w:sz w:val="18"/>
                <w:szCs w:val="18"/>
                <w:color w:val="auto"/>
              </w:rPr>
              <w:t>Net unamortized discount</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11,934</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 net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40,846</w:t>
            </w:r>
          </w:p>
        </w:tc>
        <w:tc>
          <w:tcPr>
            <w:tcW w:w="2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9,797,220</w:t>
            </w:r>
          </w:p>
        </w:tc>
        <w:tc>
          <w:tcPr>
            <w:tcW w:w="2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1" w:lineRule="exact"/>
        <w:rPr>
          <w:sz w:val="20"/>
          <w:szCs w:val="20"/>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spacing w:after="0" w:line="14" w:lineRule="exact"/>
        <w:rPr>
          <w:rFonts w:ascii="Arial" w:cs="Arial" w:eastAsia="Arial" w:hAnsi="Arial"/>
          <w:sz w:val="16"/>
          <w:szCs w:val="16"/>
          <w:color w:val="auto"/>
        </w:rPr>
      </w:pPr>
    </w:p>
    <w:p>
      <w:pPr>
        <w:ind w:left="480" w:hanging="310"/>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spacing w:after="0" w:line="35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On February 1, 2024, BPLP repaid $700.0 million in aggregate principal amount of its 3.800% senior notes due February 1, 2024. The repayment was completed with available cash and the $600.0 million proceeds from the mortgage loan entered into on October 26, 2023. The repayment price was approximately $713.3 million, which was equal to the stated principal plus approximately $13.3 million of accrued and unpaid interest to, but not including, the repayment date. Excluding the accrued and unpaid interest, the repayment price was equal to the principal amount being repaid.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Credit Facility</w:t>
      </w:r>
    </w:p>
    <w:p>
      <w:pPr>
        <w:spacing w:after="0" w:line="88" w:lineRule="exact"/>
        <w:rPr>
          <w:sz w:val="20"/>
          <w:szCs w:val="20"/>
          <w:color w:val="auto"/>
        </w:rPr>
      </w:pPr>
    </w:p>
    <w:p>
      <w:pPr>
        <w:ind w:right="40" w:firstLine="445"/>
        <w:spacing w:after="0" w:line="255" w:lineRule="auto"/>
        <w:rPr>
          <w:sz w:val="20"/>
          <w:szCs w:val="20"/>
          <w:color w:val="auto"/>
        </w:rPr>
      </w:pPr>
      <w:r>
        <w:rPr>
          <w:rFonts w:ascii="Arial" w:cs="Arial" w:eastAsia="Arial" w:hAnsi="Arial"/>
          <w:sz w:val="18"/>
          <w:szCs w:val="18"/>
          <w:color w:val="auto"/>
        </w:rPr>
        <w:t>BPLP’s unsecured revolving credit facility (the “2021 Credit Facility”) provides for borrowings of up to $2.0 billion, as described below in this Note 6, through BPLP’s revolving facility, subject to customary conditions. The 2021 Credit Facility matures on June 15, 2026 and includes a sustainability-linked pricing component. Under the 2021 Credit Facility, BPLP had the option to increase the original total commitment of $1.5 billion by up to an additional $500.0 million by increasing the amount of the Revolving Facility and/or by incurring one or more term loans, in each case, subject to syndication of the increase and other conditions (the “Accordion Option”). On September 28, 2023, BPLP exercised a portion of the Accordion Option which increased the then maximum borrowing amount under the 2021 Credit Facility from $1.5 billion to $1.815 billion. On April 29, 2024, BPLP exercised the remainder of the Accordion Option and further increased the maximum borrowing amount under the 2021 Credit Facility to $2.0 billion. All other terms of the 2021 Credit Facility remain unchanged.</w:t>
      </w:r>
    </w:p>
    <w:p>
      <w:pPr>
        <w:spacing w:after="0" w:line="131" w:lineRule="exact"/>
        <w:rPr>
          <w:sz w:val="20"/>
          <w:szCs w:val="20"/>
          <w:color w:val="auto"/>
        </w:rPr>
      </w:pPr>
    </w:p>
    <w:p>
      <w:pPr>
        <w:ind w:right="180" w:firstLine="445"/>
        <w:spacing w:after="0" w:line="262" w:lineRule="auto"/>
        <w:rPr>
          <w:sz w:val="20"/>
          <w:szCs w:val="20"/>
          <w:color w:val="auto"/>
        </w:rPr>
      </w:pPr>
      <w:r>
        <w:rPr>
          <w:rFonts w:ascii="Arial" w:cs="Arial" w:eastAsia="Arial" w:hAnsi="Arial"/>
          <w:sz w:val="18"/>
          <w:szCs w:val="18"/>
          <w:color w:val="auto"/>
        </w:rPr>
        <w:t>At June 30, 2024, BPLP had no amount outstanding under the 2021 Credit Facility. The 2021 Credit Facility is used as a backstop for BPLP’s $ 500.0 million unsecured commercial paper program (See “</w:t>
      </w:r>
      <w:r>
        <w:rPr>
          <w:rFonts w:ascii="Arial" w:cs="Arial" w:eastAsia="Arial" w:hAnsi="Arial"/>
          <w:sz w:val="18"/>
          <w:szCs w:val="18"/>
          <w:i w:val="1"/>
          <w:iCs w:val="1"/>
          <w:color w:val="auto"/>
        </w:rPr>
        <w:t>Unsecured Commercial Paper”</w:t>
      </w:r>
      <w:r>
        <w:rPr>
          <w:rFonts w:ascii="Arial" w:cs="Arial" w:eastAsia="Arial" w:hAnsi="Arial"/>
          <w:sz w:val="18"/>
          <w:szCs w:val="18"/>
          <w:color w:val="auto"/>
        </w:rPr>
        <w:t xml:space="preserve"> below). As such, BPLP intends to maintain, at a minimum, availability under the 2021 Credit Facility in an amount equal to the amount of unsecured commercial paper notes outstanding.</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Term Loan</w:t>
      </w:r>
    </w:p>
    <w:p>
      <w:pPr>
        <w:spacing w:after="0" w:line="102"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color w:val="auto"/>
        </w:rPr>
        <w:t>On January 4, 2023, BPLP entered into a credit agreement that provided for a $1.2 billion unsecured term loan facility (the “2023 Unsecured Term Loan”). Upon entry into the credit agreement, BPLP exercised its option to draw $1.2 billion under the 2023 Unsecured Term Loan.</w:t>
      </w:r>
    </w:p>
    <w:p>
      <w:pPr>
        <w:spacing w:after="0" w:line="117" w:lineRule="exact"/>
        <w:rPr>
          <w:sz w:val="20"/>
          <w:szCs w:val="20"/>
          <w:color w:val="auto"/>
        </w:rPr>
      </w:pPr>
    </w:p>
    <w:p>
      <w:pPr>
        <w:ind w:right="160" w:firstLine="441"/>
        <w:spacing w:after="0" w:line="268" w:lineRule="auto"/>
        <w:rPr>
          <w:sz w:val="20"/>
          <w:szCs w:val="20"/>
          <w:color w:val="auto"/>
        </w:rPr>
      </w:pPr>
      <w:r>
        <w:rPr>
          <w:rFonts w:ascii="Arial" w:cs="Arial" w:eastAsia="Arial" w:hAnsi="Arial"/>
          <w:sz w:val="18"/>
          <w:szCs w:val="18"/>
          <w:color w:val="auto"/>
        </w:rPr>
        <w:t>On April 29, 2024, BPLP repaid $500.0 million of the outstanding balance under the 2023 Unsecured Term Loan from the proceeds of its unsecured commercial paper program (see “</w:t>
      </w:r>
      <w:r>
        <w:rPr>
          <w:rFonts w:ascii="Arial" w:cs="Arial" w:eastAsia="Arial" w:hAnsi="Arial"/>
          <w:sz w:val="18"/>
          <w:szCs w:val="18"/>
          <w:i w:val="1"/>
          <w:iCs w:val="1"/>
          <w:color w:val="auto"/>
        </w:rPr>
        <w:t>Unsecured Commercial Paper</w:t>
      </w:r>
      <w:r>
        <w:rPr>
          <w:rFonts w:ascii="Arial" w:cs="Arial" w:eastAsia="Arial" w:hAnsi="Arial"/>
          <w:sz w:val="18"/>
          <w:szCs w:val="18"/>
          <w:color w:val="auto"/>
        </w:rPr>
        <w:t>” below). At June 30, 2024, BPLP had $700.0 million of principal outstanding under the 2023 Unsecured Term Loan.</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Under the credit agreement governing the 2023 Unsecured Term Loan, BPLP may, at any time prior to the maturity date, increase total commitments by up to an additional $ 300.0 million in aggregate principal amount by increasing the existing 2023 Unsecured Term Loan or incurring one or more additional term loans, in each case, subject to syndication of the increase and other conditions. The 2023 Unsecured Term Loan had an initial maturity date of May 16, 2024, with one 12-month extension option, subject to customary conditions. On May 16, 2024, BPLP exercised its option to extend the maturity date of the 2023 Unsecured Term Loan to May 16, 2025. All other terms of the 2023 Unsecured Term Loan remain unchanged.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Unsecured Commercial Paper</w:t>
      </w:r>
    </w:p>
    <w:p>
      <w:pPr>
        <w:spacing w:after="0" w:line="102"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$500.0 million with varying maturities of up to one year. Amounts available under the unsecured commercial paper program may be borrowed, repaid, and re-borrowed from time to time. The notes are sold in private placements and rank pari passu with all of BPLP’s other unsecured senior indebtedness, including its outstanding senior notes. The commercial paper program is backstopped by available capacity under the 2021 Credit Facility. As of June 30, 2024, BPLP had an aggregate of $500.0 million of unsecured commercial paper notes outstanding that bore interest at a weighted-average rate of approximately 5.60% per annum and had a weighted-average maturity of 49 days, from the issuance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90" w:lineRule="exact"/>
        <w:rPr>
          <w:sz w:val="20"/>
          <w:szCs w:val="20"/>
          <w:color w:val="auto"/>
        </w:rPr>
      </w:pPr>
    </w:p>
    <w:p>
      <w:pPr>
        <w:ind w:right="360" w:firstLine="445"/>
        <w:spacing w:after="0" w:line="262" w:lineRule="auto"/>
        <w:rPr>
          <w:sz w:val="20"/>
          <w:szCs w:val="20"/>
          <w:color w:val="auto"/>
        </w:rPr>
      </w:pPr>
      <w:r>
        <w:rPr>
          <w:rFonts w:ascii="Arial" w:cs="Arial" w:eastAsia="Arial" w:hAnsi="Arial"/>
          <w:sz w:val="18"/>
          <w:szCs w:val="18"/>
          <w:color w:val="auto"/>
        </w:rPr>
        <w:t>BPLP’s agreements with the swap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June 30, 2024, the Company had not posted any collateral related to the agreements.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Effective Hedge Instruments</w:t>
      </w:r>
    </w:p>
    <w:p>
      <w:pPr>
        <w:spacing w:after="0" w:line="10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BPLP assesses the effectiveness of its hedges both at inception and on an ongoing basis. If the hedges are deemed to be effective, the fair value is recorded in “Accumulated other comprehensive loss” in the Company’s Consolidated Balance Sheets and is subsequently reclassified into “Interest expense” in the Company’s Consolidated Statements of Operations in the period that the hedged forecasted transactions affect earnings. BPLP’s derivative financial instruments are cash flow hedges that are designated as effective hedges, and they are</w:t>
      </w:r>
    </w:p>
    <w:p>
      <w:pPr>
        <w:sectPr>
          <w:pgSz w:w="11900" w:h="16838" w:orient="portrait"/>
          <w:cols w:equalWidth="0" w:num="1">
            <w:col w:w="11220"/>
          </w:cols>
          <w:pgMar w:left="320" w:top="283"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carried at their estimated fair value on a recurring basis (See Note 2). The Company did not incur ineffectiveness during the three and six months ended June 30, 2024.</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BPLP’s and SMBP LLC’s interest rate swap contracts consisted of the following at June 30, 2024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6"/>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3"/>
          </w:tcPr>
          <w:p>
            <w:pPr>
              <w:ind w:left="400"/>
              <w:spacing w:after="0"/>
              <w:rPr>
                <w:sz w:val="20"/>
                <w:szCs w:val="20"/>
                <w:color w:val="auto"/>
              </w:rPr>
            </w:pPr>
            <w:r>
              <w:rPr>
                <w:rFonts w:ascii="Arial" w:cs="Arial" w:eastAsia="Arial" w:hAnsi="Arial"/>
                <w:sz w:val="14"/>
                <w:szCs w:val="14"/>
                <w:b w:val="1"/>
                <w:bCs w:val="1"/>
                <w:color w:val="auto"/>
              </w:rPr>
              <w:t>Strike Rate Range</w:t>
            </w:r>
          </w:p>
        </w:tc>
        <w:tc>
          <w:tcPr>
            <w:tcW w:w="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46"/>
              <w:spacing w:after="0" w:line="126" w:lineRule="exact"/>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8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Derivative Instrument</w:t>
            </w: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Effective Date</w:t>
            </w: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Low</w:t>
            </w:r>
          </w:p>
        </w:tc>
        <w:tc>
          <w:tcPr>
            <w:tcW w:w="900" w:type="dxa"/>
            <w:vAlign w:val="bottom"/>
            <w:vMerge w:val="restart"/>
          </w:tcPr>
          <w:p>
            <w:pPr>
              <w:jc w:val="right"/>
              <w:ind w:right="225"/>
              <w:spacing w:after="0"/>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4"/>
                <w:szCs w:val="4"/>
                <w:color w:val="auto"/>
              </w:rPr>
            </w:pPr>
          </w:p>
        </w:tc>
        <w:tc>
          <w:tcPr>
            <w:tcW w:w="2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4"/>
                <w:szCs w:val="4"/>
                <w:color w:val="auto"/>
              </w:rPr>
            </w:pPr>
          </w:p>
        </w:tc>
        <w:tc>
          <w:tcPr>
            <w:tcW w:w="92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46"/>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5"/>
                <w:szCs w:val="15"/>
                <w:b w:val="1"/>
                <w:bCs w:val="1"/>
                <w:color w:val="auto"/>
              </w:rPr>
              <w:t>BPLP:</w:t>
            </w: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December 15,</w:t>
            </w: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Prepaid expenses and other</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October 26, 2028</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3.790 % —</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3.798 %</w:t>
            </w: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6,768</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820" w:type="dxa"/>
            <w:vAlign w:val="bottom"/>
            <w:gridSpan w:val="4"/>
          </w:tcPr>
          <w:p>
            <w:pPr>
              <w:spacing w:after="0"/>
              <w:rPr>
                <w:sz w:val="20"/>
                <w:szCs w:val="20"/>
                <w:color w:val="auto"/>
              </w:rPr>
            </w:pPr>
            <w:r>
              <w:rPr>
                <w:rFonts w:ascii="Arial" w:cs="Arial" w:eastAsia="Arial" w:hAnsi="Arial"/>
                <w:sz w:val="15"/>
                <w:szCs w:val="15"/>
                <w:b w:val="1"/>
                <w:bCs w:val="1"/>
                <w:color w:val="auto"/>
              </w:rPr>
              <w:t>SMBP LLC (1)</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December 14,</w:t>
            </w: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5"/>
                <w:szCs w:val="15"/>
                <w:color w:val="auto"/>
              </w:rPr>
              <w:t>Prepaid expenses and other</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Interest Rate Swaps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2023</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April 1, 2025</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2.661 % —</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2.688 %</w:t>
            </w:r>
          </w:p>
        </w:tc>
        <w:tc>
          <w:tcPr>
            <w:tcW w:w="1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assets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900,000</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12,070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A subsidiary of the Company that is the borrower under the mortgage loan collateralized by its Santa Monica Business Park property.</w:t>
      </w:r>
    </w:p>
    <w:p>
      <w:pPr>
        <w:spacing w:after="0" w:line="245"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following table presents the location in the financial statements of the gains or losses recognized related to the Company’s cash flow hedges for the three and six months ended June 30, 2024 and 2023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Pr>
          <w:p>
            <w:pPr>
              <w:spacing w:after="0"/>
              <w:rPr>
                <w:sz w:val="18"/>
                <w:szCs w:val="18"/>
                <w:color w:val="auto"/>
              </w:rPr>
            </w:pPr>
          </w:p>
        </w:tc>
        <w:tc>
          <w:tcPr>
            <w:tcW w:w="260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224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6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56"/>
        </w:trPr>
        <w:tc>
          <w:tcPr>
            <w:tcW w:w="6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Amount of gain (loss) related to the effective portion recognized in other</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2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2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(1)</w:t>
            </w:r>
          </w:p>
        </w:tc>
        <w:tc>
          <w:tcPr>
            <w:tcW w:w="2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280" w:type="dxa"/>
            <w:vAlign w:val="bottom"/>
          </w:tcPr>
          <w:p>
            <w:pPr>
              <w:ind w:left="20"/>
              <w:spacing w:after="0" w:line="176" w:lineRule="exact"/>
              <w:rPr>
                <w:sz w:val="20"/>
                <w:szCs w:val="20"/>
                <w:color w:val="auto"/>
              </w:rPr>
            </w:pPr>
            <w:r>
              <w:rPr>
                <w:rFonts w:ascii="Arial" w:cs="Arial" w:eastAsia="Arial" w:hAnsi="Arial"/>
                <w:sz w:val="18"/>
                <w:szCs w:val="18"/>
                <w:color w:val="auto"/>
              </w:rPr>
              <w:t>Amount of gain (loss) related to the effective portion subsequently</w:t>
            </w: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3,081</w:t>
            </w:r>
          </w:p>
        </w:tc>
        <w:tc>
          <w:tcPr>
            <w:tcW w:w="2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6,441</w:t>
            </w:r>
          </w:p>
        </w:tc>
        <w:tc>
          <w:tcPr>
            <w:tcW w:w="2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reclassified to earnings (2)</w:t>
            </w:r>
          </w:p>
        </w:tc>
        <w:tc>
          <w:tcPr>
            <w:tcW w:w="2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 of gain (loss) relate do the ineffective portion and amount excluded</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effectiveness testing</w:t>
            </w:r>
          </w:p>
        </w:tc>
        <w:tc>
          <w:tcPr>
            <w:tcW w:w="240" w:type="dxa"/>
            <w:vAlign w:val="bottom"/>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the Company’s share of gain (loss) related to the effective portion of derivatives outstanding at its unconsolidated joint venture properties.</w:t>
      </w:r>
    </w:p>
    <w:p>
      <w:pPr>
        <w:spacing w:after="0" w:line="8" w:lineRule="exact"/>
        <w:rPr>
          <w:rFonts w:ascii="Arial" w:cs="Arial" w:eastAsia="Arial" w:hAnsi="Arial"/>
          <w:sz w:val="16"/>
          <w:szCs w:val="16"/>
          <w:color w:val="auto"/>
        </w:rPr>
      </w:pPr>
    </w:p>
    <w:p>
      <w:pPr>
        <w:ind w:left="480" w:hanging="310"/>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amounts from previous interest rate programs.</w:t>
      </w:r>
    </w:p>
    <w:p>
      <w:pPr>
        <w:spacing w:after="0" w:line="241"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(loss) and equity.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Ineffective Hedging Instruments</w:t>
      </w:r>
    </w:p>
    <w:p>
      <w:pPr>
        <w:spacing w:after="0" w:line="10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During the year ended December 31, 2023, to satisfy a lender requirement, the Company entered into two agreements with the same third-party to purchase and sell a $600.0 million interest rate cap. The Company did not elect hedge accounting, and as such, any change in market value will be recognized in Gain (losses) from interest rate contracts in the Consolidated Statement of Operations. For the three and six months ended June 30, 2024 and 2023, the Company recognized no impact to its Consolidated Statement of Operations from entering into these agreements.</w:t>
      </w:r>
    </w:p>
    <w:p>
      <w:pPr>
        <w:spacing w:after="0" w:line="206" w:lineRule="exact"/>
        <w:rPr>
          <w:sz w:val="20"/>
          <w:szCs w:val="20"/>
          <w:color w:val="auto"/>
        </w:rPr>
      </w:pPr>
    </w:p>
    <w:p>
      <w:pPr>
        <w:ind w:left="220" w:right="8180" w:hanging="212"/>
        <w:spacing w:after="0" w:line="360" w:lineRule="auto"/>
        <w:tabs>
          <w:tab w:leader="none" w:pos="218"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General</w:t>
      </w:r>
    </w:p>
    <w:p>
      <w:pPr>
        <w:ind w:right="40" w:firstLine="445"/>
        <w:spacing w:after="0" w:line="262" w:lineRule="auto"/>
        <w:rPr>
          <w:sz w:val="20"/>
          <w:szCs w:val="20"/>
          <w:color w:val="auto"/>
        </w:rPr>
      </w:pPr>
      <w:r>
        <w:rPr>
          <w:rFonts w:ascii="Arial" w:cs="Arial" w:eastAsia="Arial" w:hAnsi="Arial"/>
          <w:sz w:val="18"/>
          <w:szCs w:val="18"/>
          <w:color w:val="auto"/>
        </w:rPr>
        <w:t>In the normal course of business, the Company guarantees its performance of services or indemnifies third parties against its negligence. In addition, in the normal course of business, the Company guarantees to certain tenants the obligations of the Company’s subsidiaries to pay tenant improvement allowances and brokerage commissions in connection with their leases and limited costs arising from delays in delivery of their premises.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Company had letter of credit and performance obligations related to lender and development requirements that total approximately $21.5 million at June 30, 2024.</w:t>
      </w:r>
    </w:p>
    <w:p>
      <w:pPr>
        <w:spacing w:after="0" w:line="99"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17"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w:t>
      </w:r>
    </w:p>
    <w:p>
      <w:pPr>
        <w:spacing w:after="0" w:line="12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June 30, 2024, the maximum funding obligation under the guarantee was approximately $8.5 million. The Company earns a fee from the joint venture for providing the guarantee and has an agreement with the outside partners to reimburse the joint venture for their share of any payments made under the guarantee. As of June 30, 2024, no amounts related to the guarantee were recorded as liabilities in the Company’s consolidated financial statements.</w:t>
      </w:r>
    </w:p>
    <w:p>
      <w:pPr>
        <w:spacing w:after="0" w:line="129"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In connection with the sale of Metropolitan Square, an approximately 657,000 square foot office building in Washington, DC in which the Company had a 20% equity interest, the Company agreed to become a co-lender of up to $20.0 million under a mezzanine loan. The mezzanine loan has a maximum principal amount of $ 100.0 million, and it is subordinate only to an existing senior loan. The mezzanine loan may be drawn upon for future lease-up, operating and other costs on an as needed basis, and amounts borrowed will bear interest at a per annum rate of 12%, compounded monthly. As of June 30, 2024, the Company has funded approximately $3.1 million under the mezzanine loan.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88" w:lineRule="exact"/>
        <w:rPr>
          <w:sz w:val="20"/>
          <w:szCs w:val="20"/>
          <w:color w:val="auto"/>
        </w:rPr>
      </w:pPr>
    </w:p>
    <w:p>
      <w:pPr>
        <w:ind w:right="220" w:firstLine="445"/>
        <w:spacing w:after="0" w:line="268" w:lineRule="auto"/>
        <w:rPr>
          <w:sz w:val="20"/>
          <w:szCs w:val="20"/>
          <w:color w:val="auto"/>
        </w:rPr>
      </w:pPr>
      <w:r>
        <w:rPr>
          <w:rFonts w:ascii="Arial" w:cs="Arial" w:eastAsia="Arial" w:hAnsi="Arial"/>
          <w:sz w:val="18"/>
          <w:szCs w:val="18"/>
          <w:color w:val="auto"/>
        </w:rPr>
        <w:t>The Company is subject to various legal proceedings and claims that arise in the ordinary course of business. These matters are generally covered by insurance. Management believes that the final outcome of such matters will not have a material adverse effect on the financial position, results of operations or liquidity of the Company.</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connection with the acquisition of a premier workplace in New York City in 2010, the Company entered into an agreement with the seller pursuant to which the seller could earn various fees based on the future leasing performance of the property. The Company initially accrued approximately $1.5 million as an estimate of the fees it would owe the seller. The seller filed suit against the Company claiming that consideration significantly in excess of the initial reserve amount is owed under the agreement in 2020. The disagreement between the Company and the seller involves material issues of contract interpretation and, more importantly, the method of calculating fees, including various inputs (both facts and assumptions) that drive the calculation. In February 2024, a summary judgment was issued interpreting certain sections of the agreement in favor of the seller’s claims. The Company believes it has meritorious defenses to the seller’s claims, is disputing the seller’s calculations and intends to continue defending itself vigorously. However, there can be no assurance that the Company will prevail in the lawsuit. If the court ultimately agrees with the seller’s calculations, then amounts due to the seller could theoretically be as high as the additional $31 million claimed in the seller’s complaint, plus interest. Although the Company rejects those calculations, there can be no assurance that the Company’s ultimate liability will not be significantly greater than its established accrual.</w:t>
      </w:r>
    </w:p>
    <w:p>
      <w:pPr>
        <w:spacing w:after="0" w:line="128"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On April 26, 2024, Brammer Bio MA, LLC (“Brammer”), a subsidiary of Thermo Fisher Scientific Inc. and an abutter to the Company’s 290 Binney Street development project located in Cambridge, Massachusetts, filed a complaint in Superior Court in Suffolk County, Massachusetts against the Company relating to certain ongoing construction activities.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In the first quarter of 2023, the Company commenced development of 290 Binney Street, an approximately 573,000 net rentable square foot laboratory/life sciences property that is 100% pre-leased to AstraZeneca Pharmaceuticals (“AstraZeneca”). The Company has a 55% interest in the joint venture that owns 290 Binney Street. Brammer subleases the premises at 250 Binney Street, the Company’s approximately 67,000 net rentable square foot life sciences property that is adjacent to 290 Binney Street.</w:t>
      </w:r>
    </w:p>
    <w:p>
      <w:pPr>
        <w:spacing w:after="0" w:line="122"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Brammer alleges that, as a result of the Company’s construction of 290 Binney Street, it is threatened with irreparable harm due to intrusion onto the 250 Binney Street premises and the loss of its property rights. Brammer also alleges that the 290 Binney Street development project has caused and is causing major disruption to its manufacturing operations, and that it has suffered and will continue to suffer damages in the form of losses to its clients and customers. Brammer brought the action for quiet title, breach of contract, trespass and nuisance, and it is seeking declaratory and injunctive relief and specific performance purportedly to protect its property interests in the premises located at 250 Binney Street.</w:t>
      </w:r>
    </w:p>
    <w:p>
      <w:pPr>
        <w:spacing w:after="0" w:line="128"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The Company believes it has meritorious defenses against Brammer’s claims and intends to defend against them vigorously. However, there can be no assurance the Company will prevail in the litigation. If the Company is enjoined from further construction activities, it could suffer delays in construction that could result in its failure to deliver a completed building on the schedule contemplated by the Company’s lease with AstraZeneca or at all, and this could result in owing financial penalties to AstraZeneca and other third parties. Although the Company is unable to estimate a range of loss for all related matters for which losses are reasonably possible, if the court grants injunctive relief or awards monetary damages to Brammer, it could have a material adverse effect on the Company’s results of operations and financial condition.</w:t>
      </w:r>
    </w:p>
    <w:p>
      <w:pPr>
        <w:spacing w:after="0" w:line="129"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On May 16, 2024, Brammer’s motion for a preliminary injunction was denied by the trial court. Brammer subsequently appealed that decision, electing pursuant to Massachusetts civil procedure rules to petition for appeals to both a single justice of the Massachusetts Appeals Court and to a full appellate panel. On July 16, 2024, the single justice assigned to the appeal issued an order declining to rule on the substance of the appeal petition, which means that the appeal will be decided by the full panel. A date has not yet been set for the full panel hearing.</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 acts of terrorism other than nuclear, biological, chemical or radiological terrorism (“Terrorism Coverage”). The Company also carries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billion of property insurance in excess of the $1.0 billion of coverage in the Company’s property insurance program for 601 Lexington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Avenue, New York, New York, consisting of $750 million of property and Terrorism Coverage in excess of the Company’s property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and $600 million of Terrorism Coverage only in excess of the $1.75 billion of coverage. Certain properties, including the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Motors Building located at 767 Fifth Avenue in New York, New York (“767 Fifth Avenue”), are currently insured in separate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programs. The property insurance program per occurrence limits for 767 Fifth Avenue are $1.625 billion, including Terrorism Coverage.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also currently carries nuclear, biological, chemical and radiological terrorism insurance coverage for acts of terrorism certified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the Federal Terrorism Risk Insurance Act (as amended, “TRIA”) (“NBCR Coverage”), which is provided by IXP as a direct insurer,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properties in the Company’s portfolio, including 767 Fifth Avenue, but excluding certain other properties owned in joint ventures with third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parties or which the Company manages. The per occurrence limit for NBCR Coverage is $1.0 billion. Under TRIA, after the payment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required deductible and coinsurance, the NBCR Coverage provided by IXP is backstopped by the Federal Government if the aggregate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industry insured losses resulting from a certified act of terrorism exceed a “program trigger.” The program trigger is $200 million,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coinsurance is 20% and the deductible is 20% of the premiums earned by the insurer for the year prior to a claim. If the Federal Government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pays out for a loss under TRIA, it is mandatory that the Federal Government recoup the full amount of the loss from insurers offering 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coverage after the payment of the loss pursuant to a formula in TRIA. The Company may elect to terminate the NBCR Coverage if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Government seeks recoupment for losses paid under TRIA, if TRIA is not extended after its expiration on December 31, 2027,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is a change in its portfolio or for any other reason. The Company intends to continue to monitor the scope, nature and cost of available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terrorism insurance.</w:t>
      </w:r>
    </w:p>
    <w:p>
      <w:pPr>
        <w:spacing w:after="0" w:line="153"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$ 330 million annual aggregate limit, $30 million of which is provided by IXP, as a direct insurer. This insurance is subject to a deductible in the amount of 5% of the value of the affected property. In addition, the Company currently carries earthquake insurance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2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 considered as the equivalent of third-party insurance, but rather as a modified form of self-insurance. In addition, BPLP has issued a guarantee to cover liabilities of IXP in the amount of $20.0 million.</w:t>
      </w:r>
    </w:p>
    <w:p>
      <w:pPr>
        <w:spacing w:after="0" w:line="13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continues to monitor the state of the insurance market in general, and the scope and costs of coverage for acts of terrorism, earthquakes, pandemics and cybersecurity incidents,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90"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Noncontrolling interests relate to the interests in BPLP not owned by BXP and interests in consolidated property partnerships not wholly-owned by the Company. As of June 30, 2024, the noncontrolling interests in BPLP consisted of the following: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60" w:type="dxa"/>
            <w:vAlign w:val="bottom"/>
            <w:gridSpan w:val="2"/>
          </w:tcPr>
          <w:p>
            <w:pPr>
              <w:ind w:left="700"/>
              <w:spacing w:after="0"/>
              <w:rPr>
                <w:sz w:val="20"/>
                <w:szCs w:val="20"/>
                <w:color w:val="auto"/>
              </w:rPr>
            </w:pPr>
            <w:r>
              <w:rPr>
                <w:rFonts w:ascii="Arial" w:cs="Arial" w:eastAsia="Arial" w:hAnsi="Arial"/>
                <w:sz w:val="16"/>
                <w:szCs w:val="16"/>
                <w:b w:val="1"/>
                <w:bCs w:val="1"/>
                <w:color w:val="auto"/>
              </w:rPr>
              <w:t>OP Units</w:t>
            </w:r>
          </w:p>
        </w:tc>
        <w:tc>
          <w:tcPr>
            <w:tcW w:w="2280" w:type="dxa"/>
            <w:vAlign w:val="bottom"/>
            <w:gridSpan w:val="2"/>
          </w:tcPr>
          <w:p>
            <w:pPr>
              <w:ind w:left="540"/>
              <w:spacing w:after="0"/>
              <w:rPr>
                <w:sz w:val="20"/>
                <w:szCs w:val="20"/>
                <w:color w:val="auto"/>
              </w:rPr>
            </w:pPr>
            <w:r>
              <w:rPr>
                <w:rFonts w:ascii="Arial" w:cs="Arial" w:eastAsia="Arial" w:hAnsi="Arial"/>
                <w:sz w:val="16"/>
                <w:szCs w:val="16"/>
                <w:b w:val="1"/>
                <w:bCs w:val="1"/>
                <w:color w:val="auto"/>
              </w:rPr>
              <w:t>LTIP Units (1)</w:t>
            </w:r>
          </w:p>
        </w:tc>
        <w:tc>
          <w:tcPr>
            <w:tcW w:w="2280" w:type="dxa"/>
            <w:vAlign w:val="bottom"/>
            <w:gridSpan w:val="2"/>
          </w:tcPr>
          <w:p>
            <w:pPr>
              <w:ind w:left="320"/>
              <w:spacing w:after="0"/>
              <w:rPr>
                <w:sz w:val="20"/>
                <w:szCs w:val="20"/>
                <w:color w:val="auto"/>
              </w:rPr>
            </w:pPr>
            <w:r>
              <w:rPr>
                <w:rFonts w:ascii="Arial" w:cs="Arial" w:eastAsia="Arial" w:hAnsi="Arial"/>
                <w:sz w:val="16"/>
                <w:szCs w:val="16"/>
                <w:b w:val="1"/>
                <w:bCs w:val="1"/>
                <w:color w:val="auto"/>
              </w:rPr>
              <w:t>2022 MYLTIP Units</w:t>
            </w:r>
          </w:p>
        </w:tc>
        <w:tc>
          <w:tcPr>
            <w:tcW w:w="2280" w:type="dxa"/>
            <w:vAlign w:val="bottom"/>
            <w:gridSpan w:val="2"/>
          </w:tcPr>
          <w:p>
            <w:pPr>
              <w:ind w:left="340"/>
              <w:spacing w:after="0"/>
              <w:rPr>
                <w:sz w:val="20"/>
                <w:szCs w:val="20"/>
                <w:color w:val="auto"/>
              </w:rPr>
            </w:pPr>
            <w:r>
              <w:rPr>
                <w:rFonts w:ascii="Arial" w:cs="Arial" w:eastAsia="Arial" w:hAnsi="Arial"/>
                <w:sz w:val="16"/>
                <w:szCs w:val="16"/>
                <w:b w:val="1"/>
                <w:bCs w:val="1"/>
                <w:color w:val="auto"/>
              </w:rPr>
              <w:t>2023 MYLTIP Units</w:t>
            </w:r>
          </w:p>
        </w:tc>
        <w:tc>
          <w:tcPr>
            <w:tcW w:w="2120" w:type="dxa"/>
            <w:vAlign w:val="bottom"/>
          </w:tcPr>
          <w:p>
            <w:pPr>
              <w:jc w:val="right"/>
              <w:ind w:right="255"/>
              <w:spacing w:after="0"/>
              <w:rPr>
                <w:sz w:val="20"/>
                <w:szCs w:val="20"/>
                <w:color w:val="auto"/>
              </w:rPr>
            </w:pPr>
            <w:r>
              <w:rPr>
                <w:rFonts w:ascii="Arial" w:cs="Arial" w:eastAsia="Arial" w:hAnsi="Arial"/>
                <w:sz w:val="16"/>
                <w:szCs w:val="16"/>
                <w:b w:val="1"/>
                <w:bCs w:val="1"/>
                <w:color w:val="auto"/>
              </w:rPr>
              <w:t>2024 MYLTIP Units</w:t>
            </w:r>
          </w:p>
        </w:tc>
      </w:tr>
      <w:tr>
        <w:trPr>
          <w:trHeight w:val="223"/>
        </w:trPr>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16,454,712</w:t>
            </w:r>
          </w:p>
        </w:tc>
        <w:tc>
          <w:tcPr>
            <w:tcW w:w="1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2,681,580</w:t>
            </w:r>
          </w:p>
        </w:tc>
        <w:tc>
          <w:tcPr>
            <w:tcW w:w="1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252,151</w:t>
            </w:r>
          </w:p>
        </w:tc>
        <w:tc>
          <w:tcPr>
            <w:tcW w:w="2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322,053</w:t>
            </w:r>
          </w:p>
        </w:tc>
        <w:tc>
          <w:tcPr>
            <w:tcW w:w="16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330,479</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500" w:right="80" w:hanging="330"/>
        <w:spacing w:after="0" w:line="265" w:lineRule="auto"/>
        <w:tabs>
          <w:tab w:leader="none" w:pos="4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666,405 LTIP Units earned by employees under the Company’s multi-year long-term incentive awards granted between 2012 and 2021 (i.e., 2012 OPP and 2013 - 2021 MYLTIP awards).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w:t>
      </w:r>
    </w:p>
    <w:p>
      <w:pPr>
        <w:spacing w:after="0" w:line="102" w:lineRule="exact"/>
        <w:rPr>
          <w:sz w:val="20"/>
          <w:szCs w:val="20"/>
          <w:color w:val="auto"/>
        </w:rPr>
      </w:pPr>
    </w:p>
    <w:p>
      <w:pPr>
        <w:jc w:val="both"/>
        <w:ind w:right="80" w:firstLine="445"/>
        <w:spacing w:after="0" w:line="268" w:lineRule="auto"/>
        <w:rPr>
          <w:sz w:val="20"/>
          <w:szCs w:val="20"/>
          <w:color w:val="auto"/>
        </w:rPr>
      </w:pPr>
      <w:r>
        <w:rPr>
          <w:rFonts w:ascii="Arial" w:cs="Arial" w:eastAsia="Arial" w:hAnsi="Arial"/>
          <w:sz w:val="18"/>
          <w:szCs w:val="18"/>
          <w:color w:val="auto"/>
        </w:rPr>
        <w:t>During the six months ended June 30, 2024, 76,906 OP Units were presented by the holders for redemption (including an aggregate of 56,489 OP Units issued upon conversion of LTIP Units, 2012 OPP Units and MYLTIP Units) and were redeemed by BXP in exchange for an equal number of shares of Common Stock.</w:t>
      </w:r>
    </w:p>
    <w:p>
      <w:pPr>
        <w:spacing w:after="0" w:line="117"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At June 30, 2024, BPLP had outstanding the 2022 - 2024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2022 - 2024 MYLTIP Units, the Company will make a “catch-up” cash payment on the MYLTIP Units that are ultimately earned in an amount equal to the regular and special dividends, if any, declared during the performance period on a number of shares of</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Common Stock agreed to the number of 2022 - 2024 MYLTIP Units that are earned, less the distributions actually paid during the performance period on all of the awarded 2022 - 2024 MYLTIP Units.</w:t>
      </w:r>
    </w:p>
    <w:p>
      <w:pPr>
        <w:spacing w:after="0" w:line="99" w:lineRule="exact"/>
        <w:rPr>
          <w:sz w:val="20"/>
          <w:szCs w:val="20"/>
          <w:color w:val="auto"/>
        </w:rPr>
      </w:pPr>
    </w:p>
    <w:p>
      <w:pPr>
        <w:ind w:right="80" w:firstLine="445"/>
        <w:spacing w:after="0" w:line="262" w:lineRule="auto"/>
        <w:rPr>
          <w:sz w:val="20"/>
          <w:szCs w:val="20"/>
          <w:color w:val="auto"/>
        </w:rPr>
      </w:pPr>
      <w:r>
        <w:rPr>
          <w:rFonts w:ascii="Arial" w:cs="Arial" w:eastAsia="Arial" w:hAnsi="Arial"/>
          <w:sz w:val="18"/>
          <w:szCs w:val="18"/>
          <w:color w:val="auto"/>
        </w:rPr>
        <w:t>On February 1, 2024, the measurement period for the Company’s 2021 MYLTIP awards ended and, based on BXP’s absolute and relative TSR performance, the final payout was determined to be 112% of target, or an aggregate of approximately $12.6 million (after giving effect to employee separations). As a result, an aggregate of 155,625 2021 MYLTIP Units that had been previously granted were automatically forfeited.</w:t>
      </w:r>
    </w:p>
    <w:p>
      <w:pPr>
        <w:spacing w:after="0" w:line="122"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The following table presents BPLP’s distributions on the OP Units and LTIP Units and MYLTIP Units paid or declared in 2024 and during the six months ended June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2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 Date</w:t>
            </w: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Distributions per OP Unit and</w:t>
            </w:r>
          </w:p>
        </w:tc>
        <w:tc>
          <w:tcPr>
            <w:tcW w:w="2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6"/>
        </w:trPr>
        <w:tc>
          <w:tcPr>
            <w:tcW w:w="344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LTIP Unit</w:t>
            </w:r>
          </w:p>
        </w:tc>
        <w:tc>
          <w:tcPr>
            <w:tcW w:w="2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28, 2024</w:t>
            </w:r>
          </w:p>
        </w:tc>
        <w:tc>
          <w:tcPr>
            <w:tcW w:w="18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31, 2024</w:t>
            </w:r>
          </w:p>
        </w:tc>
        <w:tc>
          <w:tcPr>
            <w:tcW w:w="1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March 28, 2024</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April 30, 2024</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29, 2023</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30, 2024</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31, 2023</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April 28, 2023</w:t>
            </w:r>
          </w:p>
        </w:tc>
        <w:tc>
          <w:tcPr>
            <w:tcW w:w="2320" w:type="dxa"/>
            <w:vAlign w:val="bottom"/>
          </w:tcPr>
          <w:p>
            <w:pPr>
              <w:jc w:val="right"/>
              <w:spacing w:after="0"/>
              <w:rPr>
                <w:sz w:val="20"/>
                <w:szCs w:val="20"/>
                <w:color w:val="auto"/>
              </w:rPr>
            </w:pPr>
            <w:r>
              <w:rPr>
                <w:rFonts w:ascii="Arial" w:cs="Arial" w:eastAsia="Arial" w:hAnsi="Arial"/>
                <w:sz w:val="18"/>
                <w:szCs w:val="18"/>
                <w:color w:val="auto"/>
              </w:rPr>
              <w:t>$0.98</w:t>
            </w:r>
          </w:p>
        </w:tc>
        <w:tc>
          <w:tcPr>
            <w:tcW w:w="28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30, 2022</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30, 2023</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8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2013 - 2021 MYLTIP Units), assuming in each case that all conditions had been met for the conversion thereof, had all of such units been redeemed at June 30, 2024 was approximately $1.2 billion based on the last reported price of a share of Common Stock on the New York Stock Exchange of $61.56 per share on June 28, 2024.</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Interests—Property Partnerships</w:t>
      </w:r>
    </w:p>
    <w:p>
      <w:pPr>
        <w:spacing w:after="0" w:line="102" w:lineRule="exact"/>
        <w:rPr>
          <w:sz w:val="20"/>
          <w:szCs w:val="20"/>
          <w:color w:val="auto"/>
        </w:rPr>
      </w:pPr>
    </w:p>
    <w:p>
      <w:pPr>
        <w:ind w:right="200" w:firstLine="445"/>
        <w:spacing w:after="0" w:line="282" w:lineRule="auto"/>
        <w:rPr>
          <w:sz w:val="20"/>
          <w:szCs w:val="20"/>
          <w:color w:val="auto"/>
        </w:rPr>
      </w:pPr>
      <w:r>
        <w:rPr>
          <w:rFonts w:ascii="Arial" w:cs="Arial" w:eastAsia="Arial" w:hAnsi="Arial"/>
          <w:sz w:val="17"/>
          <w:szCs w:val="17"/>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$1.8 billion and $1.6 billion at June 30, 2024 and December 31, 2023, respectively, are included in Noncontrolling Interests—Property Partnerships on the accompanying Consolidated Balance Sheets.</w:t>
      </w:r>
    </w:p>
    <w:p>
      <w:pPr>
        <w:spacing w:after="0" w:line="10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On March 21, 2024, the Company completed the sale of a 45% interest in 290 Binney Street in Cambridge, Massachusetts.  The institutional investor funded approximately $97.2 million in cash at closing, which is less than 45% of the agreed upon carrying value of the property immediately prior to the transaction.  The institutional investor will fund all construction costs until its equity balance is proportionate to its ownership percentage, after which the Company and the institutional investor will fund the development project based on their respective ownership interests.  The Company retains a 55% ownership interest in the joint venture.  The transaction did not qualify as a sale of real estate for financial reporting purposes as the Company continues to effectively control the property and thus will continue to account for the property on a consolidated basis in its financial statements and no gain was recognized in the Consolidated Statements of Operations.  The Company provides customary development, property management and leasing services to the joint venture. </w:t>
      </w:r>
    </w:p>
    <w:p>
      <w:pPr>
        <w:spacing w:after="0" w:line="13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Company has accounted for the transaction as an equity transaction and as of March 21, 2024 has recognized noncontrolling interest in its Consolidated Balance Sheets totaling approximately $104.6 million, which is equal to 45% of the aggregate carrying value of the total equity of the property immediately prior to the transaction.  The difference between the cash proceeds received and the noncontrolling interest recognized, which was approximately $ 7.5 million, has been reflected as a decrease in additional paid-in capital in the Company’s Consolidated Balance Sheets.  At the end of each reporting period, there will be a reallocation of the partners’ equity balances such that the ending balance in each partners’ capital account reflects each partners’ claim on net assets.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These adjustments will impact additional paid-in capital and noncontrolling interest in property partnerships in the Company’s Consolidated Balance Sheets. For the three and six months ended June 30, 2024, the adjustment was approximately $(15.7) million and $35.0 million, respectively. </w:t>
      </w:r>
    </w:p>
    <w:p>
      <w:pPr>
        <w:spacing w:after="0" w:line="117" w:lineRule="exact"/>
        <w:rPr>
          <w:sz w:val="20"/>
          <w:szCs w:val="20"/>
          <w:color w:val="auto"/>
        </w:rPr>
      </w:pPr>
    </w:p>
    <w:p>
      <w:pPr>
        <w:ind w:right="740" w:firstLine="441"/>
        <w:spacing w:after="0" w:line="287" w:lineRule="auto"/>
        <w:rPr>
          <w:sz w:val="20"/>
          <w:szCs w:val="20"/>
          <w:color w:val="auto"/>
        </w:rPr>
      </w:pPr>
      <w:r>
        <w:rPr>
          <w:rFonts w:ascii="Arial" w:cs="Arial" w:eastAsia="Arial" w:hAnsi="Arial"/>
          <w:sz w:val="18"/>
          <w:szCs w:val="18"/>
          <w:color w:val="auto"/>
        </w:rPr>
        <w:t>290 Binney Street is an approximately 573,000 net rentable square foot laboratory/life sciences development project located in Cambridge, Massachusetts.  The  development project is 100% pre-leased to a life sciences company.  </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Partners’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2024, BXP had 157,097,841 shares of Common Stock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2024, BXP owned 1,762,341 general partnership units and 155,335,500 limited partnership units in BPLP.</w:t>
      </w:r>
    </w:p>
    <w:p>
      <w:pPr>
        <w:spacing w:after="0" w:line="1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May 17, 2023,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No shares of Common Stock have been issued under this ATM stock offering program.</w:t>
      </w:r>
    </w:p>
    <w:p>
      <w:pPr>
        <w:spacing w:after="0" w:line="128" w:lineRule="exact"/>
        <w:rPr>
          <w:sz w:val="20"/>
          <w:szCs w:val="20"/>
          <w:color w:val="auto"/>
        </w:rPr>
      </w:pPr>
    </w:p>
    <w:p>
      <w:pPr>
        <w:ind w:right="420" w:firstLine="445"/>
        <w:spacing w:after="0" w:line="287" w:lineRule="auto"/>
        <w:rPr>
          <w:sz w:val="20"/>
          <w:szCs w:val="20"/>
          <w:color w:val="auto"/>
        </w:rPr>
      </w:pPr>
      <w:r>
        <w:rPr>
          <w:rFonts w:ascii="Arial" w:cs="Arial" w:eastAsia="Arial" w:hAnsi="Arial"/>
          <w:sz w:val="18"/>
          <w:szCs w:val="18"/>
          <w:color w:val="auto"/>
        </w:rPr>
        <w:t>During the six months ended June 30, 2024, BXP issued 76,906 shares of Common Stock in connection with the redemption of an equal number of redeemable OP Units from limited partners.</w:t>
      </w:r>
    </w:p>
    <w:p>
      <w:pPr>
        <w:spacing w:after="0" w:line="99"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The following table presents BXP’s dividends per share and BPLP’s distributions per OP Unit and LTIP Unit paid or declared in 2024 and during the six months ended June 30,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 Date</w:t>
            </w:r>
          </w:p>
        </w:tc>
        <w:tc>
          <w:tcPr>
            <w:tcW w:w="3180" w:type="dxa"/>
            <w:vAlign w:val="bottom"/>
            <w:gridSpan w:val="2"/>
          </w:tcPr>
          <w:p>
            <w:pPr>
              <w:ind w:left="20"/>
              <w:spacing w:after="0"/>
              <w:rPr>
                <w:sz w:val="20"/>
                <w:szCs w:val="20"/>
                <w:color w:val="auto"/>
              </w:rPr>
            </w:pPr>
            <w:r>
              <w:rPr>
                <w:rFonts w:ascii="Arial" w:cs="Arial" w:eastAsia="Arial" w:hAnsi="Arial"/>
                <w:sz w:val="16"/>
                <w:szCs w:val="16"/>
                <w:b w:val="1"/>
                <w:bCs w:val="1"/>
                <w:color w:val="auto"/>
              </w:rPr>
              <w:t>Payment Date</w:t>
            </w:r>
          </w:p>
        </w:tc>
        <w:tc>
          <w:tcPr>
            <w:tcW w:w="2560" w:type="dxa"/>
            <w:vAlign w:val="bottom"/>
            <w:gridSpan w:val="2"/>
          </w:tcPr>
          <w:p>
            <w:pPr>
              <w:ind w:left="680"/>
              <w:spacing w:after="0"/>
              <w:rPr>
                <w:sz w:val="20"/>
                <w:szCs w:val="20"/>
                <w:color w:val="auto"/>
              </w:rPr>
            </w:pPr>
            <w:r>
              <w:rPr>
                <w:rFonts w:ascii="Arial" w:cs="Arial" w:eastAsia="Arial" w:hAnsi="Arial"/>
                <w:sz w:val="16"/>
                <w:szCs w:val="16"/>
                <w:b w:val="1"/>
                <w:bCs w:val="1"/>
                <w:color w:val="auto"/>
              </w:rPr>
              <w:t>Dividend (Per Share)</w:t>
            </w:r>
          </w:p>
        </w:tc>
        <w:tc>
          <w:tcPr>
            <w:tcW w:w="2300" w:type="dxa"/>
            <w:vAlign w:val="bottom"/>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28, 2024</w:t>
            </w:r>
          </w:p>
        </w:tc>
        <w:tc>
          <w:tcPr>
            <w:tcW w:w="18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31, 2024</w:t>
            </w:r>
          </w:p>
        </w:tc>
        <w:tc>
          <w:tcPr>
            <w:tcW w:w="1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28, 2024</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April 30, 2024</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29, 2023</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30, 2024</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70"/>
        </w:trPr>
        <w:tc>
          <w:tcPr>
            <w:tcW w:w="2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31, 2023</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April 28, 2023</w:t>
            </w: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30, 2022</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30, 2023</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04"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The following tables present reconciliations of Net Income Attributable to BXP, Inc. to the Company’s share of Net Operating Income and Net Income Attributable to Boston Properties Limited Partnership to the Company’s share of Net Operating Income for the three and six months ended June 30, 2024 and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16"/>
                <w:szCs w:val="16"/>
                <w:color w:val="auto"/>
              </w:rPr>
            </w:pPr>
          </w:p>
        </w:tc>
        <w:tc>
          <w:tcPr>
            <w:tcW w:w="2200" w:type="dxa"/>
            <w:vAlign w:val="bottom"/>
            <w:gridSpan w:val="4"/>
            <w:vMerge w:val="restart"/>
          </w:tcPr>
          <w:p>
            <w:pPr>
              <w:jc w:val="right"/>
              <w:ind w:right="30"/>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5"/>
          </w:tcPr>
          <w:p>
            <w:pPr>
              <w:ind w:left="3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BXP,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79,615</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182,215</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interest—common units of the Operating Partnership</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35,046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38,428</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276,680</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Arial" w:cs="Arial" w:eastAsia="Arial" w:hAnsi="Arial"/>
                <w:sz w:val="18"/>
                <w:szCs w:val="18"/>
                <w:color w:val="auto"/>
              </w:rPr>
              <w:t>Impairment loss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83,010</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219,542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202,577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438,258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411,311</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94,127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99,977</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47,391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47,958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93,961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95,055</w:t>
            </w: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partnerships</w:t>
            </w:r>
          </w:p>
        </w:tc>
        <w:tc>
          <w:tcPr>
            <w:tcW w:w="1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Unrealized gain on non-real estate investment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from investments in securities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Interest and other income (loss)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10,788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28,284</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unconsolidated joint ventures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0" w:type="dxa"/>
            <w:vAlign w:val="bottom"/>
          </w:tcPr>
          <w:p>
            <w:pPr>
              <w:spacing w:after="0"/>
              <w:rPr>
                <w:sz w:val="1"/>
                <w:szCs w:val="1"/>
                <w:color w:val="auto"/>
              </w:rPr>
            </w:pPr>
          </w:p>
        </w:tc>
      </w:tr>
      <w:tr>
        <w:trPr>
          <w:trHeight w:val="175"/>
        </w:trPr>
        <w:tc>
          <w:tcPr>
            <w:tcW w:w="6420" w:type="dxa"/>
            <w:vAlign w:val="bottom"/>
          </w:tcPr>
          <w:p>
            <w:pPr>
              <w:ind w:left="360"/>
              <w:spacing w:after="0" w:line="176" w:lineRule="exact"/>
              <w:rPr>
                <w:sz w:val="20"/>
                <w:szCs w:val="20"/>
                <w:color w:val="auto"/>
              </w:rPr>
            </w:pPr>
            <w:r>
              <w:rPr>
                <w:rFonts w:ascii="Arial" w:cs="Arial" w:eastAsia="Arial" w:hAnsi="Arial"/>
                <w:sz w:val="18"/>
                <w:szCs w:val="18"/>
                <w:color w:val="auto"/>
              </w:rPr>
              <w:t>Direct reimbursements of payroll and related costs from management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4,148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4,609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8,441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43"/>
        </w:trPr>
        <w:tc>
          <w:tcPr>
            <w:tcW w:w="6420" w:type="dxa"/>
            <w:vAlign w:val="bottom"/>
          </w:tcPr>
          <w:p>
            <w:pPr>
              <w:ind w:left="600"/>
              <w:spacing w:after="0"/>
              <w:rPr>
                <w:sz w:val="20"/>
                <w:szCs w:val="20"/>
                <w:color w:val="auto"/>
              </w:rPr>
            </w:pPr>
            <w:r>
              <w:rPr>
                <w:rFonts w:ascii="Arial" w:cs="Arial" w:eastAsia="Arial" w:hAnsi="Arial"/>
                <w:sz w:val="18"/>
                <w:szCs w:val="18"/>
                <w:color w:val="auto"/>
              </w:rPr>
              <w:t>services contracts</w:t>
            </w: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Arial" w:cs="Arial" w:eastAsia="Arial" w:hAnsi="Arial"/>
                <w:sz w:val="18"/>
                <w:szCs w:val="18"/>
                <w:color w:val="auto"/>
              </w:rPr>
              <w:t>Company’s share of Net Operating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492,913</w:t>
            </w:r>
          </w:p>
        </w:tc>
        <w:tc>
          <w:tcPr>
            <w:tcW w:w="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497,785</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990,593</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982,450</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552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2"/>
        </w:trPr>
        <w:tc>
          <w:tcPr>
            <w:tcW w:w="6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June</w:t>
            </w:r>
          </w:p>
        </w:tc>
        <w:tc>
          <w:tcPr>
            <w:tcW w:w="120" w:type="dxa"/>
            <w:vAlign w:val="bottom"/>
          </w:tcPr>
          <w:p>
            <w:pPr>
              <w:spacing w:after="0"/>
              <w:rPr>
                <w:sz w:val="16"/>
                <w:szCs w:val="16"/>
                <w:color w:val="auto"/>
              </w:rPr>
            </w:pPr>
          </w:p>
        </w:tc>
        <w:tc>
          <w:tcPr>
            <w:tcW w:w="2220" w:type="dxa"/>
            <w:vAlign w:val="bottom"/>
            <w:gridSpan w:val="4"/>
            <w:vMerge w:val="restart"/>
          </w:tcPr>
          <w:p>
            <w:pPr>
              <w:jc w:val="right"/>
              <w:ind w:right="3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ind w:left="4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Limited Partnership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90,827</w:t>
            </w:r>
          </w:p>
        </w:tc>
        <w:tc>
          <w:tcPr>
            <w:tcW w:w="4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181,907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206,928</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in property partnerships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0" w:type="dxa"/>
            <w:vAlign w:val="bottom"/>
          </w:tcPr>
          <w:p>
            <w:pPr>
              <w:spacing w:after="0"/>
              <w:rPr>
                <w:sz w:val="1"/>
                <w:szCs w:val="1"/>
                <w:color w:val="auto"/>
              </w:rPr>
            </w:pP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142,473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311,533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276,680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Net operating income from unconsolidated joint ventures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31,587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67,017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83,010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217,839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200,895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407,767</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related costs from management services contracts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44,175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94,127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99,977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tcPr>
          <w:p>
            <w:pPr>
              <w:ind w:left="360"/>
              <w:spacing w:after="0" w:line="176"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47,391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47,958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93,961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95,055</w:t>
            </w:r>
          </w:p>
        </w:tc>
        <w:tc>
          <w:tcPr>
            <w:tcW w:w="0" w:type="dxa"/>
            <w:vAlign w:val="bottom"/>
          </w:tcPr>
          <w:p>
            <w:pPr>
              <w:spacing w:after="0"/>
              <w:rPr>
                <w:sz w:val="1"/>
                <w:szCs w:val="1"/>
                <w:color w:val="auto"/>
              </w:rPr>
            </w:pPr>
          </w:p>
        </w:tc>
      </w:tr>
      <w:tr>
        <w:trPr>
          <w:trHeight w:val="243"/>
        </w:trPr>
        <w:tc>
          <w:tcPr>
            <w:tcW w:w="6340" w:type="dxa"/>
            <w:vAlign w:val="bottom"/>
          </w:tcPr>
          <w:p>
            <w:pPr>
              <w:ind w:left="600"/>
              <w:spacing w:after="0"/>
              <w:rPr>
                <w:sz w:val="20"/>
                <w:szCs w:val="20"/>
                <w:color w:val="auto"/>
              </w:rPr>
            </w:pPr>
            <w:r>
              <w:rPr>
                <w:rFonts w:ascii="Arial" w:cs="Arial" w:eastAsia="Arial" w:hAnsi="Arial"/>
                <w:sz w:val="18"/>
                <w:szCs w:val="18"/>
                <w:color w:val="auto"/>
              </w:rPr>
              <w:t>partnerships</w:t>
            </w:r>
          </w:p>
        </w:tc>
        <w:tc>
          <w:tcPr>
            <w:tcW w:w="1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non-real estate investment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Gains from investments in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income (loss)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w:t>
            </w:r>
          </w:p>
        </w:tc>
        <w:tc>
          <w:tcPr>
            <w:tcW w:w="0" w:type="dxa"/>
            <w:vAlign w:val="bottom"/>
          </w:tcPr>
          <w:p>
            <w:pPr>
              <w:spacing w:after="0"/>
              <w:rPr>
                <w:sz w:val="1"/>
                <w:szCs w:val="1"/>
                <w:color w:val="auto"/>
              </w:rPr>
            </w:pPr>
          </w:p>
        </w:tc>
      </w:tr>
      <w:tr>
        <w:trPr>
          <w:trHeight w:val="229"/>
        </w:trPr>
        <w:tc>
          <w:tcPr>
            <w:tcW w:w="6340" w:type="dxa"/>
            <w:vAlign w:val="bottom"/>
          </w:tcPr>
          <w:p>
            <w:pPr>
              <w:ind w:left="360"/>
              <w:spacing w:after="0"/>
              <w:rPr>
                <w:sz w:val="20"/>
                <w:szCs w:val="20"/>
                <w:color w:val="auto"/>
              </w:rPr>
            </w:pPr>
            <w:r>
              <w:rPr>
                <w:rFonts w:ascii="Arial" w:cs="Arial" w:eastAsia="Arial" w:hAnsi="Arial"/>
                <w:sz w:val="18"/>
                <w:szCs w:val="18"/>
                <w:color w:val="auto"/>
              </w:rPr>
              <w:t>Income (loss) from unconsolidated joint ventures</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(5,799)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(14,237)</w:t>
            </w:r>
          </w:p>
        </w:tc>
        <w:tc>
          <w:tcPr>
            <w:tcW w:w="0" w:type="dxa"/>
            <w:vAlign w:val="bottom"/>
          </w:tcPr>
          <w:p>
            <w:pPr>
              <w:spacing w:after="0"/>
              <w:rPr>
                <w:sz w:val="1"/>
                <w:szCs w:val="1"/>
                <w:color w:val="auto"/>
              </w:rPr>
            </w:pPr>
          </w:p>
        </w:tc>
      </w:tr>
      <w:tr>
        <w:trPr>
          <w:trHeight w:val="175"/>
        </w:trPr>
        <w:tc>
          <w:tcPr>
            <w:tcW w:w="63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Direct reimbursements of payroll and related costs from management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0" w:type="dxa"/>
            <w:vAlign w:val="bottom"/>
          </w:tcPr>
          <w:p>
            <w:pPr>
              <w:spacing w:after="0"/>
              <w:rPr>
                <w:sz w:val="1"/>
                <w:szCs w:val="1"/>
                <w:color w:val="auto"/>
              </w:rPr>
            </w:pPr>
          </w:p>
        </w:tc>
      </w:tr>
      <w:tr>
        <w:trPr>
          <w:trHeight w:val="243"/>
        </w:trPr>
        <w:tc>
          <w:tcPr>
            <w:tcW w:w="6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services contracts</w:t>
            </w:r>
          </w:p>
        </w:tc>
        <w:tc>
          <w:tcPr>
            <w:tcW w:w="1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Development and management services revenue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Company’s share of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492,913</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497,785</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990,593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982,450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Net operating income (“NOI”) is a non-GAAP financial measure equal to net income attributable to BXP, Inc. and net income attributable to Boston Properties Limited Partnership, as applicable, the most directly comparable GAAP financial measures, plus (1) net income attributable to noncontrolling interests, interest expense, impairment loss, depreciation and amortization expense, transaction costs, payroll and related costs from management services contracts and corporate general and administrative expense less (2) unrealized gain on non-real estate investment, gains from investments in securities, interest and other income (loss), income (loss)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w:t>
      </w:r>
    </w:p>
    <w:p>
      <w:pPr>
        <w:spacing w:after="0" w:line="129"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The Company’s internal reporting utilizes its share of NOI, which includes its share of NOI from consolidated and unconsolidated joint ventures, which is a non-GAAP financial measure that is calculated as the consolidated amount, plus the Company’s share of the amount from the Company’s unconsolidated joint ventures (calculated based upon the Company’s economic percentage ownership interest and, in some cases, after priority allocations),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less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as defined above, also does not include its share of losses from early extinguishment of debt, unrealized gain on derivative instruments and gain on sale / consolidation, all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2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Asset information by segment is not reported because the Company does not use this measure to assess performance. Therefore, depreciation and amortization expense is not allocated among segments. Interest expense, impairment loss, depreciation and amortization expense, transaction costs, payroll and related costs from management services contracts, corporate general and administrative expense, unrealized gain on non-real estate investment, gains from investments in securities, interest and other income (loss), income (loss)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w:t>
      </w:r>
    </w:p>
    <w:p>
      <w:pPr>
        <w:spacing w:after="0" w:line="129"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The Company’s segments are based on the Company’s method of internal reporting which classifies its operations by geographic area. The Company’s segments by geographic area are Boston, Los Angeles, New York, San Francisco, Seattle and Washington, DC. The Company also presents information for each segment by property type, including Premier Workplace (which includes office, life sciences and retail), Residential and Hotel.</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June 30,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480" w:type="dxa"/>
            <w:vAlign w:val="bottom"/>
            <w:gridSpan w:val="3"/>
          </w:tcPr>
          <w:p>
            <w:pPr>
              <w:ind w:left="100"/>
              <w:spacing w:after="0"/>
              <w:rPr>
                <w:sz w:val="20"/>
                <w:szCs w:val="20"/>
                <w:color w:val="auto"/>
              </w:rPr>
            </w:pPr>
            <w:r>
              <w:rPr>
                <w:rFonts w:ascii="Arial" w:cs="Arial" w:eastAsia="Arial" w:hAnsi="Arial"/>
                <w:sz w:val="15"/>
                <w:szCs w:val="15"/>
                <w:b w:val="1"/>
                <w:bCs w:val="1"/>
                <w:color w:val="auto"/>
              </w:rPr>
              <w:t>Washington, DC</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285,352</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18,472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261,805</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131,709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10,520</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105,086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812,944</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12,226</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14,812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14,812</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304,436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18,472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261,805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135,027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10,520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109,722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839,982</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108,908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6,767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108,476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48,668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39,578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315,687</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5,739</w:t>
            </w:r>
          </w:p>
        </w:tc>
        <w:tc>
          <w:tcPr>
            <w:tcW w:w="0" w:type="dxa"/>
            <w:vAlign w:val="bottom"/>
          </w:tcPr>
          <w:p>
            <w:pPr>
              <w:spacing w:after="0"/>
              <w:rPr>
                <w:sz w:val="1"/>
                <w:szCs w:val="1"/>
                <w:color w:val="auto"/>
              </w:rPr>
            </w:pPr>
          </w:p>
        </w:tc>
      </w:tr>
      <w:tr>
        <w:trPr>
          <w:trHeight w:val="215"/>
        </w:trPr>
        <w:tc>
          <w:tcPr>
            <w:tcW w:w="220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9,839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9,839</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120,290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6,767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108,476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50,837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3,290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41,605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331,265</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32.75 %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15.35 %</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12.56 %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184,146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11,705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153,329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84,190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7,230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68,117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508,717</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16.55 %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(10,924)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(36,467)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(47,391)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8,691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7,035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4,411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6,354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31,587</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181,913</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18,740</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120,020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88,601</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9,168</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74,471</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492,913</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17.97 %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15.11 %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June 30,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2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5"/>
                <w:szCs w:val="15"/>
                <w:b w:val="1"/>
                <w:bCs w:val="1"/>
                <w:color w:val="auto"/>
              </w:rPr>
              <w:t>Seattle</w:t>
            </w:r>
          </w:p>
        </w:tc>
        <w:tc>
          <w:tcPr>
            <w:tcW w:w="1420" w:type="dxa"/>
            <w:vAlign w:val="bottom"/>
            <w:gridSpan w:val="3"/>
          </w:tcPr>
          <w:p>
            <w:pPr>
              <w:ind w:left="60"/>
              <w:spacing w:after="0"/>
              <w:rPr>
                <w:sz w:val="20"/>
                <w:szCs w:val="20"/>
                <w:color w:val="auto"/>
              </w:rPr>
            </w:pPr>
            <w:r>
              <w:rPr>
                <w:rFonts w:ascii="Arial" w:cs="Arial" w:eastAsia="Arial" w:hAnsi="Arial"/>
                <w:sz w:val="15"/>
                <w:szCs w:val="15"/>
                <w:b w:val="1"/>
                <w:bCs w:val="1"/>
                <w:color w:val="auto"/>
              </w:rPr>
              <w:t>Washington, DC</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269,464</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262,979</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136,241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17,060</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90,720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776,464</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12,253</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13,969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13,969</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287,557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262,979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140,105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17,060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94,985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802,686</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35.83 %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95,597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102,948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48,197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3,082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35,429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285,253</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8,161</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105,359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102,948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50,412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3,082</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37,396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299,197</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182,198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160,031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89,693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13,978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57,589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503,489</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36.19 %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31.78 %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(11,343)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(36,615)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(47,958)</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8,771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12,768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3,363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3,332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1,878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12,142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42,254</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179,626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12,768</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126,779</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93,025</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15,856</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69,731</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497,785</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25.47 %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3.19 %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14.01 %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5"/>
                <w:szCs w:val="15"/>
                <w:b w:val="1"/>
                <w:bCs w:val="1"/>
                <w:color w:val="auto"/>
              </w:rPr>
              <w:t>Boston</w:t>
            </w:r>
          </w:p>
        </w:tc>
        <w:tc>
          <w:tcPr>
            <w:tcW w:w="1220" w:type="dxa"/>
            <w:vAlign w:val="bottom"/>
            <w:gridSpan w:val="3"/>
          </w:tcPr>
          <w:p>
            <w:pPr>
              <w:ind w:left="10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5"/>
                <w:szCs w:val="15"/>
                <w:b w:val="1"/>
                <w:bCs w:val="1"/>
                <w:color w:val="auto"/>
              </w:rPr>
              <w:t>New York</w:t>
            </w:r>
          </w:p>
        </w:tc>
        <w:tc>
          <w:tcPr>
            <w:tcW w:w="130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5"/>
                <w:szCs w:val="15"/>
                <w:b w:val="1"/>
                <w:bCs w:val="1"/>
                <w:color w:val="auto"/>
              </w:rPr>
              <w:t>Seattle</w:t>
            </w:r>
          </w:p>
        </w:tc>
        <w:tc>
          <w:tcPr>
            <w:tcW w:w="1460" w:type="dxa"/>
            <w:vAlign w:val="bottom"/>
            <w:gridSpan w:val="3"/>
          </w:tcPr>
          <w:p>
            <w:pPr>
              <w:ind w:left="80"/>
              <w:spacing w:after="0"/>
              <w:rPr>
                <w:sz w:val="20"/>
                <w:szCs w:val="20"/>
                <w:color w:val="auto"/>
              </w:rPr>
            </w:pPr>
            <w:r>
              <w:rPr>
                <w:rFonts w:ascii="Arial" w:cs="Arial" w:eastAsia="Arial" w:hAnsi="Arial"/>
                <w:sz w:val="15"/>
                <w:szCs w:val="15"/>
                <w:b w:val="1"/>
                <w:bCs w:val="1"/>
                <w:color w:val="auto"/>
              </w:rPr>
              <w:t>Washington, DC</w:t>
            </w:r>
          </w:p>
        </w:tc>
        <w:tc>
          <w:tcPr>
            <w:tcW w:w="2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565,818</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38,873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522,614</w:t>
            </w:r>
          </w:p>
        </w:tc>
        <w:tc>
          <w:tcPr>
            <w:tcW w:w="12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264,323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21,430</w:t>
            </w:r>
          </w:p>
        </w:tc>
        <w:tc>
          <w:tcPr>
            <w:tcW w:w="120" w:type="dxa"/>
            <w:vAlign w:val="bottom"/>
          </w:tcPr>
          <w:p>
            <w:pPr>
              <w:spacing w:after="0"/>
              <w:rPr>
                <w:sz w:val="18"/>
                <w:szCs w:val="18"/>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208,008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1,621,066</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24,910</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22,998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22,998</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597,284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38,873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522,614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271,599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21,430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217,174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1,668,974</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214,079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13,334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215,957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95,610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6,371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78,807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624,158</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11,425</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15,854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15,854</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233,069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13,334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215,957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99,997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6,371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82,709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651,437</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33.15 %</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0.98 %</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364,215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25,539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306,657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171,602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15,059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134,465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1,017,537</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35.80 %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(21,980)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(71,981)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(93,961)</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auto"/>
              </w:rPr>
              <w:t>17,448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color w:val="auto"/>
              </w:rPr>
              <w:t>14,283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9,142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9,565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3,814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12,765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67,017</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359,683</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39,822</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243,818</w:t>
            </w: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181,167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18,873</w:t>
            </w:r>
          </w:p>
        </w:tc>
        <w:tc>
          <w:tcPr>
            <w:tcW w:w="1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147,230</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990,593</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36.31 %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24.61 %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14.86 %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5"/>
                <w:szCs w:val="15"/>
                <w:b w:val="1"/>
                <w:bCs w:val="1"/>
                <w:color w:val="auto"/>
              </w:rPr>
              <w:t>Boston</w:t>
            </w:r>
          </w:p>
        </w:tc>
        <w:tc>
          <w:tcPr>
            <w:tcW w:w="1240" w:type="dxa"/>
            <w:vAlign w:val="bottom"/>
            <w:gridSpan w:val="3"/>
          </w:tcPr>
          <w:p>
            <w:pPr>
              <w:ind w:left="120"/>
              <w:spacing w:after="0"/>
              <w:rPr>
                <w:sz w:val="20"/>
                <w:szCs w:val="20"/>
                <w:color w:val="auto"/>
              </w:rPr>
            </w:pPr>
            <w:r>
              <w:rPr>
                <w:rFonts w:ascii="Arial" w:cs="Arial" w:eastAsia="Arial" w:hAnsi="Arial"/>
                <w:sz w:val="15"/>
                <w:szCs w:val="15"/>
                <w:b w:val="1"/>
                <w:bCs w:val="1"/>
                <w:color w:val="auto"/>
              </w:rPr>
              <w:t>Los Angeles</w:t>
            </w:r>
          </w:p>
        </w:tc>
        <w:tc>
          <w:tcPr>
            <w:tcW w:w="18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5"/>
                <w:szCs w:val="15"/>
                <w:b w:val="1"/>
                <w:bCs w:val="1"/>
                <w:color w:val="auto"/>
              </w:rPr>
              <w:t>New York</w:t>
            </w:r>
          </w:p>
        </w:tc>
        <w:tc>
          <w:tcPr>
            <w:tcW w:w="1320" w:type="dxa"/>
            <w:vAlign w:val="bottom"/>
            <w:gridSpan w:val="3"/>
          </w:tcPr>
          <w:p>
            <w:pPr>
              <w:ind w:left="80"/>
              <w:spacing w:after="0"/>
              <w:rPr>
                <w:sz w:val="20"/>
                <w:szCs w:val="20"/>
                <w:color w:val="auto"/>
              </w:rPr>
            </w:pPr>
            <w:r>
              <w:rPr>
                <w:rFonts w:ascii="Arial" w:cs="Arial" w:eastAsia="Arial" w:hAnsi="Arial"/>
                <w:sz w:val="15"/>
                <w:szCs w:val="15"/>
                <w:b w:val="1"/>
                <w:bCs w:val="1"/>
                <w:color w:val="auto"/>
              </w:rPr>
              <w:t>San Francisco</w:t>
            </w:r>
          </w:p>
        </w:tc>
        <w:tc>
          <w:tcPr>
            <w:tcW w:w="20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Seattle</w:t>
            </w:r>
          </w:p>
        </w:tc>
        <w:tc>
          <w:tcPr>
            <w:tcW w:w="1460" w:type="dxa"/>
            <w:vAlign w:val="bottom"/>
            <w:gridSpan w:val="3"/>
          </w:tcPr>
          <w:p>
            <w:pPr>
              <w:ind w:left="100"/>
              <w:spacing w:after="0"/>
              <w:rPr>
                <w:sz w:val="20"/>
                <w:szCs w:val="20"/>
                <w:color w:val="auto"/>
              </w:rPr>
            </w:pPr>
            <w:r>
              <w:rPr>
                <w:rFonts w:ascii="Arial" w:cs="Arial" w:eastAsia="Arial" w:hAnsi="Arial"/>
                <w:sz w:val="15"/>
                <w:szCs w:val="15"/>
                <w:b w:val="1"/>
                <w:bCs w:val="1"/>
                <w:color w:val="auto"/>
              </w:rPr>
              <w:t>Washington, DC</w:t>
            </w:r>
          </w:p>
        </w:tc>
        <w:tc>
          <w:tcPr>
            <w:tcW w:w="22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539,415</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521,171</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272,334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31,318</w:t>
            </w:r>
          </w:p>
        </w:tc>
        <w:tc>
          <w:tcPr>
            <w:tcW w:w="100" w:type="dxa"/>
            <w:vAlign w:val="bottom"/>
          </w:tcPr>
          <w:p>
            <w:pPr>
              <w:spacing w:after="0"/>
              <w:rPr>
                <w:sz w:val="18"/>
                <w:szCs w:val="18"/>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181,384</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1,545,622</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23,979</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22,070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22,070</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569,658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521,171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279,840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31,318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189,684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1,591,671</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195,646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205,433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94,282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6,042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69,695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571,098</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11,246</w:t>
            </w:r>
          </w:p>
        </w:tc>
        <w:tc>
          <w:tcPr>
            <w:tcW w:w="0" w:type="dxa"/>
            <w:vAlign w:val="bottom"/>
          </w:tcPr>
          <w:p>
            <w:pPr>
              <w:spacing w:after="0"/>
              <w:rPr>
                <w:sz w:val="1"/>
                <w:szCs w:val="1"/>
                <w:color w:val="auto"/>
              </w:rPr>
            </w:pPr>
          </w:p>
        </w:tc>
      </w:tr>
      <w:tr>
        <w:trPr>
          <w:trHeight w:val="215"/>
        </w:trPr>
        <w:tc>
          <w:tcPr>
            <w:tcW w:w="2200" w:type="dxa"/>
            <w:vAlign w:val="bottom"/>
          </w:tcPr>
          <w:p>
            <w:pPr>
              <w:ind w:left="360"/>
              <w:spacing w:after="0"/>
              <w:rPr>
                <w:sz w:val="20"/>
                <w:szCs w:val="20"/>
                <w:color w:val="auto"/>
              </w:rPr>
            </w:pPr>
            <w:r>
              <w:rPr>
                <w:rFonts w:ascii="Arial" w:cs="Arial" w:eastAsia="Arial" w:hAnsi="Arial"/>
                <w:sz w:val="16"/>
                <w:szCs w:val="16"/>
                <w:color w:val="auto"/>
              </w:rPr>
              <w:t>Hotel</w:t>
            </w:r>
          </w:p>
        </w:tc>
        <w:tc>
          <w:tcPr>
            <w:tcW w:w="2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14,832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14,832</w:t>
            </w: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213,631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205,433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98,670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6,042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73,400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597,176</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356,027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315,738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181,170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25,276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116,284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994,495</w:t>
            </w:r>
          </w:p>
        </w:tc>
        <w:tc>
          <w:tcPr>
            <w:tcW w:w="0" w:type="dxa"/>
            <w:vAlign w:val="bottom"/>
          </w:tcPr>
          <w:p>
            <w:pPr>
              <w:spacing w:after="0"/>
              <w:rPr>
                <w:sz w:val="1"/>
                <w:szCs w:val="1"/>
                <w:color w:val="auto"/>
              </w:rPr>
            </w:pPr>
          </w:p>
        </w:tc>
      </w:tr>
      <w:tr>
        <w:trPr>
          <w:trHeight w:val="209"/>
        </w:trPr>
        <w:tc>
          <w:tcPr>
            <w:tcW w:w="220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35.80 %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31.75 %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(22,160)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(72,895)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(95,055)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440"/>
              <w:spacing w:after="0" w:line="162"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980" w:type="dxa"/>
            <w:vAlign w:val="bottom"/>
            <w:vMerge w:val="restart"/>
          </w:tcPr>
          <w:p>
            <w:pPr>
              <w:jc w:val="right"/>
              <w:ind w:right="139"/>
              <w:spacing w:after="0"/>
              <w:rPr>
                <w:sz w:val="20"/>
                <w:szCs w:val="20"/>
                <w:color w:val="auto"/>
              </w:rPr>
            </w:pPr>
            <w:r>
              <w:rPr>
                <w:rFonts w:ascii="Arial" w:cs="Arial" w:eastAsia="Arial" w:hAnsi="Arial"/>
                <w:sz w:val="16"/>
                <w:szCs w:val="16"/>
                <w:color w:val="auto"/>
              </w:rPr>
              <w:t>17,348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color w:val="auto"/>
              </w:rPr>
              <w:t>25,993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19"/>
              <w:spacing w:after="0"/>
              <w:rPr>
                <w:sz w:val="20"/>
                <w:szCs w:val="20"/>
                <w:color w:val="auto"/>
              </w:rPr>
            </w:pPr>
            <w:r>
              <w:rPr>
                <w:rFonts w:ascii="Arial" w:cs="Arial" w:eastAsia="Arial" w:hAnsi="Arial"/>
                <w:sz w:val="16"/>
                <w:szCs w:val="16"/>
                <w:color w:val="auto"/>
              </w:rPr>
              <w:t>7,013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39"/>
              <w:spacing w:after="0"/>
              <w:rPr>
                <w:sz w:val="20"/>
                <w:szCs w:val="20"/>
                <w:color w:val="auto"/>
              </w:rPr>
            </w:pPr>
            <w:r>
              <w:rPr>
                <w:rFonts w:ascii="Arial" w:cs="Arial" w:eastAsia="Arial" w:hAnsi="Arial"/>
                <w:sz w:val="16"/>
                <w:szCs w:val="16"/>
                <w:color w:val="auto"/>
              </w:rPr>
              <w:t>6,796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3,724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Arial" w:cs="Arial" w:eastAsia="Arial" w:hAnsi="Arial"/>
                <w:sz w:val="16"/>
                <w:szCs w:val="16"/>
                <w:color w:val="auto"/>
              </w:rPr>
              <w:t>22,136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6"/>
                <w:szCs w:val="16"/>
                <w:color w:val="auto"/>
              </w:rPr>
              <w:t>83,010</w:t>
            </w:r>
          </w:p>
        </w:tc>
        <w:tc>
          <w:tcPr>
            <w:tcW w:w="0" w:type="dxa"/>
            <w:vAlign w:val="bottom"/>
          </w:tcPr>
          <w:p>
            <w:pPr>
              <w:spacing w:after="0"/>
              <w:rPr>
                <w:sz w:val="1"/>
                <w:szCs w:val="1"/>
                <w:color w:val="auto"/>
              </w:rPr>
            </w:pPr>
          </w:p>
        </w:tc>
      </w:tr>
      <w:tr>
        <w:trPr>
          <w:trHeight w:val="215"/>
        </w:trPr>
        <w:tc>
          <w:tcPr>
            <w:tcW w:w="22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2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351,215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25,993</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249,856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187,966</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29,000</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138,420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982,450</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31" w:lineRule="exact"/>
        <w:rPr>
          <w:sz w:val="20"/>
          <w:szCs w:val="20"/>
          <w:color w:val="auto"/>
        </w:rPr>
      </w:pPr>
    </w:p>
    <w:p>
      <w:pPr>
        <w:ind w:left="660" w:right="120" w:hanging="328"/>
        <w:spacing w:after="0" w:line="258" w:lineRule="auto"/>
        <w:tabs>
          <w:tab w:leader="none" w:pos="655"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26" w:lineRule="exact"/>
        <w:rPr>
          <w:rFonts w:ascii="Arial" w:cs="Arial" w:eastAsia="Arial" w:hAnsi="Arial"/>
          <w:sz w:val="16"/>
          <w:szCs w:val="16"/>
          <w:color w:val="auto"/>
        </w:rPr>
      </w:pPr>
    </w:p>
    <w:p>
      <w:pPr>
        <w:ind w:left="300" w:hanging="292"/>
        <w:spacing w:after="0"/>
        <w:tabs>
          <w:tab w:leader="none" w:pos="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 Common Unit</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BXP</w:t>
      </w:r>
    </w:p>
    <w:p>
      <w:pPr>
        <w:spacing w:after="0" w:line="8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following table provides a reconciliation of both the net income attributable to BXP, Inc. and the number of common shares used in the computation of basic earnings per share (“EPS”), which is calculated by dividing net income attributable to BXP, Inc.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2013 - 2021 MYLTIP Units required, and the 2022 - 2024 MYLTIP Units require, BXP to outperform certain performance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5"/>
          </w:tcPr>
          <w:p>
            <w:pPr>
              <w:jc w:val="center"/>
              <w:ind w:left="935"/>
              <w:spacing w:after="0"/>
              <w:rPr>
                <w:sz w:val="20"/>
                <w:szCs w:val="20"/>
                <w:color w:val="auto"/>
              </w:rPr>
            </w:pPr>
            <w:r>
              <w:rPr>
                <w:rFonts w:ascii="Arial" w:cs="Arial" w:eastAsia="Arial" w:hAnsi="Arial"/>
                <w:sz w:val="16"/>
                <w:szCs w:val="16"/>
                <w:b w:val="1"/>
                <w:bCs w:val="1"/>
                <w:color w:val="auto"/>
              </w:rPr>
              <w:t>Three months ended June 30, 2024</w:t>
            </w: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380" w:type="dxa"/>
            <w:vAlign w:val="bottom"/>
          </w:tcPr>
          <w:p>
            <w:pPr>
              <w:spacing w:after="0"/>
              <w:rPr>
                <w:sz w:val="13"/>
                <w:szCs w:val="13"/>
                <w:color w:val="auto"/>
              </w:rPr>
            </w:pPr>
          </w:p>
        </w:tc>
        <w:tc>
          <w:tcPr>
            <w:tcW w:w="1280" w:type="dxa"/>
            <w:vAlign w:val="bottom"/>
          </w:tcPr>
          <w:p>
            <w:pPr>
              <w:jc w:val="center"/>
              <w:ind w:right="3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79,615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157,039</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79,615</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157,291</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jc w:val="center"/>
              <w:ind w:left="935"/>
              <w:spacing w:after="0"/>
              <w:rPr>
                <w:sz w:val="20"/>
                <w:szCs w:val="20"/>
                <w:color w:val="auto"/>
              </w:rPr>
            </w:pPr>
            <w:r>
              <w:rPr>
                <w:rFonts w:ascii="Arial" w:cs="Arial" w:eastAsia="Arial" w:hAnsi="Arial"/>
                <w:sz w:val="16"/>
                <w:szCs w:val="16"/>
                <w:b w:val="1"/>
                <w:bCs w:val="1"/>
                <w:color w:val="auto"/>
              </w:rPr>
              <w:t>Three months ended June 30, 2023</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380" w:type="dxa"/>
            <w:vAlign w:val="bottom"/>
          </w:tcPr>
          <w:p>
            <w:pPr>
              <w:spacing w:after="0"/>
              <w:rPr>
                <w:sz w:val="13"/>
                <w:szCs w:val="13"/>
                <w:color w:val="auto"/>
              </w:rPr>
            </w:pPr>
          </w:p>
        </w:tc>
        <w:tc>
          <w:tcPr>
            <w:tcW w:w="1280" w:type="dxa"/>
            <w:vAlign w:val="bottom"/>
          </w:tcPr>
          <w:p>
            <w:pPr>
              <w:jc w:val="center"/>
              <w:ind w:right="3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104,299</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156,826</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104,299</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157,218</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jc w:val="center"/>
              <w:ind w:left="935"/>
              <w:spacing w:after="0"/>
              <w:rPr>
                <w:sz w:val="20"/>
                <w:szCs w:val="20"/>
                <w:color w:val="auto"/>
              </w:rPr>
            </w:pPr>
            <w:r>
              <w:rPr>
                <w:rFonts w:ascii="Arial" w:cs="Arial" w:eastAsia="Arial" w:hAnsi="Arial"/>
                <w:sz w:val="16"/>
                <w:szCs w:val="16"/>
                <w:b w:val="1"/>
                <w:bCs w:val="1"/>
                <w:color w:val="auto"/>
              </w:rPr>
              <w:t>Six months ended June 30, 2024</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380" w:type="dxa"/>
            <w:vAlign w:val="bottom"/>
          </w:tcPr>
          <w:p>
            <w:pPr>
              <w:spacing w:after="0"/>
              <w:rPr>
                <w:sz w:val="13"/>
                <w:szCs w:val="13"/>
                <w:color w:val="auto"/>
              </w:rPr>
            </w:pPr>
          </w:p>
        </w:tc>
        <w:tc>
          <w:tcPr>
            <w:tcW w:w="1280" w:type="dxa"/>
            <w:vAlign w:val="bottom"/>
          </w:tcPr>
          <w:p>
            <w:pPr>
              <w:jc w:val="center"/>
              <w:ind w:right="3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 common shareholders</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159,498</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157,011</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 common shareholders</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159,498</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157,210</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jc w:val="center"/>
              <w:ind w:left="935"/>
              <w:spacing w:after="0"/>
              <w:rPr>
                <w:sz w:val="20"/>
                <w:szCs w:val="20"/>
                <w:color w:val="auto"/>
              </w:rPr>
            </w:pPr>
            <w:r>
              <w:rPr>
                <w:rFonts w:ascii="Arial" w:cs="Arial" w:eastAsia="Arial" w:hAnsi="Arial"/>
                <w:sz w:val="16"/>
                <w:szCs w:val="16"/>
                <w:b w:val="1"/>
                <w:bCs w:val="1"/>
                <w:color w:val="auto"/>
              </w:rPr>
              <w:t>Six months ended June 30, 2023</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w:t>
            </w:r>
          </w:p>
        </w:tc>
        <w:tc>
          <w:tcPr>
            <w:tcW w:w="380" w:type="dxa"/>
            <w:vAlign w:val="bottom"/>
          </w:tcPr>
          <w:p>
            <w:pPr>
              <w:spacing w:after="0"/>
              <w:rPr>
                <w:sz w:val="13"/>
                <w:szCs w:val="13"/>
                <w:color w:val="auto"/>
              </w:rPr>
            </w:pPr>
          </w:p>
        </w:tc>
        <w:tc>
          <w:tcPr>
            <w:tcW w:w="1280" w:type="dxa"/>
            <w:vAlign w:val="bottom"/>
          </w:tcPr>
          <w:p>
            <w:pPr>
              <w:jc w:val="center"/>
              <w:ind w:right="314"/>
              <w:spacing w:after="0" w:line="155" w:lineRule="exact"/>
              <w:rPr>
                <w:sz w:val="20"/>
                <w:szCs w:val="20"/>
                <w:color w:val="auto"/>
              </w:rPr>
            </w:pPr>
            <w:r>
              <w:rPr>
                <w:rFonts w:ascii="Arial" w:cs="Arial" w:eastAsia="Arial" w:hAnsi="Arial"/>
                <w:sz w:val="16"/>
                <w:szCs w:val="16"/>
                <w:b w:val="1"/>
                <w:bCs w:val="1"/>
                <w:color w:val="auto"/>
              </w:rPr>
              <w:t>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share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Net income attributable to BXP, Inc. common shareholders</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182,215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156,815</w:t>
            </w:r>
          </w:p>
        </w:tc>
        <w:tc>
          <w:tcPr>
            <w:tcW w:w="2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360"/>
              <w:spacing w:after="0" w:line="202" w:lineRule="exact"/>
              <w:rPr>
                <w:sz w:val="20"/>
                <w:szCs w:val="20"/>
                <w:color w:val="auto"/>
              </w:rPr>
            </w:pPr>
            <w:r>
              <w:rPr>
                <w:rFonts w:ascii="Arial" w:cs="Arial" w:eastAsia="Arial" w:hAnsi="Arial"/>
                <w:sz w:val="18"/>
                <w:szCs w:val="18"/>
                <w:color w:val="auto"/>
              </w:rPr>
              <w:t>Net income attributable to BXP, Inc. common shareholders</w:t>
            </w:r>
          </w:p>
        </w:tc>
        <w:tc>
          <w:tcPr>
            <w:tcW w:w="8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182,215</w:t>
            </w:r>
          </w:p>
        </w:tc>
        <w:tc>
          <w:tcPr>
            <w:tcW w:w="20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157,131</w:t>
            </w:r>
          </w:p>
        </w:tc>
        <w:tc>
          <w:tcPr>
            <w:tcW w:w="220" w:type="dxa"/>
            <w:vAlign w:val="bottom"/>
          </w:tcPr>
          <w:p>
            <w:pPr>
              <w:spacing w:after="0"/>
              <w:rPr>
                <w:sz w:val="17"/>
                <w:szCs w:val="17"/>
                <w:color w:val="auto"/>
              </w:rPr>
            </w:pP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2"/>
        </w:trPr>
        <w:tc>
          <w:tcPr>
            <w:tcW w:w="526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BPLP</w:t>
      </w:r>
    </w:p>
    <w:p>
      <w:pPr>
        <w:spacing w:after="0" w:line="102"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The following table provides a reconciliation of both the net income attributable to Boston Properties Limited Partnership and the number of common units used in the computation of basic earnings per common unit, which is calculated by dividing net income attributable to Boston Properties Limited Partnership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2013 - 2021 MYLTIP Units required, and the 2022 - 2024 MYLTIP Units require, BXP to outperform certain performance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18,369,000 and 17,922,000 redeemable common units for the three months ended June 30, 2024 and 2023, respectively, and 18,321,000 and 17,878,000 redeemable common units for the six months ended June 30, 2024 and 2023, respectively.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6"/>
                <w:szCs w:val="16"/>
                <w:b w:val="1"/>
                <w:bCs w:val="1"/>
                <w:color w:val="auto"/>
              </w:rPr>
              <w:t>Three months ended June 30, 2024</w:t>
            </w:r>
          </w:p>
        </w:tc>
        <w:tc>
          <w:tcPr>
            <w:tcW w:w="12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400" w:type="dxa"/>
            <w:vAlign w:val="bottom"/>
          </w:tcPr>
          <w:p>
            <w:pPr>
              <w:spacing w:after="0"/>
              <w:rPr>
                <w:sz w:val="13"/>
                <w:szCs w:val="13"/>
                <w:color w:val="auto"/>
              </w:rPr>
            </w:pPr>
          </w:p>
        </w:tc>
        <w:tc>
          <w:tcPr>
            <w:tcW w:w="1260" w:type="dxa"/>
            <w:vAlign w:val="bottom"/>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60"/>
              <w:spacing w:after="0"/>
              <w:rPr>
                <w:sz w:val="20"/>
                <w:szCs w:val="20"/>
                <w:color w:val="auto"/>
              </w:rPr>
            </w:pPr>
            <w:r>
              <w:rPr>
                <w:rFonts w:ascii="Arial" w:cs="Arial" w:eastAsia="Arial" w:hAnsi="Arial"/>
                <w:sz w:val="18"/>
                <w:szCs w:val="18"/>
                <w:color w:val="auto"/>
                <w:w w:val="99"/>
              </w:rPr>
              <w:t>Net income attributable to Boston Properties Limited Partnership</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90,827</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175,408</w:t>
            </w:r>
          </w:p>
        </w:tc>
        <w:tc>
          <w:tcPr>
            <w:tcW w:w="2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w w:val="99"/>
              </w:rPr>
              <w:t>Net income attributable to Boston Properties Limited Partnership</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90,827</w:t>
            </w:r>
          </w:p>
        </w:tc>
        <w:tc>
          <w:tcPr>
            <w:tcW w:w="2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175,660</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center"/>
              <w:ind w:left="915"/>
              <w:spacing w:after="0"/>
              <w:rPr>
                <w:sz w:val="20"/>
                <w:szCs w:val="20"/>
                <w:color w:val="auto"/>
              </w:rPr>
            </w:pPr>
            <w:r>
              <w:rPr>
                <w:rFonts w:ascii="Arial" w:cs="Arial" w:eastAsia="Arial" w:hAnsi="Arial"/>
                <w:sz w:val="16"/>
                <w:szCs w:val="16"/>
                <w:b w:val="1"/>
                <w:bCs w:val="1"/>
                <w:color w:val="auto"/>
              </w:rPr>
              <w:t>Three months ended June 30, 2023</w:t>
            </w: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w w:val="99"/>
              </w:rPr>
              <w:t>Income</w:t>
            </w:r>
          </w:p>
        </w:tc>
        <w:tc>
          <w:tcPr>
            <w:tcW w:w="188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w w:val="99"/>
              </w:rPr>
              <w:t>Units</w:t>
            </w:r>
          </w:p>
        </w:tc>
        <w:tc>
          <w:tcPr>
            <w:tcW w:w="400" w:type="dxa"/>
            <w:vAlign w:val="bottom"/>
          </w:tcPr>
          <w:p>
            <w:pPr>
              <w:spacing w:after="0"/>
              <w:rPr>
                <w:sz w:val="13"/>
                <w:szCs w:val="13"/>
                <w:color w:val="auto"/>
              </w:rPr>
            </w:pPr>
          </w:p>
        </w:tc>
        <w:tc>
          <w:tcPr>
            <w:tcW w:w="1260" w:type="dxa"/>
            <w:vAlign w:val="bottom"/>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4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6"/>
          </w:tcPr>
          <w:p>
            <w:pPr>
              <w:jc w:val="center"/>
              <w:ind w:right="174"/>
              <w:spacing w:after="0"/>
              <w:rPr>
                <w:sz w:val="20"/>
                <w:szCs w:val="20"/>
                <w:color w:val="auto"/>
              </w:rPr>
            </w:pPr>
            <w:r>
              <w:rPr>
                <w:rFonts w:ascii="Arial" w:cs="Arial" w:eastAsia="Arial" w:hAnsi="Arial"/>
                <w:sz w:val="16"/>
                <w:szCs w:val="16"/>
                <w:b w:val="1"/>
                <w:bCs w:val="1"/>
                <w:color w:val="auto"/>
              </w:rPr>
              <w:t>(in thousands, except for per unit amounts)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w w:val="99"/>
              </w:rPr>
              <w:t>Net income attributable to Boston Properties Limited Partnership</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118,098</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174,748</w:t>
            </w:r>
          </w:p>
        </w:tc>
        <w:tc>
          <w:tcPr>
            <w:tcW w:w="2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w w:val="99"/>
              </w:rPr>
              <w:t>Net income attributable to Boston Properties Limited Partnership</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118,098</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175,140</w:t>
            </w:r>
          </w:p>
        </w:tc>
        <w:tc>
          <w:tcPr>
            <w:tcW w:w="2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44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5"/>
        </w:trPr>
        <w:tc>
          <w:tcPr>
            <w:tcW w:w="55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23"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Six months ended 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rPr>
              <w:t>Income</w:t>
            </w:r>
          </w:p>
        </w:tc>
        <w:tc>
          <w:tcPr>
            <w:tcW w:w="186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r>
      <w:tr>
        <w:trPr>
          <w:trHeight w:val="216"/>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Amount</w:t>
            </w:r>
          </w:p>
        </w:tc>
      </w:tr>
      <w:tr>
        <w:trPr>
          <w:trHeight w:val="216"/>
        </w:trPr>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unit amounts)</w:t>
            </w:r>
          </w:p>
        </w:tc>
      </w:tr>
      <w:tr>
        <w:trPr>
          <w:trHeight w:val="64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181,907</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175,332</w:t>
            </w:r>
          </w:p>
        </w:tc>
        <w:tc>
          <w:tcPr>
            <w:tcW w:w="2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55"/>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01"/>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181,907</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175,531</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80" w:space="360"/>
            <w:col w:w="540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Diluted Earnings:</w:t>
      </w:r>
    </w:p>
    <w:p>
      <w:pPr>
        <w:spacing w:after="0" w:line="23" w:lineRule="exact"/>
        <w:rPr>
          <w:sz w:val="20"/>
          <w:szCs w:val="20"/>
          <w:color w:val="auto"/>
        </w:rPr>
      </w:pPr>
    </w:p>
    <w:p>
      <w:pPr>
        <w:ind w:left="520" w:hanging="161"/>
        <w:spacing w:after="0" w:line="234" w:lineRule="auto"/>
        <w:rPr>
          <w:sz w:val="20"/>
          <w:szCs w:val="20"/>
          <w:color w:val="auto"/>
        </w:rPr>
      </w:pPr>
      <w:r>
        <w:rPr>
          <w:rFonts w:ascii="Arial" w:cs="Arial" w:eastAsia="Arial" w:hAnsi="Arial"/>
          <w:sz w:val="18"/>
          <w:szCs w:val="18"/>
          <w:color w:val="auto"/>
        </w:rPr>
        <w:t>Net income attributable to Boston Properties Limited Partnership common unitholders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Six months ended June 30,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460"/>
              <w:spacing w:after="0" w:line="155" w:lineRule="exact"/>
              <w:rPr>
                <w:sz w:val="20"/>
                <w:szCs w:val="20"/>
                <w:color w:val="auto"/>
              </w:rPr>
            </w:pPr>
            <w:r>
              <w:rPr>
                <w:rFonts w:ascii="Arial" w:cs="Arial" w:eastAsia="Arial" w:hAnsi="Arial"/>
                <w:sz w:val="16"/>
                <w:szCs w:val="16"/>
                <w:b w:val="1"/>
                <w:bCs w:val="1"/>
                <w:color w:val="auto"/>
              </w:rPr>
              <w:t>Income</w:t>
            </w:r>
          </w:p>
        </w:tc>
        <w:tc>
          <w:tcPr>
            <w:tcW w:w="186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9"/>
              </w:rPr>
              <w:t>Units</w:t>
            </w: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434"/>
              <w:spacing w:after="0" w:line="155" w:lineRule="exact"/>
              <w:rPr>
                <w:sz w:val="20"/>
                <w:szCs w:val="20"/>
                <w:color w:val="auto"/>
              </w:rPr>
            </w:pPr>
            <w:r>
              <w:rPr>
                <w:rFonts w:ascii="Arial" w:cs="Arial" w:eastAsia="Arial" w:hAnsi="Arial"/>
                <w:sz w:val="16"/>
                <w:szCs w:val="16"/>
                <w:b w:val="1"/>
                <w:bCs w:val="1"/>
                <w:color w:val="auto"/>
              </w:rPr>
              <w:t>Per Unit</w:t>
            </w:r>
          </w:p>
        </w:tc>
      </w:tr>
      <w:tr>
        <w:trPr>
          <w:trHeight w:val="216"/>
        </w:trPr>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rPr>
              <w:t>(Numerator)</w:t>
            </w:r>
          </w:p>
        </w:tc>
        <w:tc>
          <w:tcPr>
            <w:tcW w:w="1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Amount</w:t>
            </w:r>
          </w:p>
        </w:tc>
      </w:tr>
      <w:tr>
        <w:trPr>
          <w:trHeight w:val="216"/>
        </w:trPr>
        <w:tc>
          <w:tcPr>
            <w:tcW w:w="240" w:type="dxa"/>
            <w:vAlign w:val="bottom"/>
          </w:tcPr>
          <w:p>
            <w:pPr>
              <w:spacing w:after="0"/>
              <w:rPr>
                <w:sz w:val="18"/>
                <w:szCs w:val="18"/>
                <w:color w:val="auto"/>
              </w:rPr>
            </w:pPr>
          </w:p>
        </w:tc>
        <w:tc>
          <w:tcPr>
            <w:tcW w:w="516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unit amounts)</w:t>
            </w:r>
          </w:p>
        </w:tc>
      </w:tr>
      <w:tr>
        <w:trPr>
          <w:trHeight w:val="645"/>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206,928</w:t>
            </w: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174,693</w:t>
            </w:r>
          </w:p>
        </w:tc>
        <w:tc>
          <w:tcPr>
            <w:tcW w:w="2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55"/>
        </w:trPr>
        <w:tc>
          <w:tcPr>
            <w:tcW w:w="24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01"/>
        </w:trPr>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206,928</w:t>
            </w:r>
          </w:p>
        </w:tc>
        <w:tc>
          <w:tcPr>
            <w:tcW w:w="220" w:type="dxa"/>
            <w:vAlign w:val="bottom"/>
          </w:tcPr>
          <w:p>
            <w:pPr>
              <w:spacing w:after="0"/>
              <w:rPr>
                <w:sz w:val="24"/>
                <w:szCs w:val="2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175,009</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56" w:lineRule="exact"/>
        <w:rPr>
          <w:sz w:val="20"/>
          <w:szCs w:val="20"/>
          <w:color w:val="auto"/>
        </w:rPr>
      </w:pPr>
    </w:p>
    <w:p>
      <w:pPr>
        <w:sectPr>
          <w:pgSz w:w="11900" w:h="16838" w:orient="portrait"/>
          <w:cols w:equalWidth="0" w:num="2">
            <w:col w:w="5480" w:space="360"/>
            <w:col w:w="5400"/>
          </w:cols>
          <w:pgMar w:left="320" w:top="283" w:right="339" w:bottom="1440" w:gutter="0" w:footer="0" w:header="0"/>
          <w:type w:val="continuous"/>
        </w:sectPr>
      </w:pPr>
    </w:p>
    <w:p>
      <w:pPr>
        <w:ind w:right="240" w:firstLine="445"/>
        <w:spacing w:after="0" w:line="256" w:lineRule="auto"/>
        <w:rPr>
          <w:sz w:val="20"/>
          <w:szCs w:val="20"/>
          <w:color w:val="auto"/>
        </w:rPr>
      </w:pPr>
      <w:r>
        <w:rPr>
          <w:rFonts w:ascii="Arial" w:cs="Arial" w:eastAsia="Arial" w:hAnsi="Arial"/>
          <w:sz w:val="18"/>
          <w:szCs w:val="18"/>
          <w:color w:val="auto"/>
        </w:rPr>
        <w:t>On January 25, 2024, the Compensation Committee of BXP’s Board of Directors approved the grant of 2024 Multi-Year Long-Term Incentive Program (the “2024 MYLTIP”) awards under the Boston Properties, Inc. 2021 Stock Incentive Plan (the “2021 Plan”) to certain executive officers of BXP. The 2024 MYLTIP awards consists of three components. Two of the components, each weighted 40%, utilize BXP’s TSR over a three year measurement period as the performance metrics and the third component utilizes a leverage ratio as the performance metric. Earned awards will range from zero to a maximum of 330,479 LTIP Units depending on BXP’s performance under the three components, with a target of approximately 165,240 LTIP Units. Under ASC 718 “Compensation - Stock Compensation,” the 2024 MYLTIP awards have an aggregate value of approximately $11.1 million.</w:t>
      </w:r>
    </w:p>
    <w:p>
      <w:pPr>
        <w:spacing w:after="0" w:line="129" w:lineRule="exact"/>
        <w:rPr>
          <w:sz w:val="20"/>
          <w:szCs w:val="20"/>
          <w:color w:val="auto"/>
        </w:rPr>
      </w:pPr>
    </w:p>
    <w:p>
      <w:pPr>
        <w:ind w:right="100" w:firstLine="445"/>
        <w:spacing w:after="0" w:line="262" w:lineRule="auto"/>
        <w:rPr>
          <w:sz w:val="20"/>
          <w:szCs w:val="20"/>
          <w:color w:val="auto"/>
        </w:rPr>
      </w:pPr>
      <w:r>
        <w:rPr>
          <w:rFonts w:ascii="Arial" w:cs="Arial" w:eastAsia="Arial" w:hAnsi="Arial"/>
          <w:sz w:val="18"/>
          <w:szCs w:val="18"/>
          <w:color w:val="auto"/>
        </w:rPr>
        <w:t>On February 1, 2024, the measurement period for the Company’s 2021 MYLTIP awards ended and, based on BXP’s absolute and relative TSR performance, the final payout was determined to be 112% of target, or an aggregate of approximately $12.6 million (after giving effect to employee separations). As a result, an aggregate of 155,625 2021 MYLTIP Units that had been previously granted were automatically forfeited.</w:t>
      </w:r>
    </w:p>
    <w:p>
      <w:pPr>
        <w:spacing w:after="0" w:line="122"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During the six months ended June 30, 2024, BXP issued 83,316 shares of restricted common stock and BPLP issued 449,550 LTIP Units and 330,479 2024 MYLTIP Units to employees and non-employee directors under the 2021 Plan. Employees and non-employee directors paid $0.01 per share of restricted common stock and $0.25 per LTIP Unit and 2024 MYLTIP Unit. When issued, LTIP Units are not economically equivalent in value to a share of Common Stock, but over time can increase in value to one-for-one parity with Common Stock if there is sufficient appreciation in the value of the Company’s assets. The aggregate value of the LTIP Units is included in noncontrolling interests in the Consolidated Balance Sheets of BXP and BPLP. A substantial majority of the grants of restricted common stock and LTIP Units to employees vest in four equal annual installments. Restricted common stock is measured at fair value on the date of grant based on the number of shares granted and the closing price of BXP’s Common Stock on the date of grant as quoted on the New York Stock Exchange. Such value is recognized as an expense ratably over the corresponding employee service period. The shares of restricted common stock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granted during the six months ended June 30, 2024 were valued at approximately $5.3 million. The LTIP Units granted were valued at approximately $26.6 million using a Monte Carlo simulation method model. Because the 2012 OPP Units and 2013 - 2024 MYLTIP Units are subject to both a service condition and a market condition, the Company recognizes the related compensation expense under the graded vesting attribution method. Under the graded vesting attribution method, each portion of the award that vests at a different date is accounted for as a separate award and recognized over the period appropriate to that portion so that the compensation cost for each portion should be recognized in full by the time that portion vests. The Company recognizes forfeitures as they occur on its awards of stock-based compensation. Dividends paid on both vested and unvested shares of restricted stock are charged directly to Dividends in Excess of Earnings in BXP, Inc.’s Consolidated Balance Sheets and Partners’ Capital in Boston Properties Limited Partnership’s Consolidated Balance Sheets. Aggregate stock-based compensation expense associated with restricted stock, LTIP Units and MYLTIP Units was approximately $16.0 million and $14.9 million for the three months ended June 30, 2024 and 2023, respectively, and</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$34.5 million and $40.9 million for the six months ended June 30, 2024 and 2023, respectively. At June 30, 2024, there was (1) an aggregate of approximately $28.9 million of unrecognized compensation expense related to unvested restricted stock and LTIP Units and (2) an aggregate of approximately $0.1 million of unrecognized compensation expense related to unvested 2022 - 2024 MYLTIP Units that is expected to be recognized over a weighted-average period of approximately 2.7 years.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0"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On July 12, 2024, a joint venture in which the Company has a 20% ownership interest partially placed in-service Skymark, a luxury residential property located in Reston, Virginia, that consists of 508 residential units aggregating approximately 417,000 net rentable square feet across a five-story low-rise building and an iconic 39-story tower, which is one of the tallest buildings in Northern Virginia.</w:t>
      </w:r>
    </w:p>
    <w:p>
      <w:pPr>
        <w:spacing w:after="0" w:line="117"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On July 18, 2024, a joint venture in which the Company has a 50% ownership interest extended by one year the maturity date of its loan collateralized by 100 Causeway Street. At the time of the extension, the loan had an outstanding balance totaling approximately $333.6 million, bore interest at Term SOFR plus 1.48% per annum, and was scheduled to mature on September 5, 2024. Following the extension, the loan will continue to bear interest at Term SOFR plus 1.48% per annum, and is scheduled to mature on September 5, 2025. 100 Causeway Street is an approximately 634,000 net rentable square foot premier workplace located in Boston, Massachusetts.</w:t>
      </w:r>
    </w:p>
    <w:p>
      <w:pPr>
        <w:spacing w:after="0" w:line="125"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On July 22, 2024, the Company executed an amendment to the agreement with a third-party developer for the sale of a portion of the Company’s Shady Grove property for approximately $24.7 million (See Note 3). Thereafter, the third-party developer completed their due diligence and their deposit of approximately $2.5 million became non-refundable. The properties under agreement comprise of 2 Choke Cherry Road, 2094 Gaither Road and a land parcel, located in Rockville, Maryland. The disposition is subject to satisfaction of customary closing conditions and there can be no assurance that this transaction will be consummated on the terms currently contemplated or at all.</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104"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The following discussion should be read in conjunction with the financial statements and notes thereto appearing elsewhere in this report.</w:t>
      </w:r>
    </w:p>
    <w:p>
      <w:pPr>
        <w:spacing w:after="0" w:line="18"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This Quarterly Report on Form 10-Q, including the documents incorporated by reference, contain forward-looking statements within the meaning of the federal securities laws, Section 27A of the Securities Act of 1933, as amended, and Section 21E of the Securities Exchange Act of 1934, as amended (the “Exchange Act”).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w:t>
      </w:r>
      <w:r>
        <w:rPr>
          <w:rFonts w:ascii="Arial" w:cs="Arial" w:eastAsia="Arial" w:hAnsi="Arial"/>
          <w:sz w:val="18"/>
          <w:szCs w:val="18"/>
          <w:color w:val="212529"/>
        </w:rPr>
        <w:t>“</w:t>
      </w:r>
      <w:r>
        <w:rPr>
          <w:rFonts w:ascii="Arial" w:cs="Arial" w:eastAsia="Arial" w:hAnsi="Arial"/>
          <w:sz w:val="18"/>
          <w:szCs w:val="18"/>
          <w:color w:val="auto"/>
        </w:rPr>
        <w:t>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39"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auto"/>
        </w:rPr>
        <w:t>The most significant factors that may cause actual results to differ materially from those expressed or implied by the forward-looking statements include the risks and uncertainties related to the impact of changes in general economic and capital market conditions, including continued inflation, high interest rates, supply chain disruptions, labor market disruptions, dislocation and volatility in capital markets, and potential longer-term changes in consumer and client behavior resulting from the severity and duration of any downturn in the U.S. or global economy, sustained changes in client preferences and space utilization, as well as the other important factors below and the risks described in (i) our Annual Report on Form 10-K for the fiscal year ended December 31, 2023 including those described under the caption “Risk Factors,” (ii) our subsequent filings under the Exchange Act and (iii) the risk factors set forth in this Form 10-Q in Part II, Item 1A, if any.</w:t>
      </w:r>
    </w:p>
    <w:p>
      <w:pPr>
        <w:spacing w:after="0" w:line="112" w:lineRule="exact"/>
        <w:rPr>
          <w:sz w:val="20"/>
          <w:szCs w:val="20"/>
          <w:color w:val="auto"/>
        </w:rPr>
      </w:pPr>
    </w:p>
    <w:p>
      <w:pPr>
        <w:ind w:right="440" w:firstLine="405"/>
        <w:spacing w:after="0" w:line="287"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31" w:lineRule="exact"/>
        <w:rPr>
          <w:sz w:val="20"/>
          <w:szCs w:val="20"/>
          <w:color w:val="auto"/>
        </w:rPr>
      </w:pPr>
    </w:p>
    <w:p>
      <w:pPr>
        <w:ind w:left="1300" w:hanging="644"/>
        <w:spacing w:after="0" w:line="26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volatile or adverse global economic and geopolitical conditions, health crises and dislocations in the credit markets could adversely affect economic conditions and/or restrict our access to cost-effective capital, which could have a material adverse effect on our business opportunities, results of operations and financial condition;</w:t>
      </w:r>
    </w:p>
    <w:p>
      <w:pPr>
        <w:spacing w:after="0" w:line="62" w:lineRule="exact"/>
        <w:rPr>
          <w:rFonts w:ascii="Arial" w:cs="Arial" w:eastAsia="Arial" w:hAnsi="Arial"/>
          <w:sz w:val="18"/>
          <w:szCs w:val="18"/>
          <w:color w:val="auto"/>
        </w:rPr>
      </w:pPr>
    </w:p>
    <w:p>
      <w:pPr>
        <w:ind w:left="1300" w:right="220" w:hanging="644"/>
        <w:spacing w:after="0" w:line="268"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risks affecting the real estate industry (including, without limitation, the inability to enter into or renew leases, changes in client preferences and space utilization, dependence on clients’ financial condition, and competition from other developers, owners and operators of real estate);</w:t>
      </w:r>
    </w:p>
    <w:p>
      <w:pPr>
        <w:spacing w:after="0" w:line="62" w:lineRule="exact"/>
        <w:rPr>
          <w:rFonts w:ascii="Arial" w:cs="Arial" w:eastAsia="Arial" w:hAnsi="Arial"/>
          <w:sz w:val="18"/>
          <w:szCs w:val="18"/>
          <w:color w:val="auto"/>
        </w:rPr>
      </w:pPr>
    </w:p>
    <w:p>
      <w:pPr>
        <w:ind w:left="1300" w:right="240" w:hanging="644"/>
        <w:spacing w:after="0" w:line="28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manage effectively our growth and expansion into new markets and sub-markets or to integrate acquisitions and developments successfully;</w:t>
      </w:r>
    </w:p>
    <w:p>
      <w:pPr>
        <w:spacing w:after="0" w:line="44"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joint venture partners to satisfy their obligations;</w:t>
      </w:r>
    </w:p>
    <w:p>
      <w:pPr>
        <w:spacing w:after="0" w:line="117" w:lineRule="exact"/>
        <w:rPr>
          <w:rFonts w:ascii="Arial" w:cs="Arial" w:eastAsia="Arial" w:hAnsi="Arial"/>
          <w:sz w:val="18"/>
          <w:szCs w:val="18"/>
          <w:color w:val="auto"/>
        </w:rPr>
      </w:pPr>
    </w:p>
    <w:p>
      <w:pPr>
        <w:ind w:left="1300" w:hanging="644"/>
        <w:spacing w:after="0" w:line="262"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and uncertainties affecting property development and construction (including, without limitation, continued inflation, supply chain disruptions, labor shortages, construction delays, increased construction costs, cost overruns, inability to obtain necessary permits, client accounting considerations that may result in negotiated lease provisions that limit a client’s liability during construction, and public opposition to such activities);</w:t>
      </w:r>
    </w:p>
    <w:p>
      <w:pPr>
        <w:spacing w:after="0" w:line="68" w:lineRule="exact"/>
        <w:rPr>
          <w:rFonts w:ascii="Arial" w:cs="Arial" w:eastAsia="Arial" w:hAnsi="Arial"/>
          <w:sz w:val="18"/>
          <w:szCs w:val="18"/>
          <w:color w:val="auto"/>
        </w:rPr>
      </w:pPr>
    </w:p>
    <w:p>
      <w:pPr>
        <w:ind w:left="1300" w:right="340" w:hanging="644"/>
        <w:spacing w:after="0" w:line="318" w:lineRule="auto"/>
        <w:tabs>
          <w:tab w:leader="none" w:pos="12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forward interest rate contracts and derivatives and the effectiveness of such arrangements;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actual or threatened terrorist attacks;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the Americans with Disabilities Act and other similar laws;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117" w:lineRule="exact"/>
        <w:rPr>
          <w:rFonts w:ascii="Arial" w:cs="Arial" w:eastAsia="Arial" w:hAnsi="Arial"/>
          <w:sz w:val="18"/>
          <w:szCs w:val="18"/>
          <w:color w:val="auto"/>
        </w:rPr>
      </w:pPr>
    </w:p>
    <w:p>
      <w:pPr>
        <w:ind w:left="1300" w:right="380" w:hanging="644"/>
        <w:spacing w:after="0" w:line="28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climate change and severe weather events, as well as the regulatory efforts intended to reduce the effects of climate change;</w:t>
      </w:r>
    </w:p>
    <w:p>
      <w:pPr>
        <w:spacing w:after="0" w:line="44" w:lineRule="exact"/>
        <w:rPr>
          <w:rFonts w:ascii="Arial" w:cs="Arial" w:eastAsia="Arial" w:hAnsi="Arial"/>
          <w:sz w:val="18"/>
          <w:szCs w:val="18"/>
          <w:color w:val="auto"/>
        </w:rPr>
      </w:pPr>
    </w:p>
    <w:p>
      <w:pPr>
        <w:ind w:left="1300" w:right="20" w:hanging="644"/>
        <w:spacing w:after="0" w:line="268"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security breaches, incidents, and compromises through cyber-attacks, cyber intrusions or otherwise, as well as other significant disruptions of our information technology (IT) networks and related systems, which support our operations and our buildings;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legal proceedings and other claims that could result in substantial monetary damages and other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BXP’s potential failure to qualify as a REIT under the Internal Revenue Code of 1986, as amended;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adverse changes in tax and environmental laws;</w:t>
      </w:r>
    </w:p>
    <w:p>
      <w:pPr>
        <w:spacing w:after="0" w:line="117" w:lineRule="exact"/>
        <w:rPr>
          <w:rFonts w:ascii="Arial" w:cs="Arial" w:eastAsia="Arial" w:hAnsi="Arial"/>
          <w:sz w:val="18"/>
          <w:szCs w:val="18"/>
          <w:color w:val="auto"/>
        </w:rPr>
      </w:pPr>
    </w:p>
    <w:p>
      <w:pPr>
        <w:ind w:left="1300" w:right="620" w:hanging="644"/>
        <w:spacing w:after="0" w:line="287" w:lineRule="auto"/>
        <w:tabs>
          <w:tab w:leader="none" w:pos="12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newly adopted accounting principles on our accounting policies and on period-to-period comparisons of financial results;</w:t>
      </w:r>
    </w:p>
    <w:p>
      <w:pPr>
        <w:spacing w:after="0" w:line="44"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possible state and local tax audits;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our dependence on key personnel whose continued service is not guaranteed.</w:t>
      </w:r>
    </w:p>
    <w:p>
      <w:pPr>
        <w:spacing w:after="0" w:line="25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BXP is one of the largest publicly traded office real estate investment trusts (REITs) (based on total market capitalization as of June 30, 2024) in the U.S. that develops, owns, and manages primarily premier workplaces. Our properties are concentrated in six dynamic gateway markets in the U.S.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improvements, free rent periods and other landlord concessions, anticipated operating expenses and real estate taxes, current and anticipated vacancy in our properties and the market overall (including sublease space), current and expected future demand for the space, the impact of other clients’ expansion rights and general economic factors.</w:t>
      </w:r>
    </w:p>
    <w:p>
      <w:pPr>
        <w:spacing w:after="0" w:line="131"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We believe our key competitive advantages are our commitment to the office asset class and to our clients as many competitors disinvest in the sector, a strong balance sheet with access to capital in the secured and unsecured debt and private equity markets, and one of the highest quality portfolios of premier workplaces in the U.S. assembled over several decades of intentional development, acquisitions and dispositions. Today, clients and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their advisors are more focused than ever on these attributes for their building owners, which distinguishes BXP among its competitors.</w:t>
      </w:r>
    </w:p>
    <w:p>
      <w:pPr>
        <w:spacing w:after="0" w:line="171"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Our core strategy has always been to develop, acquire and manage premier workplaces in gateway markets with high barriers-to-entry and attractive demand drivers, and to focus on executing long-term leases with financially strong clients that are diverse across market sectors.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This strategy is more valuable than ever as our clients are interested in premier workplaces in vibrant, amenitized, accessible and high-demand workplaces to encourage more in-person work. This interest has resulted in the acceleration of flight to quality in the office industry. Over the past several years, BXP’s experience and performance has diverged from the larger market and media sentiment, as premier workplaces have outperformed the broader office market consistently and substantially. We believe this divergence validates our strategy and differentiates BXP from other office companies. Although overall leasing demand has still not returned to pre-pandemic levels, since the first quarter of 2021, premier workplaces in our five traditional central business district (“CBD”) markets (Boston, New York, San Francisco, Seattle and Washington, DC) have consistently outperformed the broader office market in those CBDs on several key metrics, including occupancy, net absorption levels and rental rates. This outperformance is evident in BXP’s portfolio where approximately 90% of our share of net operating income (“NOI”) comes from predominantly premier workplaces located in CBDs. As of June 30, 2024, these CBD assets are 90.4% occupied and 92.2% leased (including vacant space for which we have signed leases that have not yet commenced in accordance with generally accepted accounting principles (“GAAP”)). For a detailed discussion of our share of NOI, including the reasons management believes the metric is useful to investors and a reconciliation to the most comparable GAAP measure, see page 35.</w:t>
      </w:r>
    </w:p>
    <w:p>
      <w:pPr>
        <w:spacing w:after="0" w:line="136"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As of June 30, 2024, the weighted-average remaining lease term (1) for our in-place leases, based on square feet, including those signed by our unconsolidated joint ventures but excluding residential units, was approximately 7.7 years, and (2) for our 20 largest clients, based on square feet, was approximately 10.3 years.</w:t>
      </w:r>
    </w:p>
    <w:p>
      <w:pPr>
        <w:spacing w:after="0" w:line="117" w:lineRule="exact"/>
        <w:rPr>
          <w:sz w:val="20"/>
          <w:szCs w:val="20"/>
          <w:color w:val="auto"/>
        </w:rPr>
      </w:pPr>
    </w:p>
    <w:p>
      <w:pPr>
        <w:ind w:right="160" w:firstLine="405"/>
        <w:spacing w:after="0" w:line="287" w:lineRule="auto"/>
        <w:rPr>
          <w:sz w:val="20"/>
          <w:szCs w:val="20"/>
          <w:color w:val="auto"/>
        </w:rPr>
      </w:pPr>
      <w:r>
        <w:rPr>
          <w:rFonts w:ascii="Arial" w:cs="Arial" w:eastAsia="Arial" w:hAnsi="Arial"/>
          <w:sz w:val="18"/>
          <w:szCs w:val="18"/>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31"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understanding of our client’s short- and long-term space utilization and amenity needs in the local markets;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track record of developing and operating premier workplaces in a sustainable and responsible manner;</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as a high-quality developer, owner and manager of premier workplaces in our markets;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strength, including our ability to fund our share of lease obligations and maintain premier building standards;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relationships with local brokers.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Outlook</w:t>
      </w:r>
    </w:p>
    <w:p>
      <w:pPr>
        <w:spacing w:after="0" w:line="10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continue to experience market tailwinds from the two most important external forces impacting BXP’s performance: interest rates and corporate earnings growth. The U.S. inflation report released on July 11, 2024 reflected a 3% inflation rate for the 12 months ending in June 2024, which was lower than expected. This report sparked new forecasts of accelerated interest rate cuts by the Federal Reserve as well as lower market yields for the 10-year U.S. Treasury Note. Lower interest rates are favorable for real estate and BXP’s valuation, as well as broader corporate earnings growth, which is the second important external factor driving BXP’s performance. After remaining flat for all of 2023, S&amp;P 500 earnings growth was 6.6% in the first quarter of 2024 and is expected to be approximately 9% for the second quarter. In our experience, companies with earnings growth are much more likely to invest, hire and lease additional space, which is consistent with our growing leasing volumes this year.</w:t>
      </w:r>
    </w:p>
    <w:p>
      <w:pPr>
        <w:spacing w:after="0" w:line="13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We are also experiencing moderate but steady increases in workers returning to the office based on the turnstile data we capture for roughly half of our portfolio. Corporations continue to push for increased office attendance, including a large technology company that recently announced its policy shift from primarily remote work to mandatory office attendance of three to five days per week depending on job function.</w:t>
      </w:r>
    </w:p>
    <w:p>
      <w:pPr>
        <w:spacing w:after="0" w:line="122" w:lineRule="exact"/>
        <w:rPr>
          <w:sz w:val="20"/>
          <w:szCs w:val="20"/>
          <w:color w:val="auto"/>
        </w:rPr>
      </w:pPr>
    </w:p>
    <w:p>
      <w:pPr>
        <w:ind w:right="280" w:firstLine="405"/>
        <w:spacing w:after="0" w:line="268" w:lineRule="auto"/>
        <w:rPr>
          <w:sz w:val="20"/>
          <w:szCs w:val="20"/>
          <w:color w:val="auto"/>
        </w:rPr>
      </w:pPr>
      <w:r>
        <w:rPr>
          <w:rFonts w:ascii="Arial" w:cs="Arial" w:eastAsia="Arial" w:hAnsi="Arial"/>
          <w:sz w:val="18"/>
          <w:szCs w:val="18"/>
          <w:color w:val="auto"/>
        </w:rPr>
        <w:t>Although remote work continues to be a factor restraining demand for office space, we believe economic conditions are the primary driver of leasing activity. As overall earnings growth for our clients and potential clients improves, it should lead to employment growth and demand for office space over time. We expect our leasing,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construction and property management teams will continue to lean on our operating prowess to gain new clients and market share as clients choose premier workplaces that are in sound financial condition for their office space, which will increase our occupancy over time.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evolving operating environment impacts various aspects of our operating activities as:</w:t>
      </w:r>
    </w:p>
    <w:p>
      <w:pPr>
        <w:spacing w:after="0" w:line="171"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labor market conditions shift, which has gradually increased employer demand for mandatory in-person workdays;</w:t>
      </w:r>
    </w:p>
    <w:p>
      <w:pPr>
        <w:spacing w:after="0" w:line="171" w:lineRule="exact"/>
        <w:rPr>
          <w:rFonts w:ascii="Arial" w:cs="Arial" w:eastAsia="Arial" w:hAnsi="Arial"/>
          <w:sz w:val="18"/>
          <w:szCs w:val="18"/>
          <w:color w:val="auto"/>
        </w:rPr>
      </w:pPr>
    </w:p>
    <w:p>
      <w:pPr>
        <w:ind w:left="820" w:right="160" w:hanging="326"/>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volatility in the capital markets has led companies to be more reticent in their capital outlays, including capital required for leasing new space;</w:t>
      </w:r>
    </w:p>
    <w:p>
      <w:pPr>
        <w:spacing w:after="0" w:line="98" w:lineRule="exact"/>
        <w:rPr>
          <w:rFonts w:ascii="Arial" w:cs="Arial" w:eastAsia="Arial" w:hAnsi="Arial"/>
          <w:sz w:val="18"/>
          <w:szCs w:val="18"/>
          <w:color w:val="auto"/>
        </w:rPr>
      </w:pPr>
    </w:p>
    <w:p>
      <w:pPr>
        <w:ind w:left="820" w:right="640" w:hanging="326"/>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capital costs have increased due to higher interest rates and credit spreads, and private market debt financing, both for construction and existing assets, is significantly more challenging to arrange; and</w:t>
      </w:r>
    </w:p>
    <w:p>
      <w:pPr>
        <w:spacing w:after="0" w:line="98" w:lineRule="exact"/>
        <w:rPr>
          <w:rFonts w:ascii="Arial" w:cs="Arial" w:eastAsia="Arial" w:hAnsi="Arial"/>
          <w:sz w:val="18"/>
          <w:szCs w:val="18"/>
          <w:color w:val="auto"/>
        </w:rPr>
      </w:pPr>
    </w:p>
    <w:p>
      <w:pPr>
        <w:ind w:left="820" w:right="80" w:hanging="326"/>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construction costs have increased and, although much of the cost for our active development pipeline is fixed, the cost of potential future construction activity continues to increase.</w:t>
      </w:r>
    </w:p>
    <w:p>
      <w:pPr>
        <w:spacing w:after="0" w:line="99"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In light of the uncertain trajectory of the U.S. and global economies, we continue to position BXP for success by increasing liquidity, managing our leverage, pursuing additional capital raising opportunities and maintaining discipline in discretionary capital expenditures, while continuing to selectively invest (including through both acquisitions and developments) in premier workplace opportunities. We remain focused on the following strategies:</w:t>
      </w:r>
    </w:p>
    <w:p>
      <w:pPr>
        <w:spacing w:after="0" w:line="122" w:lineRule="exact"/>
        <w:rPr>
          <w:sz w:val="20"/>
          <w:szCs w:val="20"/>
          <w:color w:val="auto"/>
        </w:rPr>
      </w:pPr>
    </w:p>
    <w:p>
      <w:pPr>
        <w:ind w:left="820" w:right="300" w:hanging="326"/>
        <w:spacing w:after="0" w:line="28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embrace our leadership position in the premier workplace segment and leveraging our strength in portfolio quality, client relationships, development skills, market penetration and sustainability to profitably build market share;</w:t>
      </w:r>
    </w:p>
    <w:p>
      <w:pPr>
        <w:spacing w:after="0" w:line="98"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leasing available space in our in-service and development properties, as well as proactively focusing on future lease expirations;</w:t>
      </w:r>
    </w:p>
    <w:p>
      <w:pPr>
        <w:spacing w:after="0" w:line="171"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completing the construction and leasing of our development properties;</w:t>
      </w:r>
    </w:p>
    <w:p>
      <w:pPr>
        <w:spacing w:after="0" w:line="171" w:lineRule="exact"/>
        <w:rPr>
          <w:rFonts w:ascii="Arial" w:cs="Arial" w:eastAsia="Arial" w:hAnsi="Arial"/>
          <w:sz w:val="18"/>
          <w:szCs w:val="18"/>
          <w:color w:val="auto"/>
        </w:rPr>
      </w:pPr>
    </w:p>
    <w:p>
      <w:pPr>
        <w:ind w:left="820" w:right="720" w:hanging="326"/>
        <w:spacing w:after="0" w:line="28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pursuing attractive asset class adjacencies where we have a track record of success, such as life sciences and residential development;</w:t>
      </w:r>
    </w:p>
    <w:p>
      <w:pPr>
        <w:spacing w:after="0" w:line="98" w:lineRule="exact"/>
        <w:rPr>
          <w:rFonts w:ascii="Arial" w:cs="Arial" w:eastAsia="Arial" w:hAnsi="Arial"/>
          <w:sz w:val="18"/>
          <w:szCs w:val="18"/>
          <w:color w:val="auto"/>
        </w:rPr>
      </w:pPr>
    </w:p>
    <w:p>
      <w:pPr>
        <w:ind w:left="820" w:hanging="326"/>
        <w:spacing w:after="0" w:line="28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continuing to raise the bar in the quality of our portfolio and actively recycling capital by selling assets, subject to market conditions, which we believe no longer fit within our portfolio strategy or could attract premium pricing in the current market;</w:t>
      </w:r>
    </w:p>
    <w:p>
      <w:pPr>
        <w:spacing w:after="0" w:line="98"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actively managing our operations in a sustainable and responsible manner; and</w:t>
      </w:r>
    </w:p>
    <w:p>
      <w:pPr>
        <w:spacing w:after="0" w:line="171" w:lineRule="exact"/>
        <w:rPr>
          <w:rFonts w:ascii="Arial" w:cs="Arial" w:eastAsia="Arial" w:hAnsi="Arial"/>
          <w:sz w:val="18"/>
          <w:szCs w:val="18"/>
          <w:color w:val="auto"/>
        </w:rPr>
      </w:pPr>
    </w:p>
    <w:p>
      <w:pPr>
        <w:ind w:left="820" w:right="260" w:hanging="326"/>
        <w:spacing w:after="0" w:line="28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prioritizing risk management by actively managing liquidity, investing more extensively with joint venture partners to manage our debt levels, and being highly selective in new investment commitments.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an overview of leasing and investment activity in the second quarter of 2024 and recent business highlights.</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Activity and Occupancy</w:t>
      </w:r>
    </w:p>
    <w:p>
      <w:pPr>
        <w:spacing w:after="0" w:line="16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are experiencing an improving operating environment. Although all the markets we operate in still need consistent incremental absorption to constitute a macro recovery, we have started to see pockets of strength where low availability is driving constructive client behavior. As clients choose premier properties in sound financial condition, with building owners that are committed for the long term to their properties operated by the best property management teams, we expect to continue to be successful in gaining market share despite limited demand growth.</w:t>
      </w:r>
    </w:p>
    <w:p>
      <w:pPr>
        <w:spacing w:after="0" w:line="125"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In the second quarter of 2024, we executed 73 leases totaling over 1.3 million square feet with a weighted-average lease term of approximately 9.0 years. The approximately 1.3 million square feet of leasing represents a 41% increase from the second quarter of 2023 and 93% of our 10-year leasing average for the second quarter.</w:t>
      </w:r>
    </w:p>
    <w:p>
      <w:pPr>
        <w:spacing w:after="0" w:line="117"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BXP’s CBD portfolio of premier workplaces was 90.4% occupied and 92.2% leased (including vacant space for which we have signed leases that have not yet commenced in accordance with GAAP) at June 30, 2024. Approximately 90% of our share of NOI comes from assets located in our CBD portfolio, underscoring the strength of BXP’s strategy to invest in the highest quality buildings in dynamic urban gateway markets. For a detailed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discussion of our share of NOI, including the reasons management believes the metric is useful to investors and a reconciliation to the most comparable GAAP measure, see page 35.</w:t>
      </w:r>
    </w:p>
    <w:p>
      <w:pPr>
        <w:spacing w:after="0" w:line="99"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The overall occupancy of our in-service office and retail properties was 87.1% at June 30, 2024, a decrease of 110 basis points from March 31, 2024. This is consistent with our previously communicated expectations and is primarily due to expected lease expirations. We define occupancy as space with signed leases for which revenue recognition has commenced in accordance with GAAP. Including vacant space for which we have signed leases that have not yet commenced revenue recognition in accordance with GAAP, our in-service office and retail properties were approximately 89.1% leased at June 30, 2024.</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Activity</w:t>
      </w:r>
    </w:p>
    <w:p>
      <w:pPr>
        <w:spacing w:after="0" w:line="102"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remain in active pursuit of opportunities in our core markets and asset types with primarily two types of counterparties: lenders to highly leveraged assets that require recapitalization and institutional owners seeking to diversify from the office asset class. To date, there has been limited market transaction activity for higher-quality office assets, though increasingly owners are testing the market to understand pricing. With lenders, there are fewer premier workplaces that are struggling with leverage, and in the few cases involving premier workplaces, lenders are generally electing to extend loans to borrowers who agree to invest modestly in their assets. Institutional owners are less interested in selling their higher quality assets, and there remains a material bid-ask spread given that, in most cases, assets have not been marked down to market-clearing levels. Notwithstanding these current challenges, we expect that transactions and our investment activity will increase in the coming quarters given the volume of maturing financings, continued mark downs in institutional portfolios and prolonged high interest rates. We also have interest from institutional investors in co-investing with us for select opportunities.</w:t>
      </w:r>
    </w:p>
    <w:p>
      <w:pPr>
        <w:spacing w:after="0" w:line="127"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As of June 30, 2024, our development/redevelopment pipeline consisted of 10 properties that, when completed, we expect will total approximately 3.1 million net rentable square feet. Our share of the estimated total cost for these projects is approximately $2.5 billion, of which approximately $1.3 billion remains to be invested. The commercial space in the pipeline, which excludes the residential projects, was 53% pre-leased as of July 31, 2024.</w:t>
      </w:r>
    </w:p>
    <w:p>
      <w:pPr>
        <w:spacing w:after="0" w:line="122" w:lineRule="exact"/>
        <w:rPr>
          <w:sz w:val="20"/>
          <w:szCs w:val="20"/>
          <w:color w:val="auto"/>
        </w:rPr>
      </w:pPr>
    </w:p>
    <w:p>
      <w:pPr>
        <w:ind w:right="160" w:firstLine="405"/>
        <w:spacing w:after="0" w:line="268" w:lineRule="auto"/>
        <w:rPr>
          <w:sz w:val="20"/>
          <w:szCs w:val="20"/>
          <w:color w:val="auto"/>
        </w:rPr>
      </w:pPr>
      <w:r>
        <w:rPr>
          <w:rFonts w:ascii="Arial" w:cs="Arial" w:eastAsia="Arial" w:hAnsi="Arial"/>
          <w:sz w:val="18"/>
          <w:szCs w:val="18"/>
          <w:color w:val="auto"/>
        </w:rPr>
        <w:t>In the second quarter of 2024, we completed and fully placed in-service 760 Boylston Street, an approximately 118,000 net rentable square feet retail redevelopment located in Boston, Massachusetts. The property is 100% leased to DICK’S Sporting Goods’ Boston House of Sport.</w:t>
      </w:r>
    </w:p>
    <w:p>
      <w:pPr>
        <w:spacing w:after="0" w:line="117" w:lineRule="exact"/>
        <w:rPr>
          <w:sz w:val="20"/>
          <w:szCs w:val="20"/>
          <w:color w:val="auto"/>
        </w:rPr>
      </w:pPr>
    </w:p>
    <w:p>
      <w:pPr>
        <w:ind w:right="260" w:firstLine="405"/>
        <w:spacing w:after="0" w:line="268" w:lineRule="auto"/>
        <w:rPr>
          <w:sz w:val="20"/>
          <w:szCs w:val="20"/>
          <w:color w:val="auto"/>
        </w:rPr>
      </w:pPr>
      <w:r>
        <w:rPr>
          <w:rFonts w:ascii="Arial" w:cs="Arial" w:eastAsia="Arial" w:hAnsi="Arial"/>
          <w:sz w:val="18"/>
          <w:szCs w:val="18"/>
          <w:color w:val="auto"/>
        </w:rPr>
        <w:t>In July 2024, BXP partially placed in-service Skymark, a luxury residential property in Reston, Virginia that consists of 508 residential units across a five-story low-rise building and an iconic 39-story tower, which is one of the tallest buildings in Northern Virginia. The residential property is owned by a joint venture in which BXP has a 20% interest.</w:t>
      </w:r>
    </w:p>
    <w:p>
      <w:pPr>
        <w:spacing w:after="0" w:line="11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we continue to focus on new investments to drive future growth, we regularly review our portfolio to identify properties as potential sales candidates that either no longer fit within our portfolio strategy or could attract premium pricing in the current market. We are currently in active negotiations for the disposition of four land positions which, if successful, would generate approximately $150 million of proceeds, half of which could be realized this year. However, there can be no assurance that we will complete any of these transactions on the terms currently contemplated or at all.</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brief overview of each of our markets follows.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Boston</w:t>
      </w:r>
    </w:p>
    <w:p>
      <w:pPr>
        <w:spacing w:after="0" w:line="88"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During the second quarter of 2024, we executed approximately 344,000 square feet of leases and approximately 375,000 square feet of leases commenced in the Boston region. Approximately 171,000 square feet of the leases that commenced had been vacant for less than one year and represent an increase in net rental obligations of approximately 10.8% over the prior leases.</w:t>
      </w:r>
    </w:p>
    <w:p>
      <w:pPr>
        <w:spacing w:after="0" w:line="117" w:lineRule="exact"/>
        <w:rPr>
          <w:sz w:val="20"/>
          <w:szCs w:val="20"/>
          <w:color w:val="auto"/>
        </w:rPr>
      </w:pPr>
    </w:p>
    <w:p>
      <w:pPr>
        <w:ind w:right="100" w:firstLine="405"/>
        <w:spacing w:after="0" w:line="268" w:lineRule="auto"/>
        <w:rPr>
          <w:sz w:val="20"/>
          <w:szCs w:val="20"/>
          <w:color w:val="auto"/>
        </w:rPr>
      </w:pPr>
      <w:r>
        <w:rPr>
          <w:rFonts w:ascii="Arial" w:cs="Arial" w:eastAsia="Arial" w:hAnsi="Arial"/>
          <w:sz w:val="18"/>
          <w:szCs w:val="18"/>
          <w:color w:val="auto"/>
        </w:rPr>
        <w:t>As of June 30, 2024, our approximately 8.4 million square foot Boston CBD in-service portfolio was approximately 94.9% occupied and approximately 96.2% leased (including vacant space for which we have signed leases that have not yet commenced in accordance with GAAP).</w:t>
      </w:r>
    </w:p>
    <w:p>
      <w:pPr>
        <w:spacing w:after="0" w:line="117"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Our approximately 2.5 million square foot in-service premier workplace CBD portfolio in Cambridge was approximately 96.7% occupied and 96.7% leased (including vacant space for which we have signed leases that have not yet commenced in accordance with GAAP) as of June 30, 2024.</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As of June 30, 2024, our Route 128-Mass Turnpike in-service portfolio is comprised of approximately 4.7 million square feet and was approximately 76.8% occupied and approximately 79.4% leased (including vacant space for which we have signed leases that have not yet commenced in accordance with GAAP).</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 Angeles</w:t>
      </w:r>
    </w:p>
    <w:p>
      <w:pPr>
        <w:spacing w:after="0" w:line="102" w:lineRule="exact"/>
        <w:rPr>
          <w:sz w:val="20"/>
          <w:szCs w:val="20"/>
          <w:color w:val="auto"/>
        </w:rPr>
      </w:pPr>
    </w:p>
    <w:p>
      <w:pPr>
        <w:ind w:right="200" w:firstLine="405"/>
        <w:spacing w:after="0" w:line="290" w:lineRule="auto"/>
        <w:rPr>
          <w:sz w:val="20"/>
          <w:szCs w:val="20"/>
          <w:color w:val="auto"/>
        </w:rPr>
      </w:pPr>
      <w:r>
        <w:rPr>
          <w:rFonts w:ascii="Arial" w:cs="Arial" w:eastAsia="Arial" w:hAnsi="Arial"/>
          <w:sz w:val="17"/>
          <w:szCs w:val="17"/>
          <w:color w:val="auto"/>
        </w:rPr>
        <w:t>Our Los Angeles (“LA”) in-service portfolio of approximately 2.3 million square feet is currently focused in West LA and includes Colorado Center, an approximately 1.1 million square foot property of which we own 50%, and Santa Monica Business Park, a 21-building,</w:t>
      </w:r>
    </w:p>
    <w:p>
      <w:pPr>
        <w:ind w:right="280"/>
        <w:spacing w:after="0" w:line="287" w:lineRule="auto"/>
        <w:rPr>
          <w:sz w:val="20"/>
          <w:szCs w:val="20"/>
          <w:color w:val="auto"/>
        </w:rPr>
      </w:pPr>
      <w:r>
        <w:rPr>
          <w:rFonts w:ascii="Arial" w:cs="Arial" w:eastAsia="Arial" w:hAnsi="Arial"/>
          <w:sz w:val="18"/>
          <w:szCs w:val="18"/>
          <w:color w:val="auto"/>
        </w:rPr>
        <w:t>approximately 1.2 million square foot property. As of June 30, 2024, our LA in-service properties were approximately 85.0% occupied and 86.0% leased (including vacant space for which we have signed leases that have not yet commenced in accordance with GAAP).</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York</w:t>
      </w:r>
    </w:p>
    <w:p>
      <w:pPr>
        <w:spacing w:after="0" w:line="102" w:lineRule="exact"/>
        <w:rPr>
          <w:sz w:val="20"/>
          <w:szCs w:val="20"/>
          <w:color w:val="auto"/>
        </w:rPr>
      </w:pPr>
    </w:p>
    <w:p>
      <w:pPr>
        <w:ind w:firstLine="405"/>
        <w:spacing w:after="0" w:line="314" w:lineRule="auto"/>
        <w:rPr>
          <w:sz w:val="20"/>
          <w:szCs w:val="20"/>
          <w:color w:val="auto"/>
        </w:rPr>
      </w:pPr>
      <w:r>
        <w:rPr>
          <w:rFonts w:ascii="Arial" w:cs="Arial" w:eastAsia="Arial" w:hAnsi="Arial"/>
          <w:sz w:val="17"/>
          <w:szCs w:val="17"/>
          <w:color w:val="auto"/>
        </w:rPr>
        <w:t>During the second quarter of 2024, we executed approximately 447,000 square feet of leases in the New York region and approximately 86,000 square feet of leases commenced. Approximately 55,000 square feet of the leases that commenced had been vacant for less than</w:t>
      </w:r>
    </w:p>
    <w:p>
      <w:pPr>
        <w:spacing w:after="0" w:line="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one year and they represent a decrease in net rental obligations of approximately 7.3% over the prior leases. As of June 30, 2024, our New York CBD in-service portfolio was approximately 90.8% occupied and approximately 94.6% leased (including vacant space for which we have signed leases that have not yet commenced in accordance with GAAP).</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San Francisco</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second quarter of 2024, we executed approximately 147,000 square feet of leases and approximately 169,000 square feet of</w:t>
      </w:r>
    </w:p>
    <w:p>
      <w:pPr>
        <w:spacing w:after="0" w:line="6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leases commenced in the San Francisco region. Approximately 115,000 square feet of leases that commenced had been vacant for less than one year and represent an increase in net rental obligations of approximately 15.5% over the prior leases.</w:t>
      </w:r>
    </w:p>
    <w:p>
      <w:pPr>
        <w:spacing w:after="0" w:line="99" w:lineRule="exact"/>
        <w:rPr>
          <w:sz w:val="20"/>
          <w:szCs w:val="20"/>
          <w:color w:val="auto"/>
        </w:rPr>
      </w:pPr>
    </w:p>
    <w:p>
      <w:pPr>
        <w:ind w:right="520" w:firstLine="405"/>
        <w:spacing w:after="0" w:line="287" w:lineRule="auto"/>
        <w:rPr>
          <w:sz w:val="20"/>
          <w:szCs w:val="20"/>
          <w:color w:val="auto"/>
        </w:rPr>
      </w:pPr>
      <w:r>
        <w:rPr>
          <w:rFonts w:ascii="Arial" w:cs="Arial" w:eastAsia="Arial" w:hAnsi="Arial"/>
          <w:sz w:val="18"/>
          <w:szCs w:val="18"/>
          <w:color w:val="auto"/>
        </w:rPr>
        <w:t>As of June 30, 2024, our San Francisco CBD in-service properties were approximately 84.0% occupied and approximately 84.4% leased (including vacant space for which we have signed leases that have not yet commenced in accordance with GAAP).</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Seattle</w:t>
      </w:r>
    </w:p>
    <w:p>
      <w:pPr>
        <w:spacing w:after="0" w:line="88" w:lineRule="exact"/>
        <w:rPr>
          <w:sz w:val="20"/>
          <w:szCs w:val="20"/>
          <w:color w:val="auto"/>
        </w:rPr>
      </w:pPr>
    </w:p>
    <w:p>
      <w:pPr>
        <w:ind w:right="40" w:firstLine="405"/>
        <w:spacing w:after="0" w:line="283" w:lineRule="auto"/>
        <w:rPr>
          <w:sz w:val="20"/>
          <w:szCs w:val="20"/>
          <w:color w:val="auto"/>
        </w:rPr>
      </w:pPr>
      <w:r>
        <w:rPr>
          <w:rFonts w:ascii="Arial" w:cs="Arial" w:eastAsia="Arial" w:hAnsi="Arial"/>
          <w:sz w:val="18"/>
          <w:szCs w:val="18"/>
          <w:color w:val="auto"/>
        </w:rPr>
        <w:t>Our Seattle in-service portfolio includes Safeco Plaza, an approximately 762,000 square foot property of which we own 33.67%, and Madison Centre, an approximately 755,000 square foot property. As of June 30, 2024, these in-service properties were approximately 80.2% occupied and approximately 83.0% leased (inclusive of vacant space with signed leases that have not yet commenced in accordance with GAAP).</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Washington, DC</w:t>
      </w:r>
    </w:p>
    <w:p>
      <w:pPr>
        <w:spacing w:after="0" w:line="8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the second quarter of 2024, we executed approximately 363,000 square feet of leases and approximately 140,000 square feet of leases commenced in the Washington, DC region. Approximately 32,000 square feet of the leases that commenced had been vacant for less than one year and represent a decrease in net rental obligations of approximately 1.3% over the prior leases.</w:t>
      </w:r>
    </w:p>
    <w:p>
      <w:pPr>
        <w:spacing w:after="0" w:line="117" w:lineRule="exact"/>
        <w:rPr>
          <w:sz w:val="20"/>
          <w:szCs w:val="20"/>
          <w:color w:val="auto"/>
        </w:rPr>
      </w:pPr>
    </w:p>
    <w:p>
      <w:pPr>
        <w:ind w:right="380" w:firstLine="405"/>
        <w:spacing w:after="0" w:line="287" w:lineRule="auto"/>
        <w:rPr>
          <w:sz w:val="20"/>
          <w:szCs w:val="20"/>
          <w:color w:val="auto"/>
        </w:rPr>
      </w:pPr>
      <w:r>
        <w:rPr>
          <w:rFonts w:ascii="Arial" w:cs="Arial" w:eastAsia="Arial" w:hAnsi="Arial"/>
          <w:sz w:val="18"/>
          <w:szCs w:val="18"/>
          <w:color w:val="auto"/>
        </w:rPr>
        <w:t>As of June 30, 2024, our Washington, DC CBD in-service properties were approximately 87.5% occupied and approximately 88.1% leased (inclusive of vacant space with signed leases that have not yet commenced in accordance with GAAP).</w:t>
      </w:r>
    </w:p>
    <w:p>
      <w:pPr>
        <w:spacing w:after="0" w:line="99" w:lineRule="exact"/>
        <w:rPr>
          <w:sz w:val="20"/>
          <w:szCs w:val="20"/>
          <w:color w:val="auto"/>
        </w:rPr>
      </w:pPr>
    </w:p>
    <w:p>
      <w:pPr>
        <w:jc w:val="both"/>
        <w:ind w:right="60" w:firstLine="405"/>
        <w:spacing w:after="0" w:line="262" w:lineRule="auto"/>
        <w:rPr>
          <w:sz w:val="20"/>
          <w:szCs w:val="20"/>
          <w:color w:val="auto"/>
        </w:rPr>
      </w:pPr>
      <w:r>
        <w:rPr>
          <w:rFonts w:ascii="Arial" w:cs="Arial" w:eastAsia="Arial" w:hAnsi="Arial"/>
          <w:sz w:val="18"/>
          <w:szCs w:val="18"/>
          <w:color w:val="auto"/>
        </w:rPr>
        <w:t>A significant component of our Washington, DC regional portfolio is in Reston Town Center, an award-winning mixed-use development in Northern Virginia. Reston is a hub for technology, cloud services, cybersecurity and defense intelligence companies. As of June 30, 2024, our Reston CBD portfolio was approximately 93.9% occupied and approximately 96.1% leased (inclusive of vacant space with signed leases that have not yet commenced in accordance with GAAP).</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Statistics</w:t>
      </w:r>
    </w:p>
    <w:p>
      <w:pPr>
        <w:spacing w:after="0" w:line="102"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The table below details the leasing activity, including 100% of the unconsolidated joint ventures, that commenced revenue recognition during the three and six months ended June 30,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500" w:type="dxa"/>
            <w:vAlign w:val="bottom"/>
            <w:gridSpan w:val="2"/>
          </w:tcPr>
          <w:p>
            <w:pPr>
              <w:ind w:left="100"/>
              <w:spacing w:after="0"/>
              <w:rPr>
                <w:sz w:val="20"/>
                <w:szCs w:val="20"/>
                <w:color w:val="auto"/>
              </w:rPr>
            </w:pPr>
            <w:r>
              <w:rPr>
                <w:rFonts w:ascii="Arial" w:cs="Arial" w:eastAsia="Arial" w:hAnsi="Arial"/>
                <w:sz w:val="16"/>
                <w:szCs w:val="16"/>
                <w:b w:val="1"/>
                <w:bCs w:val="1"/>
                <w:color w:val="auto"/>
              </w:rPr>
              <w:t>Three months ended June</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Six months ended June 30,</w:t>
            </w:r>
          </w:p>
        </w:tc>
      </w:tr>
      <w:tr>
        <w:trPr>
          <w:trHeight w:val="216"/>
        </w:trPr>
        <w:tc>
          <w:tcPr>
            <w:tcW w:w="6520" w:type="dxa"/>
            <w:vAlign w:val="bottom"/>
          </w:tcPr>
          <w:p>
            <w:pPr>
              <w:spacing w:after="0"/>
              <w:rPr>
                <w:sz w:val="18"/>
                <w:szCs w:val="18"/>
                <w:color w:val="auto"/>
              </w:rPr>
            </w:pPr>
          </w:p>
        </w:tc>
        <w:tc>
          <w:tcPr>
            <w:tcW w:w="2200" w:type="dxa"/>
            <w:vAlign w:val="bottom"/>
            <w:tcBorders>
              <w:bottom w:val="single" w:sz="8" w:color="auto"/>
            </w:tcBorders>
          </w:tcPr>
          <w:p>
            <w:pPr>
              <w:jc w:val="right"/>
              <w:ind w:right="691"/>
              <w:spacing w:after="0"/>
              <w:rPr>
                <w:sz w:val="20"/>
                <w:szCs w:val="20"/>
                <w:color w:val="auto"/>
              </w:rPr>
            </w:pPr>
            <w:r>
              <w:rPr>
                <w:rFonts w:ascii="Arial" w:cs="Arial" w:eastAsia="Arial" w:hAnsi="Arial"/>
                <w:sz w:val="16"/>
                <w:szCs w:val="16"/>
                <w:b w:val="1"/>
                <w:bCs w:val="1"/>
                <w:color w:val="auto"/>
              </w:rPr>
              <w:t>30, 2024</w:t>
            </w: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b w:val="1"/>
                <w:bCs w:val="1"/>
                <w:color w:val="auto"/>
              </w:rPr>
              <w:t>2024</w:t>
            </w:r>
          </w:p>
        </w:tc>
      </w:tr>
      <w:tr>
        <w:trPr>
          <w:trHeight w:val="210"/>
        </w:trPr>
        <w:tc>
          <w:tcPr>
            <w:tcW w:w="6520" w:type="dxa"/>
            <w:vAlign w:val="bottom"/>
          </w:tcPr>
          <w:p>
            <w:pPr>
              <w:spacing w:after="0"/>
              <w:rPr>
                <w:sz w:val="18"/>
                <w:szCs w:val="18"/>
                <w:color w:val="auto"/>
              </w:rPr>
            </w:pPr>
          </w:p>
        </w:tc>
        <w:tc>
          <w:tcPr>
            <w:tcW w:w="4720" w:type="dxa"/>
            <w:vAlign w:val="bottom"/>
            <w:gridSpan w:val="3"/>
          </w:tcPr>
          <w:p>
            <w:pPr>
              <w:jc w:val="right"/>
              <w:ind w:right="1751"/>
              <w:spacing w:after="0"/>
              <w:rPr>
                <w:sz w:val="20"/>
                <w:szCs w:val="20"/>
                <w:color w:val="auto"/>
              </w:rPr>
            </w:pPr>
            <w:r>
              <w:rPr>
                <w:rFonts w:ascii="Arial" w:cs="Arial" w:eastAsia="Arial" w:hAnsi="Arial"/>
                <w:sz w:val="16"/>
                <w:szCs w:val="16"/>
                <w:b w:val="1"/>
                <w:bCs w:val="1"/>
                <w:color w:val="auto"/>
              </w:rPr>
              <w:t>(Square Feet)</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available at the beginning of the period</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5,758,606</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5,696,007</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Vacant space from property dispositions/properties taken out of service (1)</w:t>
            </w:r>
          </w:p>
        </w:tc>
        <w:tc>
          <w:tcPr>
            <w:tcW w:w="2200" w:type="dxa"/>
            <w:vAlign w:val="bottom"/>
          </w:tcPr>
          <w:p>
            <w:pPr>
              <w:ind w:left="1340"/>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9"/>
                <w:szCs w:val="19"/>
                <w:color w:val="auto"/>
              </w:rPr>
            </w:pPr>
          </w:p>
        </w:tc>
        <w:tc>
          <w:tcPr>
            <w:tcW w:w="2220" w:type="dxa"/>
            <w:vAlign w:val="bottom"/>
          </w:tcPr>
          <w:p>
            <w:pPr>
              <w:jc w:val="right"/>
              <w:ind w:right="91"/>
              <w:spacing w:after="0"/>
              <w:rPr>
                <w:sz w:val="20"/>
                <w:szCs w:val="20"/>
                <w:color w:val="auto"/>
              </w:rPr>
            </w:pPr>
            <w:r>
              <w:rPr>
                <w:rFonts w:ascii="Arial" w:cs="Arial" w:eastAsia="Arial" w:hAnsi="Arial"/>
                <w:sz w:val="18"/>
                <w:szCs w:val="18"/>
                <w:color w:val="auto"/>
              </w:rPr>
              <w:t>(263,694)</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from properties placed (and partially placed) in-service (2)</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117,907</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162,559</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Leases expiring or terminated during the period</w:t>
            </w:r>
          </w:p>
        </w:tc>
        <w:tc>
          <w:tcPr>
            <w:tcW w:w="2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1,214,346</w:t>
            </w:r>
          </w:p>
        </w:tc>
        <w:tc>
          <w:tcPr>
            <w:tcW w:w="3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2,899,142</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space available for lease</w:t>
            </w:r>
          </w:p>
        </w:tc>
        <w:tc>
          <w:tcPr>
            <w:tcW w:w="2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7,060,859</w:t>
            </w:r>
          </w:p>
        </w:tc>
        <w:tc>
          <w:tcPr>
            <w:tcW w:w="3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8,494,014</w:t>
            </w:r>
          </w:p>
        </w:tc>
      </w:tr>
      <w:tr>
        <w:trPr>
          <w:trHeight w:val="223"/>
        </w:trPr>
        <w:tc>
          <w:tcPr>
            <w:tcW w:w="6520" w:type="dxa"/>
            <w:vAlign w:val="bottom"/>
          </w:tcPr>
          <w:p>
            <w:pPr>
              <w:ind w:left="20"/>
              <w:spacing w:after="0" w:line="223"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generation leases</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168,600</w:t>
            </w:r>
          </w:p>
        </w:tc>
        <w:tc>
          <w:tcPr>
            <w:tcW w:w="300" w:type="dxa"/>
            <w:vAlign w:val="bottom"/>
          </w:tcPr>
          <w:p>
            <w:pPr>
              <w:spacing w:after="0"/>
              <w:rPr>
                <w:sz w:val="19"/>
                <w:szCs w:val="19"/>
                <w:color w:val="auto"/>
              </w:rPr>
            </w:pPr>
          </w:p>
        </w:tc>
        <w:tc>
          <w:tcPr>
            <w:tcW w:w="2220" w:type="dxa"/>
            <w:vAlign w:val="bottom"/>
          </w:tcPr>
          <w:p>
            <w:pPr>
              <w:jc w:val="right"/>
              <w:ind w:right="151"/>
              <w:spacing w:after="0"/>
              <w:rPr>
                <w:sz w:val="20"/>
                <w:szCs w:val="20"/>
                <w:color w:val="auto"/>
              </w:rPr>
            </w:pPr>
            <w:r>
              <w:rPr>
                <w:rFonts w:ascii="Arial" w:cs="Arial" w:eastAsia="Arial" w:hAnsi="Arial"/>
                <w:sz w:val="18"/>
                <w:szCs w:val="18"/>
                <w:color w:val="auto"/>
              </w:rPr>
              <w:t>340,591</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leases with new clients</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329,238</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743,970</w:t>
            </w:r>
          </w:p>
        </w:tc>
      </w:tr>
      <w:tr>
        <w:trPr>
          <w:trHeight w:val="229"/>
        </w:trPr>
        <w:tc>
          <w:tcPr>
            <w:tcW w:w="65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 renewals</w:t>
            </w:r>
          </w:p>
        </w:tc>
        <w:tc>
          <w:tcPr>
            <w:tcW w:w="2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273,722</w:t>
            </w:r>
          </w:p>
        </w:tc>
        <w:tc>
          <w:tcPr>
            <w:tcW w:w="3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1,120,154</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space leased (3)</w:t>
            </w:r>
          </w:p>
        </w:tc>
        <w:tc>
          <w:tcPr>
            <w:tcW w:w="2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771,560</w:t>
            </w:r>
          </w:p>
        </w:tc>
        <w:tc>
          <w:tcPr>
            <w:tcW w:w="3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2,204,715</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Vacant space available for lease at the end of the period</w:t>
            </w:r>
          </w:p>
        </w:tc>
        <w:tc>
          <w:tcPr>
            <w:tcW w:w="22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6,289,299</w:t>
            </w:r>
          </w:p>
        </w:tc>
        <w:tc>
          <w:tcPr>
            <w:tcW w:w="300" w:type="dxa"/>
            <w:vAlign w:val="bottom"/>
          </w:tcPr>
          <w:p>
            <w:pPr>
              <w:spacing w:after="0"/>
              <w:rPr>
                <w:sz w:val="19"/>
                <w:szCs w:val="19"/>
                <w:color w:val="auto"/>
              </w:rPr>
            </w:pPr>
          </w:p>
        </w:tc>
        <w:tc>
          <w:tcPr>
            <w:tcW w:w="22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6,289,299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Leases executed during the period (4)</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1,322,664</w:t>
            </w:r>
          </w:p>
        </w:tc>
        <w:tc>
          <w:tcPr>
            <w:tcW w:w="300" w:type="dxa"/>
            <w:vAlign w:val="bottom"/>
          </w:tcPr>
          <w:p>
            <w:pPr>
              <w:spacing w:after="0"/>
              <w:rPr>
                <w:sz w:val="19"/>
                <w:szCs w:val="19"/>
                <w:color w:val="auto"/>
              </w:rPr>
            </w:pPr>
          </w:p>
        </w:tc>
        <w:tc>
          <w:tcPr>
            <w:tcW w:w="2220" w:type="dxa"/>
            <w:vAlign w:val="bottom"/>
          </w:tcPr>
          <w:p>
            <w:pPr>
              <w:jc w:val="right"/>
              <w:ind w:right="151"/>
              <w:spacing w:after="0"/>
              <w:rPr>
                <w:sz w:val="20"/>
                <w:szCs w:val="20"/>
                <w:color w:val="auto"/>
              </w:rPr>
            </w:pPr>
            <w:r>
              <w:rPr>
                <w:rFonts w:ascii="Arial" w:cs="Arial" w:eastAsia="Arial" w:hAnsi="Arial"/>
                <w:sz w:val="18"/>
                <w:szCs w:val="18"/>
                <w:color w:val="auto"/>
              </w:rPr>
              <w:t>2,216,605</w:t>
            </w:r>
          </w:p>
        </w:tc>
      </w:tr>
      <w:tr>
        <w:trPr>
          <w:trHeight w:val="270"/>
        </w:trPr>
        <w:tc>
          <w:tcPr>
            <w:tcW w:w="65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Second generation leasing information</w:t>
            </w:r>
            <w:r>
              <w:rPr>
                <w:rFonts w:ascii="Arial" w:cs="Arial" w:eastAsia="Arial" w:hAnsi="Arial"/>
                <w:sz w:val="18"/>
                <w:szCs w:val="18"/>
                <w:color w:val="auto"/>
              </w:rPr>
              <w:t>: (5)</w:t>
            </w: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commencing during the period, in square feet</w:t>
            </w:r>
          </w:p>
        </w:tc>
        <w:tc>
          <w:tcPr>
            <w:tcW w:w="2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602,960</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1,864,124</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Weighted Average Lease Term</w:t>
            </w:r>
          </w:p>
        </w:tc>
        <w:tc>
          <w:tcPr>
            <w:tcW w:w="2500" w:type="dxa"/>
            <w:vAlign w:val="bottom"/>
            <w:gridSpan w:val="2"/>
          </w:tcPr>
          <w:p>
            <w:pPr>
              <w:ind w:left="1360"/>
              <w:spacing w:after="0"/>
              <w:rPr>
                <w:sz w:val="20"/>
                <w:szCs w:val="20"/>
                <w:color w:val="auto"/>
              </w:rPr>
            </w:pPr>
            <w:r>
              <w:rPr>
                <w:rFonts w:ascii="Arial" w:cs="Arial" w:eastAsia="Arial" w:hAnsi="Arial"/>
                <w:sz w:val="18"/>
                <w:szCs w:val="18"/>
                <w:color w:val="auto"/>
              </w:rPr>
              <w:t>69 Months</w:t>
            </w:r>
          </w:p>
        </w:tc>
        <w:tc>
          <w:tcPr>
            <w:tcW w:w="2220" w:type="dxa"/>
            <w:vAlign w:val="bottom"/>
          </w:tcPr>
          <w:p>
            <w:pPr>
              <w:jc w:val="right"/>
              <w:spacing w:after="0"/>
              <w:rPr>
                <w:sz w:val="20"/>
                <w:szCs w:val="20"/>
                <w:color w:val="auto"/>
              </w:rPr>
            </w:pPr>
            <w:r>
              <w:rPr>
                <w:rFonts w:ascii="Arial" w:cs="Arial" w:eastAsia="Arial" w:hAnsi="Arial"/>
                <w:sz w:val="18"/>
                <w:szCs w:val="18"/>
                <w:color w:val="auto"/>
              </w:rPr>
              <w:t>97 Months</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Free Rent Period</w:t>
            </w:r>
          </w:p>
        </w:tc>
        <w:tc>
          <w:tcPr>
            <w:tcW w:w="25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147 Days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Days</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Total Transaction Costs Per Square Foot (6)</w:t>
            </w:r>
          </w:p>
        </w:tc>
        <w:tc>
          <w:tcPr>
            <w:tcW w:w="2200" w:type="dxa"/>
            <w:vAlign w:val="bottom"/>
          </w:tcPr>
          <w:p>
            <w:pPr>
              <w:jc w:val="right"/>
              <w:ind w:right="131"/>
              <w:spacing w:after="0"/>
              <w:rPr>
                <w:sz w:val="20"/>
                <w:szCs w:val="20"/>
                <w:color w:val="auto"/>
              </w:rPr>
            </w:pPr>
            <w:r>
              <w:rPr>
                <w:rFonts w:ascii="Arial" w:cs="Arial" w:eastAsia="Arial" w:hAnsi="Arial"/>
                <w:sz w:val="18"/>
                <w:szCs w:val="18"/>
                <w:color w:val="auto"/>
              </w:rPr>
              <w:t>$63.24</w:t>
            </w:r>
          </w:p>
        </w:tc>
        <w:tc>
          <w:tcPr>
            <w:tcW w:w="300" w:type="dxa"/>
            <w:vAlign w:val="bottom"/>
          </w:tcPr>
          <w:p>
            <w:pPr>
              <w:spacing w:after="0"/>
              <w:rPr>
                <w:sz w:val="19"/>
                <w:szCs w:val="19"/>
                <w:color w:val="auto"/>
              </w:rPr>
            </w:pPr>
          </w:p>
        </w:tc>
        <w:tc>
          <w:tcPr>
            <w:tcW w:w="2220" w:type="dxa"/>
            <w:vAlign w:val="bottom"/>
          </w:tcPr>
          <w:p>
            <w:pPr>
              <w:jc w:val="right"/>
              <w:ind w:right="151"/>
              <w:spacing w:after="0"/>
              <w:rPr>
                <w:sz w:val="20"/>
                <w:szCs w:val="20"/>
                <w:color w:val="auto"/>
              </w:rPr>
            </w:pPr>
            <w:r>
              <w:rPr>
                <w:rFonts w:ascii="Arial" w:cs="Arial" w:eastAsia="Arial" w:hAnsi="Arial"/>
                <w:sz w:val="18"/>
                <w:szCs w:val="18"/>
                <w:color w:val="auto"/>
              </w:rPr>
              <w:t>$74.12</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Gross Rents (7)</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3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6.27 %</w:t>
            </w: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Increase in Net Rents (8)</w:t>
            </w:r>
          </w:p>
        </w:tc>
        <w:tc>
          <w:tcPr>
            <w:tcW w:w="2200" w:type="dxa"/>
            <w:vAlign w:val="bottom"/>
          </w:tcPr>
          <w:p>
            <w:pPr>
              <w:jc w:val="right"/>
              <w:spacing w:after="0"/>
              <w:rPr>
                <w:sz w:val="20"/>
                <w:szCs w:val="20"/>
                <w:color w:val="auto"/>
              </w:rPr>
            </w:pPr>
            <w:r>
              <w:rPr>
                <w:rFonts w:ascii="Arial" w:cs="Arial" w:eastAsia="Arial" w:hAnsi="Arial"/>
                <w:sz w:val="18"/>
                <w:szCs w:val="18"/>
                <w:color w:val="auto"/>
              </w:rPr>
              <w:t>5.65 %</w:t>
            </w:r>
          </w:p>
        </w:tc>
        <w:tc>
          <w:tcPr>
            <w:tcW w:w="3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8.85 %</w:t>
            </w:r>
          </w:p>
        </w:tc>
      </w:tr>
    </w:tbl>
    <w:p>
      <w:pPr>
        <w:spacing w:after="0" w:line="5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w:t>
      </w:r>
    </w:p>
    <w:p>
      <w:pPr>
        <w:spacing w:after="0" w:line="35" w:lineRule="exact"/>
        <w:rPr>
          <w:sz w:val="20"/>
          <w:szCs w:val="20"/>
          <w:color w:val="auto"/>
        </w:rPr>
      </w:pPr>
    </w:p>
    <w:p>
      <w:pPr>
        <w:ind w:left="660" w:right="760" w:hanging="328"/>
        <w:spacing w:after="0" w:line="26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vacant square feet of properties taken out of service during the three months ended June 30, 2024 consists of 30,000 square feet at 17 Hartwell Avenue. Total vacant square feet of properties taken out of service during the six months ended June 30, 2024 consists 162,274 square feet at 1050 Winter Street, 71,420 square feet at 15825 Shady Grove Road and 30,000 square feet at 17 Hartwell Avenue.</w:t>
      </w:r>
    </w:p>
    <w:p>
      <w:pPr>
        <w:spacing w:after="0" w:line="247" w:lineRule="exact"/>
        <w:rPr>
          <w:rFonts w:ascii="Arial" w:cs="Arial" w:eastAsia="Arial" w:hAnsi="Arial"/>
          <w:sz w:val="16"/>
          <w:szCs w:val="16"/>
          <w:color w:val="auto"/>
        </w:rPr>
      </w:pPr>
    </w:p>
    <w:p>
      <w:pPr>
        <w:ind w:left="660" w:right="660" w:hanging="328"/>
        <w:spacing w:after="0" w:line="27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vacant square feet of properties placed in service during the three months ended June 30, 2024 consists of 117,907 square feet at 760 Boylston Street. Total vacant square feet of properties placed in service during the six months ended June 30, 2024 consists of 44,652 square feet at 651 Gateway and 117,907 square feet at 760 Boylston Street.</w:t>
      </w:r>
    </w:p>
    <w:p>
      <w:pPr>
        <w:spacing w:after="0" w:line="42" w:lineRule="exact"/>
        <w:rPr>
          <w:rFonts w:ascii="Arial" w:cs="Arial" w:eastAsia="Arial" w:hAnsi="Arial"/>
          <w:sz w:val="16"/>
          <w:szCs w:val="16"/>
          <w:color w:val="auto"/>
        </w:rPr>
      </w:pPr>
    </w:p>
    <w:p>
      <w:pPr>
        <w:ind w:left="660" w:right="720" w:hanging="328"/>
        <w:spacing w:after="0" w:line="286"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and six months ended June 30, 2024.</w:t>
      </w:r>
    </w:p>
    <w:p>
      <w:pPr>
        <w:spacing w:after="0" w:line="34" w:lineRule="exact"/>
        <w:rPr>
          <w:rFonts w:ascii="Arial" w:cs="Arial" w:eastAsia="Arial" w:hAnsi="Arial"/>
          <w:sz w:val="16"/>
          <w:szCs w:val="16"/>
          <w:color w:val="auto"/>
        </w:rPr>
      </w:pPr>
    </w:p>
    <w:p>
      <w:pPr>
        <w:ind w:left="660" w:right="760" w:hanging="328"/>
        <w:spacing w:after="0" w:line="26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leases executed during the three and six months ended June 30, 2024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during the three and six months ended June 30, 2024 are 121,600 and 476,167 square feet, respectively.</w:t>
      </w:r>
    </w:p>
    <w:p>
      <w:pPr>
        <w:spacing w:after="0" w:line="51" w:lineRule="exact"/>
        <w:rPr>
          <w:rFonts w:ascii="Arial" w:cs="Arial" w:eastAsia="Arial" w:hAnsi="Arial"/>
          <w:sz w:val="16"/>
          <w:szCs w:val="16"/>
          <w:color w:val="auto"/>
        </w:rPr>
      </w:pPr>
    </w:p>
    <w:p>
      <w:pPr>
        <w:ind w:left="660" w:right="880" w:hanging="328"/>
        <w:spacing w:after="0" w:line="27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we have previously leased. Of the 602,960 and 1,864,124 square feet of second generation leases that commenced during the three and six months ended June 30, 2024, respectively, leases for 489,691 and 1,396,288 square feet, respectively, were signed in prior periods.</w:t>
      </w:r>
    </w:p>
    <w:p>
      <w:pPr>
        <w:spacing w:after="0" w:line="42" w:lineRule="exact"/>
        <w:rPr>
          <w:rFonts w:ascii="Arial" w:cs="Arial" w:eastAsia="Arial" w:hAnsi="Arial"/>
          <w:sz w:val="16"/>
          <w:szCs w:val="16"/>
          <w:color w:val="auto"/>
        </w:rPr>
      </w:pPr>
    </w:p>
    <w:p>
      <w:pPr>
        <w:ind w:left="660" w:right="700" w:hanging="328"/>
        <w:spacing w:after="0" w:line="304"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spacing w:after="0" w:line="19" w:lineRule="exact"/>
        <w:rPr>
          <w:rFonts w:ascii="Arial" w:cs="Arial" w:eastAsia="Arial" w:hAnsi="Arial"/>
          <w:sz w:val="16"/>
          <w:szCs w:val="16"/>
          <w:color w:val="auto"/>
        </w:rPr>
      </w:pPr>
    </w:p>
    <w:p>
      <w:pPr>
        <w:ind w:left="660" w:right="1100" w:hanging="328"/>
        <w:spacing w:after="0" w:line="286"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increase (decrease) in gross rent (base rent plus expense reimbursements) on the new versus expired leases on the 373,884 and 1,427,275 square feet of second generation leases that had been occupied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right="860"/>
        <w:spacing w:after="0" w:line="286" w:lineRule="auto"/>
        <w:rPr>
          <w:sz w:val="20"/>
          <w:szCs w:val="20"/>
          <w:color w:val="auto"/>
        </w:rPr>
      </w:pPr>
      <w:r>
        <w:rPr>
          <w:rFonts w:ascii="Arial" w:cs="Arial" w:eastAsia="Arial" w:hAnsi="Arial"/>
          <w:sz w:val="16"/>
          <w:szCs w:val="16"/>
          <w:color w:val="auto"/>
        </w:rPr>
        <w:t>within the prior 12 months for the three and six months ended June 30, 2024, respectively; excludes leases that management considers temporary because the client is not expected to occupy the space on a long-term basis.</w:t>
      </w:r>
    </w:p>
    <w:p>
      <w:pPr>
        <w:spacing w:after="0" w:line="34" w:lineRule="exact"/>
        <w:rPr>
          <w:sz w:val="20"/>
          <w:szCs w:val="20"/>
          <w:color w:val="auto"/>
        </w:rPr>
      </w:pPr>
    </w:p>
    <w:p>
      <w:pPr>
        <w:ind w:left="660" w:right="680" w:hanging="328"/>
        <w:spacing w:after="0" w:line="275"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increase (decrease) in net rent (gross rent less operating expenses) on the new versus expired leases on the 373,884 and 1,427,275 square feet of second generation leases that had been occupied within the prior 12 months for the three and six months ended June 30, 2024, respectively.</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during the three months ended June 30, 2024 included the following:</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Pending disposition activity</w:t>
      </w:r>
    </w:p>
    <w:p>
      <w:pPr>
        <w:spacing w:after="0" w:line="102" w:lineRule="exact"/>
        <w:rPr>
          <w:sz w:val="20"/>
          <w:szCs w:val="20"/>
          <w:color w:val="auto"/>
        </w:rPr>
      </w:pPr>
    </w:p>
    <w:p>
      <w:pPr>
        <w:ind w:left="1060" w:right="140" w:hanging="323"/>
        <w:spacing w:after="0" w:line="255" w:lineRule="auto"/>
        <w:tabs>
          <w:tab w:leader="none" w:pos="10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7, 2024, we entered into an agreement with a third-party developer for the sale of a portion of our Shady Grove property, consisting of 2 Choke Cherry Road, 2094 Gaither Road and a land parcel, located in Rockville, Maryland for an aggregate gross sale price of approximately $24.8 million (See Note 3). On July 22, 2024, we executed an amendment to the agreement for an aggregate gross sale price of approximately $24.7 million. Thereafter, the third-party developer completed their due diligence and their deposit of approximately $2.5 million became non-refundable. 2 Choke Cherry Road and 2094 Gaither Road are two vacant office properties aggregating approximately 143,000 net rentable square feet that were taken out of service and held for redevelopment. The disposition is subject to satisfaction of customary closing conditions and there can be no assurance that this transaction will be consummated on the terms currently contemplated or at all.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Development activity</w:t>
      </w:r>
    </w:p>
    <w:p>
      <w:pPr>
        <w:spacing w:after="0" w:line="88" w:lineRule="exact"/>
        <w:rPr>
          <w:sz w:val="20"/>
          <w:szCs w:val="20"/>
          <w:color w:val="auto"/>
        </w:rPr>
      </w:pPr>
    </w:p>
    <w:p>
      <w:pPr>
        <w:ind w:left="1060" w:right="160" w:hanging="323"/>
        <w:spacing w:after="0" w:line="287" w:lineRule="auto"/>
        <w:tabs>
          <w:tab w:leader="none" w:pos="10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April 5, 2024, we completed and fully placed in-service 760 Boylston Street, an approximately 118,000 net rentable square foot retail redevelopment located in Boston, Massachusetts.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 activity</w:t>
      </w:r>
    </w:p>
    <w:p>
      <w:pPr>
        <w:spacing w:after="0" w:line="102" w:lineRule="exact"/>
        <w:rPr>
          <w:sz w:val="20"/>
          <w:szCs w:val="20"/>
          <w:color w:val="auto"/>
        </w:rPr>
      </w:pPr>
    </w:p>
    <w:p>
      <w:pPr>
        <w:ind w:left="1060" w:right="20" w:hanging="323"/>
        <w:spacing w:after="0" w:line="253" w:lineRule="auto"/>
        <w:tabs>
          <w:tab w:leader="none" w:pos="10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a ground lease for the land underlying our residential property, The Skylyne, in Oakland, California. The Skylyne is a residential property consisting of 402 residential units and supporting retail space totaling approximately 331,000 net rentable square feet. The ground lease has approximately 92-years remaining (including extension options) and provides us with the right to purchase the land subject to certain conditions. When the lease was executed in 2017, the purchase option was considered a bargain purchase option and, as a result, we classified it as a finance lease and we assumed the lessor would exercise its right to require us to purchase the land in May 2024 for approximately $38.7 million. In May 2024 and as of the date of this report, the lessor has not exercised this option and we reassessed the accounting for the ground lease and determined that the purchase option continues to be considered a bargain purchase option and the ground lease will continue to be accounted for as a finance lease. The lease requires monthly base rental payments of a nominal amount until the purchase occurs, which we now estimate will be in 2030. As a result of the reassessment, the lease liability was remeasured and reduced to approximately $0.1 million. In conjunction with the reduction in the lease liability, the right of use asset was reduced to $0 and the difference between the lease liability and right of use asset of approximately $9.5 million was recorded as a decrease to interest expense for the three and six months ended June 30, 2024. There can be no assurance that this transaction will be consummated on the terms currently contemplated or at all.</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Unconsolidated joint ventures activity</w:t>
      </w:r>
    </w:p>
    <w:p>
      <w:pPr>
        <w:spacing w:after="0" w:line="102" w:lineRule="exact"/>
        <w:rPr>
          <w:sz w:val="20"/>
          <w:szCs w:val="20"/>
          <w:color w:val="auto"/>
        </w:rPr>
      </w:pPr>
    </w:p>
    <w:p>
      <w:pPr>
        <w:ind w:left="1060" w:hanging="323"/>
        <w:spacing w:after="0" w:line="255" w:lineRule="auto"/>
        <w:tabs>
          <w:tab w:leader="none" w:pos="10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May 8, 2024, a joint venture in which we own a 25% interest extended by 30 days the maturity date of the loan collateralized by its 3 Hudson Boulevard property. At the time of the extension, the loan had an outstanding principal balance totaling $80.0 million and was scheduled to mature on May 9, 2024. On June 7, 2024, the loan was extended an additional 60 days. The extended loan continues to bear interest at a variable rate equal to Term SOFR plus approximately 3.61% per annum and is scheduled to mature on August 7, 2024. As of June 30, 2024, the loan had an outstanding balance, including accrued interest, of approximately $112.8 million. We are the lender of the loan and the loan is reflected as related party note receivables, net on our Consolidated Balance Sheets. 3 Hudson Boulevard consists of land and improvements held for future development located in New York, New York.</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Debt activities</w:t>
      </w:r>
    </w:p>
    <w:p>
      <w:pPr>
        <w:spacing w:after="0" w:line="102" w:lineRule="exact"/>
        <w:rPr>
          <w:sz w:val="20"/>
          <w:szCs w:val="20"/>
          <w:color w:val="auto"/>
        </w:rPr>
      </w:pPr>
    </w:p>
    <w:p>
      <w:pPr>
        <w:ind w:left="1060" w:hanging="323"/>
        <w:spacing w:after="0" w:line="255" w:lineRule="auto"/>
        <w:tabs>
          <w:tab w:leader="none" w:pos="10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$500.0 million with varying maturities of up to one year. Amounts available under the unsecured commercial paper program may be borrowed, repaid, and re-borrowed from time to time. The notes are sold in private placements and rank pari passu with all of BPLP’s other unsecured senior indebtedness, including its outstanding senior notes. The commercial paper program is backstopped by available capacity under BPLP's unsecured revolving credit facility (the “2021 Credit Facility”). As of June 30, 2024, BPLP had an aggregate of $500.0 million of unsecured commercial paper notes outstanding that bore interest at a weighted-average rate of approximately 5.60% per annum and had a weighted-average maturity of 49 days, from the issuance date.</w:t>
      </w:r>
    </w:p>
    <w:p>
      <w:pPr>
        <w:spacing w:after="0" w:line="126" w:lineRule="exact"/>
        <w:rPr>
          <w:rFonts w:ascii="Arial" w:cs="Arial" w:eastAsia="Arial" w:hAnsi="Arial"/>
          <w:sz w:val="18"/>
          <w:szCs w:val="18"/>
          <w:color w:val="auto"/>
        </w:rPr>
      </w:pPr>
    </w:p>
    <w:p>
      <w:pPr>
        <w:ind w:left="1060" w:right="140" w:hanging="323"/>
        <w:spacing w:after="0" w:line="262" w:lineRule="auto"/>
        <w:tabs>
          <w:tab w:leader="none" w:pos="10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April 29, 2024, BPLP repaid $500.0 million of the outstanding balance of its $1.2 billion unsecured term loan facility (the “2023 Unsecured Term Loan”) from the proceeds of its unsecured commercial paper program. On May 16, 2024, BPLP exercised its option to extend the maturity date of the 2023 Unsecured Term Loan to May 16, 2025. All other terms of the 2023 Unsecured Term Loan remain unchanged.</w:t>
      </w:r>
    </w:p>
    <w:p>
      <w:pPr>
        <w:spacing w:after="0" w:line="122" w:lineRule="exact"/>
        <w:rPr>
          <w:rFonts w:ascii="Arial" w:cs="Arial" w:eastAsia="Arial" w:hAnsi="Arial"/>
          <w:sz w:val="18"/>
          <w:szCs w:val="18"/>
          <w:color w:val="auto"/>
        </w:rPr>
      </w:pPr>
    </w:p>
    <w:p>
      <w:pPr>
        <w:ind w:left="1060" w:right="260" w:hanging="323"/>
        <w:spacing w:after="0" w:line="287" w:lineRule="auto"/>
        <w:tabs>
          <w:tab w:leader="none" w:pos="10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April 29, 2024, BPLP increased the maximum borrowing amount under the 2021 Credit Facility from $1.815 billion to $2.0 billion. All other terms of the 2021 Credit Facility, including its maturity date of June 15, 2026, remain unchanged.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completed subsequent to June 30, 2024 included the following:</w:t>
      </w:r>
    </w:p>
    <w:p>
      <w:pPr>
        <w:spacing w:after="0" w:line="104" w:lineRule="exact"/>
        <w:rPr>
          <w:sz w:val="20"/>
          <w:szCs w:val="20"/>
          <w:color w:val="auto"/>
        </w:rPr>
      </w:pPr>
    </w:p>
    <w:p>
      <w:pPr>
        <w:ind w:left="1060" w:right="380" w:hanging="323"/>
        <w:spacing w:after="0" w:line="262" w:lineRule="auto"/>
        <w:tabs>
          <w:tab w:leader="none" w:pos="10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July 12, 2024, a joint venture in which we have a 20% ownership interest partially placed in-service Skymark, a luxury residential property located in Reston, Virginia, that consists of 508 residential units aggregating approximately 417,000 net rentable square feet across a five-story low-rise building and an iconic 39-story tower, which is one of the tallest buildings in Northern Virginia.</w:t>
      </w:r>
    </w:p>
    <w:p>
      <w:pPr>
        <w:spacing w:after="0" w:line="122" w:lineRule="exact"/>
        <w:rPr>
          <w:rFonts w:ascii="Arial" w:cs="Arial" w:eastAsia="Arial" w:hAnsi="Arial"/>
          <w:sz w:val="18"/>
          <w:szCs w:val="18"/>
          <w:color w:val="auto"/>
        </w:rPr>
      </w:pPr>
    </w:p>
    <w:p>
      <w:pPr>
        <w:ind w:left="1060" w:right="40" w:hanging="323"/>
        <w:spacing w:after="0" w:line="272" w:lineRule="auto"/>
        <w:tabs>
          <w:tab w:leader="none" w:pos="10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July 18, 2024, a joint venture in which we have a 50% ownership interest extended by one year the maturity date of its loan collateralized by 100 Causeway Street. At the time of the extension, the loan had an outstanding balance totaling approximately $333.6 million, bore interest at Term SOFR plus 1.48% per annum, and was scheduled to mature on September 5, 2024.</w:t>
      </w:r>
    </w:p>
    <w:p>
      <w:pPr>
        <w:spacing w:after="0" w:line="1" w:lineRule="exact"/>
        <w:rPr>
          <w:rFonts w:ascii="Arial" w:cs="Arial" w:eastAsia="Arial" w:hAnsi="Arial"/>
          <w:sz w:val="17"/>
          <w:szCs w:val="17"/>
          <w:color w:val="auto"/>
        </w:rPr>
      </w:pPr>
    </w:p>
    <w:p>
      <w:pPr>
        <w:ind w:left="1060" w:right="200"/>
        <w:spacing w:after="0" w:line="258" w:lineRule="auto"/>
        <w:rPr>
          <w:rFonts w:ascii="Arial" w:cs="Arial" w:eastAsia="Arial" w:hAnsi="Arial"/>
          <w:sz w:val="17"/>
          <w:szCs w:val="17"/>
          <w:color w:val="auto"/>
        </w:rPr>
      </w:pPr>
      <w:r>
        <w:rPr>
          <w:rFonts w:ascii="Arial" w:cs="Arial" w:eastAsia="Arial" w:hAnsi="Arial"/>
          <w:sz w:val="18"/>
          <w:szCs w:val="18"/>
          <w:color w:val="auto"/>
        </w:rPr>
        <w:t>Following the extension, the loan will continue to bear interest at Term SOFR plus 1.48% per annum, and is scheduled to mature on September 5, 2025. 100 Causeway Street is an approximately 634,000 net rentable square foot premier workplace located in Boston, Massachusetts.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0"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Report on Form 10-K for the year ended December 31, 2023 contains a discussion of our critical accounting estimates.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critical accounting estimates since the year ended December 31,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2024 and 2023</w:t>
      </w:r>
    </w:p>
    <w:p>
      <w:pPr>
        <w:spacing w:after="0" w:line="171" w:lineRule="exact"/>
        <w:rPr>
          <w:sz w:val="20"/>
          <w:szCs w:val="20"/>
          <w:color w:val="auto"/>
        </w:rPr>
      </w:pPr>
    </w:p>
    <w:p>
      <w:pPr>
        <w:ind w:right="160" w:firstLine="445"/>
        <w:spacing w:after="0" w:line="262" w:lineRule="auto"/>
        <w:rPr>
          <w:sz w:val="20"/>
          <w:szCs w:val="20"/>
          <w:color w:val="auto"/>
        </w:rPr>
      </w:pPr>
      <w:r>
        <w:rPr>
          <w:rFonts w:ascii="Arial" w:cs="Arial" w:eastAsia="Arial" w:hAnsi="Arial"/>
          <w:sz w:val="18"/>
          <w:szCs w:val="18"/>
          <w:color w:val="auto"/>
        </w:rPr>
        <w:t>Net income attributable to BXP, Inc. and net income attributable to Boston Properties Limited Partnership decreased by approximately $22.7 million and $25.0 million, respectively, for the six months ended June 30, 2024 compared to 2023, as set forth in the following tables and for the reasons discussed below under the heading “</w:t>
      </w:r>
      <w:r>
        <w:rPr>
          <w:rFonts w:ascii="Arial" w:cs="Arial" w:eastAsia="Arial" w:hAnsi="Arial"/>
          <w:sz w:val="18"/>
          <w:szCs w:val="18"/>
          <w:i w:val="1"/>
          <w:iCs w:val="1"/>
          <w:color w:val="auto"/>
        </w:rPr>
        <w:t>Comparison of the six months ended June 30, 2024 to the six months ended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June 30, 2023” </w:t>
      </w:r>
      <w:r>
        <w:rPr>
          <w:rFonts w:ascii="Arial" w:cs="Arial" w:eastAsia="Arial" w:hAnsi="Arial"/>
          <w:sz w:val="18"/>
          <w:szCs w:val="18"/>
          <w:color w:val="auto"/>
        </w:rPr>
        <w:t>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The following are reconciliations of Net Income Attributable to BXP, Inc. to Net Operating Income and Net Income Attributable to Boston Properties Limited Partnership to Net Operating Income for the six months ended June 30, 2024 and 2023. For a detailed discussion of Net Operating Income (“NOI”), including the reasons management believes NOI is useful to investors, see page 58</w:t>
      </w:r>
      <w:r>
        <w:rPr>
          <w:rFonts w:ascii="Arial" w:cs="Arial" w:eastAsia="Arial" w:hAnsi="Arial"/>
          <w:sz w:val="14"/>
          <w:szCs w:val="14"/>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Six months ended June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Increase/</w:t>
            </w:r>
          </w:p>
        </w:tc>
        <w:tc>
          <w:tcPr>
            <w:tcW w:w="1200" w:type="dxa"/>
            <w:vAlign w:val="bottom"/>
          </w:tcPr>
          <w:p>
            <w:pPr>
              <w:jc w:val="right"/>
              <w:ind w:right="43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(Decrease)</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9"/>
              </w:rPr>
              <w:t>(in thousands)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BXP, Inc.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5"/>
        </w:trPr>
        <w:tc>
          <w:tcPr>
            <w:tcW w:w="6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276,680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34,853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12.60 %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18.54 %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from investments in 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194.03 %</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438,258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411,311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6.55 %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15"/>
        </w:trPr>
        <w:tc>
          <w:tcPr>
            <w:tcW w:w="604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40" w:type="dxa"/>
            <w:vAlign w:val="bottom"/>
          </w:tcPr>
          <w:p>
            <w:pPr>
              <w:ind w:left="340"/>
              <w:spacing w:after="0" w:line="162" w:lineRule="exact"/>
              <w:rPr>
                <w:sz w:val="20"/>
                <w:szCs w:val="20"/>
                <w:color w:val="auto"/>
              </w:rPr>
            </w:pPr>
            <w:r>
              <w:rPr>
                <w:rFonts w:ascii="Arial" w:cs="Arial" w:eastAsia="Arial" w:hAnsi="Arial"/>
                <w:sz w:val="16"/>
                <w:szCs w:val="16"/>
                <w:color w:val="auto"/>
              </w:rPr>
              <w:t>Direct reimbursements of payroll and related costs from management</w:t>
            </w: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8,441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9,844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15"/>
        </w:trPr>
        <w:tc>
          <w:tcPr>
            <w:tcW w:w="6040" w:type="dxa"/>
            <w:vAlign w:val="bottom"/>
          </w:tcPr>
          <w:p>
            <w:pPr>
              <w:ind w:left="500"/>
              <w:spacing w:after="0"/>
              <w:rPr>
                <w:sz w:val="20"/>
                <w:szCs w:val="20"/>
                <w:color w:val="auto"/>
              </w:rPr>
            </w:pPr>
            <w:r>
              <w:rPr>
                <w:rFonts w:ascii="Arial" w:cs="Arial" w:eastAsia="Arial" w:hAnsi="Arial"/>
                <w:sz w:val="16"/>
                <w:szCs w:val="16"/>
                <w:color w:val="auto"/>
              </w:rPr>
              <w:t>services contracts</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1,017,537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994,495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Six months ended June 30,</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45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216,953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245,356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(28,403)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Add: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34,853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12.60 %</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Impairment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13,615</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Less: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18.54 %</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Income (loss) from unconsolidated joint ventures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27,624</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194.03 %</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Add: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6.64 %</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15"/>
        </w:trPr>
        <w:tc>
          <w:tcPr>
            <w:tcW w:w="6040" w:type="dxa"/>
            <w:vAlign w:val="bottom"/>
          </w:tcPr>
          <w:p>
            <w:pPr>
              <w:ind w:left="360"/>
              <w:spacing w:after="0"/>
              <w:rPr>
                <w:sz w:val="20"/>
                <w:szCs w:val="20"/>
                <w:color w:val="auto"/>
              </w:rPr>
            </w:pPr>
            <w:r>
              <w:rPr>
                <w:rFonts w:ascii="Arial" w:cs="Arial" w:eastAsia="Arial" w:hAnsi="Arial"/>
                <w:sz w:val="16"/>
                <w:szCs w:val="16"/>
                <w:color w:val="auto"/>
              </w:rPr>
              <w:t>General and administrative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94,127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Pr>
          <w:p>
            <w:pPr>
              <w:ind w:left="20"/>
              <w:spacing w:after="0"/>
              <w:rPr>
                <w:sz w:val="20"/>
                <w:szCs w:val="20"/>
                <w:color w:val="auto"/>
              </w:rPr>
            </w:pPr>
            <w:r>
              <w:rPr>
                <w:rFonts w:ascii="Arial" w:cs="Arial" w:eastAsia="Arial" w:hAnsi="Arial"/>
                <w:sz w:val="16"/>
                <w:szCs w:val="16"/>
                <w:color w:val="auto"/>
              </w:rPr>
              <w:t>Less: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04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Direct reimbursements of payroll and related costs from management</w:t>
            </w: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services contracts</w:t>
            </w:r>
          </w:p>
        </w:tc>
        <w:tc>
          <w:tcPr>
            <w:tcW w:w="2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(6,332)</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35"/>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1,017,537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994,495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2.32 %</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At June 30, 2024 and 2023, we owned or had joint venture interests in a portfolio of 186 and 191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six months ended June 30, 2024 and 2023 show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spacing w:after="0" w:line="129"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our analysis of operating results, particularly to make comparisons of NOI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NOI is a non-GAAP financial measure equal to net income attributable to BXP, Inc. and net income attributable to Boston Properties Limited Partnership, as applicable, the most directly comparable GAAP financial measures, plus (1) net income attributable to noncontrolling interests, interest expense, impairment loss, depreciation and amortization expense, transaction costs, payroll and related costs from management services contracts and corporate general and administrative expense less (2) unrealized gain on non-real estate investment, gains from investments in securities, interest and other income (loss),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2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BXP, Inc. and net income attributable to Boston Properties Limited Partnership as presented in our Consolidated Financial Statements. NOI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2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when those properties are sold. For additional information see the Explanatory Note that immediately follows the cover page of this Quarterly Report on Form 10-Q.</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six months ended June 30, 2024 to the six months ended June 30, 2023</w:t>
      </w:r>
    </w:p>
    <w:p>
      <w:pPr>
        <w:spacing w:after="0" w:line="8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129 properties totaling approximately 40.7 million net rentable square feet, excluding unconsolidated joint ventures. The Same Property Portfolio includes properties acquired or placed in-service on or prior to January 1, 2023 and owned and in service through June 30, 2024. The Total Property Portfolio includes the effects of the other properties either acquired, placed in-service, in or held for development or redevelopment after January 1, 2023 or disposed of on or prior to June 30, 2024. This table includes a reconciliation from the Same Property Portfolio to the Total Property Portfolio by also providing information for the six months ended June 30, 2024 and 2023 with respect to the properties that were acquired, placed in -service, in or held for development or redevelopment or sold. We did not sell any properties during the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7"/>
              </w:rPr>
              <w:t>Properties in or</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vMerge w:val="restart"/>
          </w:tcPr>
          <w:p>
            <w:pPr>
              <w:jc w:val="center"/>
              <w:ind w:left="137"/>
              <w:spacing w:after="0"/>
              <w:rPr>
                <w:sz w:val="20"/>
                <w:szCs w:val="20"/>
                <w:color w:val="auto"/>
              </w:rPr>
            </w:pPr>
            <w:r>
              <w:rPr>
                <w:rFonts w:ascii="Arial" w:cs="Arial" w:eastAsia="Arial" w:hAnsi="Arial"/>
                <w:sz w:val="13"/>
                <w:szCs w:val="13"/>
                <w:b w:val="1"/>
                <w:bCs w:val="1"/>
                <w:color w:val="auto"/>
                <w:w w:val="96"/>
              </w:rPr>
              <w:t>Properties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6"/>
            <w:vMerge w:val="restart"/>
          </w:tcPr>
          <w:p>
            <w:pPr>
              <w:jc w:val="center"/>
              <w:ind w:right="100"/>
              <w:spacing w:after="0"/>
              <w:rPr>
                <w:sz w:val="20"/>
                <w:szCs w:val="20"/>
                <w:color w:val="auto"/>
              </w:rPr>
            </w:pPr>
            <w:r>
              <w:rPr>
                <w:rFonts w:ascii="Arial" w:cs="Arial" w:eastAsia="Arial" w:hAnsi="Arial"/>
                <w:sz w:val="13"/>
                <w:szCs w:val="13"/>
                <w:b w:val="1"/>
                <w:bCs w:val="1"/>
                <w:color w:val="auto"/>
                <w:w w:val="96"/>
              </w:rPr>
              <w:t>Properties</w:t>
            </w:r>
          </w:p>
        </w:tc>
        <w:tc>
          <w:tcPr>
            <w:tcW w:w="80" w:type="dxa"/>
            <w:vAlign w:val="bottom"/>
          </w:tcPr>
          <w:p>
            <w:pPr>
              <w:spacing w:after="0"/>
              <w:rPr>
                <w:sz w:val="11"/>
                <w:szCs w:val="11"/>
                <w:color w:val="auto"/>
              </w:rPr>
            </w:pPr>
          </w:p>
        </w:tc>
        <w:tc>
          <w:tcPr>
            <w:tcW w:w="1160" w:type="dxa"/>
            <w:vAlign w:val="bottom"/>
            <w:gridSpan w:val="5"/>
          </w:tcPr>
          <w:p>
            <w:pPr>
              <w:jc w:val="center"/>
              <w:ind w:right="200"/>
              <w:spacing w:after="0" w:line="131" w:lineRule="exact"/>
              <w:rPr>
                <w:sz w:val="20"/>
                <w:szCs w:val="20"/>
                <w:color w:val="auto"/>
              </w:rPr>
            </w:pPr>
            <w:r>
              <w:rPr>
                <w:rFonts w:ascii="Arial" w:cs="Arial" w:eastAsia="Arial" w:hAnsi="Arial"/>
                <w:sz w:val="13"/>
                <w:szCs w:val="13"/>
                <w:b w:val="1"/>
                <w:bCs w:val="1"/>
                <w:color w:val="auto"/>
                <w:w w:val="97"/>
              </w:rPr>
              <w:t>Held for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5"/>
          </w:tcPr>
          <w:p>
            <w:pPr>
              <w:jc w:val="center"/>
              <w:ind w:right="180"/>
              <w:spacing w:after="0" w:line="126" w:lineRule="exact"/>
              <w:rPr>
                <w:sz w:val="20"/>
                <w:szCs w:val="20"/>
                <w:color w:val="auto"/>
              </w:rPr>
            </w:pPr>
            <w:r>
              <w:rPr>
                <w:rFonts w:ascii="Arial" w:cs="Arial" w:eastAsia="Arial" w:hAnsi="Arial"/>
                <w:sz w:val="13"/>
                <w:szCs w:val="13"/>
                <w:b w:val="1"/>
                <w:bCs w:val="1"/>
                <w:color w:val="auto"/>
                <w:w w:val="95"/>
              </w:rPr>
              <w:t>Development or</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Same Property Portfolio</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left="137"/>
              <w:spacing w:after="0" w:line="122" w:lineRule="exact"/>
              <w:rPr>
                <w:sz w:val="20"/>
                <w:szCs w:val="20"/>
                <w:color w:val="auto"/>
              </w:rPr>
            </w:pPr>
            <w:r>
              <w:rPr>
                <w:rFonts w:ascii="Arial" w:cs="Arial" w:eastAsia="Arial" w:hAnsi="Arial"/>
                <w:sz w:val="13"/>
                <w:szCs w:val="13"/>
                <w:b w:val="1"/>
                <w:bCs w:val="1"/>
                <w:color w:val="auto"/>
                <w:w w:val="95"/>
              </w:rPr>
              <w:t>Acquired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6"/>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Placed In-Service</w:t>
            </w:r>
          </w:p>
        </w:tc>
        <w:tc>
          <w:tcPr>
            <w:tcW w:w="80" w:type="dxa"/>
            <w:vAlign w:val="bottom"/>
          </w:tcPr>
          <w:p>
            <w:pPr>
              <w:spacing w:after="0"/>
              <w:rPr>
                <w:sz w:val="10"/>
                <w:szCs w:val="10"/>
                <w:color w:val="auto"/>
              </w:rPr>
            </w:pPr>
          </w:p>
        </w:tc>
        <w:tc>
          <w:tcPr>
            <w:tcW w:w="1160" w:type="dxa"/>
            <w:vAlign w:val="bottom"/>
            <w:gridSpan w:val="5"/>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Redevelopment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6"/>
            <w:vMerge w:val="restart"/>
          </w:tcPr>
          <w:p>
            <w:pPr>
              <w:jc w:val="right"/>
              <w:ind w:right="160"/>
              <w:spacing w:after="0"/>
              <w:rPr>
                <w:sz w:val="20"/>
                <w:szCs w:val="20"/>
                <w:color w:val="auto"/>
              </w:rPr>
            </w:pPr>
            <w:r>
              <w:rPr>
                <w:rFonts w:ascii="Arial" w:cs="Arial" w:eastAsia="Arial" w:hAnsi="Arial"/>
                <w:sz w:val="13"/>
                <w:szCs w:val="13"/>
                <w:b w:val="1"/>
                <w:bCs w:val="1"/>
                <w:color w:val="auto"/>
                <w:w w:val="97"/>
              </w:rPr>
              <w:t>Total Property Portfolio</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6"/>
            <w:vMerge w:val="continue"/>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left="157"/>
              <w:spacing w:after="0"/>
              <w:rPr>
                <w:sz w:val="20"/>
                <w:szCs w:val="20"/>
                <w:color w:val="auto"/>
              </w:rPr>
            </w:pPr>
            <w:r>
              <w:rPr>
                <w:rFonts w:ascii="Arial" w:cs="Arial" w:eastAsia="Arial" w:hAnsi="Arial"/>
                <w:sz w:val="13"/>
                <w:szCs w:val="13"/>
                <w:b w:val="1"/>
                <w:bCs w:val="1"/>
                <w:color w:val="auto"/>
                <w:w w:val="97"/>
              </w:rPr>
              <w:t>Portfolio</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7"/>
              </w:rPr>
              <w:t>Portfolio</w:t>
            </w:r>
          </w:p>
        </w:tc>
        <w:tc>
          <w:tcPr>
            <w:tcW w:w="80" w:type="dxa"/>
            <w:vAlign w:val="bottom"/>
          </w:tcPr>
          <w:p>
            <w:pPr>
              <w:spacing w:after="0"/>
              <w:rPr>
                <w:sz w:val="16"/>
                <w:szCs w:val="16"/>
                <w:color w:val="auto"/>
              </w:rPr>
            </w:pPr>
          </w:p>
        </w:tc>
        <w:tc>
          <w:tcPr>
            <w:tcW w:w="11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Portfolio</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6"/>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70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0"/>
                <w:szCs w:val="10"/>
                <w:color w:val="auto"/>
              </w:rPr>
            </w:pPr>
          </w:p>
        </w:tc>
        <w:tc>
          <w:tcPr>
            <w:tcW w:w="7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Increase/</w:t>
            </w:r>
          </w:p>
        </w:tc>
        <w:tc>
          <w:tcPr>
            <w:tcW w:w="70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1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(Decrease)</w:t>
            </w: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(Decrease)</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3"/>
                <w:szCs w:val="13"/>
                <w:b w:val="1"/>
                <w:bCs w:val="1"/>
                <w:color w:val="auto"/>
                <w:w w:val="95"/>
              </w:rPr>
              <w:t>(dollars in thousands)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shd w:val="clear" w:color="auto" w:fill="CCEEFF"/>
          </w:tcPr>
          <w:p>
            <w:pPr>
              <w:ind w:left="20"/>
              <w:spacing w:after="0" w:line="123" w:lineRule="exact"/>
              <w:rPr>
                <w:sz w:val="20"/>
                <w:szCs w:val="20"/>
                <w:color w:val="auto"/>
              </w:rPr>
            </w:pPr>
            <w:r>
              <w:rPr>
                <w:rFonts w:ascii="Arial" w:cs="Arial" w:eastAsia="Arial" w:hAnsi="Arial"/>
                <w:sz w:val="13"/>
                <w:szCs w:val="13"/>
                <w:color w:val="auto"/>
              </w:rPr>
              <w:t>Rental Revenue:</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60" w:type="dxa"/>
            <w:vAlign w:val="bottom"/>
          </w:tcPr>
          <w:p>
            <w:pPr>
              <w:ind w:left="180"/>
              <w:spacing w:after="0" w:line="122" w:lineRule="exact"/>
              <w:rPr>
                <w:sz w:val="20"/>
                <w:szCs w:val="20"/>
                <w:color w:val="auto"/>
              </w:rPr>
            </w:pPr>
            <w:r>
              <w:rPr>
                <w:rFonts w:ascii="Arial" w:cs="Arial" w:eastAsia="Arial" w:hAnsi="Arial"/>
                <w:sz w:val="13"/>
                <w:szCs w:val="13"/>
                <w:color w:val="auto"/>
              </w:rPr>
              <w:t>Lease Revenue</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60" w:type="dxa"/>
            <w:vAlign w:val="bottom"/>
          </w:tcPr>
          <w:p>
            <w:pPr>
              <w:ind w:left="360"/>
              <w:spacing w:after="0" w:line="131" w:lineRule="exact"/>
              <w:rPr>
                <w:sz w:val="20"/>
                <w:szCs w:val="20"/>
                <w:color w:val="auto"/>
              </w:rPr>
            </w:pPr>
            <w:r>
              <w:rPr>
                <w:rFonts w:ascii="Arial" w:cs="Arial" w:eastAsia="Arial" w:hAnsi="Arial"/>
                <w:sz w:val="13"/>
                <w:szCs w:val="13"/>
                <w:color w:val="auto"/>
              </w:rPr>
              <w:t>(Excluding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60" w:type="dxa"/>
            <w:vAlign w:val="bottom"/>
          </w:tcPr>
          <w:p>
            <w:pPr>
              <w:ind w:left="360"/>
              <w:spacing w:after="0" w:line="126" w:lineRule="exact"/>
              <w:rPr>
                <w:sz w:val="20"/>
                <w:szCs w:val="20"/>
                <w:color w:val="auto"/>
              </w:rPr>
            </w:pPr>
            <w:r>
              <w:rPr>
                <w:rFonts w:ascii="Arial" w:cs="Arial" w:eastAsia="Arial" w:hAnsi="Arial"/>
                <w:sz w:val="13"/>
                <w:szCs w:val="13"/>
                <w:color w:val="auto"/>
              </w:rPr>
              <w:t>Termination</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1,471,480</w:t>
            </w:r>
          </w:p>
        </w:tc>
        <w:tc>
          <w:tcPr>
            <w:tcW w:w="8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1,483,533</w:t>
            </w: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(12,053)</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(0.81)%</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8"/>
              </w:rPr>
              <w:t>$ 50,501</w:t>
            </w:r>
          </w:p>
        </w:tc>
        <w:tc>
          <w:tcPr>
            <w:tcW w:w="80" w:type="dxa"/>
            <w:vAlign w:val="bottom"/>
          </w:tcPr>
          <w:p>
            <w:pPr>
              <w:spacing w:after="0"/>
              <w:rPr>
                <w:sz w:val="10"/>
                <w:szCs w:val="10"/>
                <w:color w:val="auto"/>
              </w:rPr>
            </w:pP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3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w w:val="9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4"/>
              </w:rPr>
              <w:t>$ 29,199</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ind w:right="17"/>
              <w:spacing w:after="0"/>
              <w:rPr>
                <w:sz w:val="20"/>
                <w:szCs w:val="20"/>
                <w:color w:val="auto"/>
              </w:rPr>
            </w:pPr>
            <w:r>
              <w:rPr>
                <w:rFonts w:ascii="Arial" w:cs="Arial" w:eastAsia="Arial" w:hAnsi="Arial"/>
                <w:sz w:val="13"/>
                <w:szCs w:val="13"/>
                <w:color w:val="auto"/>
                <w:w w:val="95"/>
              </w:rPr>
              <w:t>10,043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1,288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w w:val="96"/>
              </w:rPr>
              <w:t>$ 1,552,468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6"/>
              </w:rPr>
              <w:t>1,495,927</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56,541</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3.78 %</w:t>
            </w:r>
          </w:p>
        </w:tc>
        <w:tc>
          <w:tcPr>
            <w:tcW w:w="0" w:type="dxa"/>
            <w:vAlign w:val="bottom"/>
          </w:tcPr>
          <w:p>
            <w:pPr>
              <w:spacing w:after="0"/>
              <w:rPr>
                <w:sz w:val="1"/>
                <w:szCs w:val="1"/>
                <w:color w:val="auto"/>
              </w:rPr>
            </w:pPr>
          </w:p>
        </w:tc>
      </w:tr>
      <w:tr>
        <w:trPr>
          <w:trHeight w:val="171"/>
        </w:trPr>
        <w:tc>
          <w:tcPr>
            <w:tcW w:w="1160" w:type="dxa"/>
            <w:vAlign w:val="bottom"/>
          </w:tcPr>
          <w:p>
            <w:pPr>
              <w:ind w:left="360"/>
              <w:spacing w:after="0"/>
              <w:rPr>
                <w:sz w:val="20"/>
                <w:szCs w:val="20"/>
                <w:color w:val="auto"/>
              </w:rPr>
            </w:pPr>
            <w:r>
              <w:rPr>
                <w:rFonts w:ascii="Arial" w:cs="Arial" w:eastAsia="Arial" w:hAnsi="Arial"/>
                <w:sz w:val="13"/>
                <w:szCs w:val="13"/>
                <w:color w:val="auto"/>
              </w:rPr>
              <w:t>Income)</w:t>
            </w: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rPr>
              <w:t>Termination</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Income</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2,619</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8,184.38 %</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8,775.00 %</w:t>
            </w:r>
          </w:p>
        </w:tc>
        <w:tc>
          <w:tcPr>
            <w:tcW w:w="0" w:type="dxa"/>
            <w:vAlign w:val="bottom"/>
          </w:tcPr>
          <w:p>
            <w:pPr>
              <w:spacing w:after="0"/>
              <w:rPr>
                <w:sz w:val="1"/>
                <w:szCs w:val="1"/>
                <w:color w:val="auto"/>
              </w:rPr>
            </w:pPr>
          </w:p>
        </w:tc>
      </w:tr>
      <w:tr>
        <w:trPr>
          <w:trHeight w:val="164"/>
        </w:trPr>
        <w:tc>
          <w:tcPr>
            <w:tcW w:w="1160" w:type="dxa"/>
            <w:vAlign w:val="bottom"/>
          </w:tcPr>
          <w:p>
            <w:pPr>
              <w:ind w:left="180"/>
              <w:spacing w:after="0"/>
              <w:rPr>
                <w:sz w:val="20"/>
                <w:szCs w:val="20"/>
                <w:color w:val="auto"/>
              </w:rPr>
            </w:pPr>
            <w:r>
              <w:rPr>
                <w:rFonts w:ascii="Arial" w:cs="Arial" w:eastAsia="Arial" w:hAnsi="Arial"/>
                <w:sz w:val="13"/>
                <w:szCs w:val="13"/>
                <w:color w:val="auto"/>
              </w:rPr>
              <w:t>Lease Revenue</w:t>
            </w: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1,474,131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1,483,565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(9,434)</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(0.64)%</w:t>
            </w:r>
          </w:p>
        </w:tc>
        <w:tc>
          <w:tcPr>
            <w:tcW w:w="8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50,690</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29,199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5"/>
              </w:rPr>
              <w:t>10,043</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1,555,308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1,495,959</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59,349</w:t>
            </w:r>
          </w:p>
        </w:tc>
        <w:tc>
          <w:tcPr>
            <w:tcW w:w="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3.97 %</w:t>
            </w: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rPr>
              <w:t>Parking and</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11,247</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22.89 %</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538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49,663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16,095</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32.41 %</w:t>
            </w:r>
          </w:p>
        </w:tc>
        <w:tc>
          <w:tcPr>
            <w:tcW w:w="0" w:type="dxa"/>
            <w:vAlign w:val="bottom"/>
          </w:tcPr>
          <w:p>
            <w:pPr>
              <w:spacing w:after="0"/>
              <w:rPr>
                <w:sz w:val="1"/>
                <w:szCs w:val="1"/>
                <w:color w:val="auto"/>
              </w:rPr>
            </w:pPr>
          </w:p>
        </w:tc>
      </w:tr>
      <w:tr>
        <w:trPr>
          <w:trHeight w:val="102"/>
        </w:trPr>
        <w:tc>
          <w:tcPr>
            <w:tcW w:w="1160" w:type="dxa"/>
            <w:vAlign w:val="bottom"/>
          </w:tcPr>
          <w:p>
            <w:pPr>
              <w:ind w:left="20"/>
              <w:spacing w:after="0" w:line="102" w:lineRule="exact"/>
              <w:rPr>
                <w:sz w:val="20"/>
                <w:szCs w:val="20"/>
                <w:color w:val="auto"/>
              </w:rPr>
            </w:pPr>
            <w:r>
              <w:rPr>
                <w:rFonts w:ascii="Arial" w:cs="Arial" w:eastAsia="Arial" w:hAnsi="Arial"/>
                <w:sz w:val="10"/>
                <w:szCs w:val="10"/>
                <w:color w:val="auto"/>
              </w:rPr>
              <w:t>Total Rental</w:t>
            </w: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rPr>
                <w:sz w:val="20"/>
                <w:szCs w:val="20"/>
                <w:color w:val="auto"/>
              </w:rPr>
            </w:pPr>
            <w:r>
              <w:rPr>
                <w:rFonts w:ascii="Arial" w:cs="Arial" w:eastAsia="Arial" w:hAnsi="Arial"/>
                <w:sz w:val="13"/>
                <w:szCs w:val="13"/>
                <w:color w:val="auto"/>
              </w:rPr>
              <w:t>Revenue (1)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1,534,506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1,532,693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1,813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0.12 %</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55,105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30,137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w w:val="95"/>
              </w:rPr>
              <w:t>10,581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2,348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1,621,066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1,545,622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75,444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4.88 %</w:t>
            </w:r>
          </w:p>
        </w:tc>
        <w:tc>
          <w:tcPr>
            <w:tcW w:w="0" w:type="dxa"/>
            <w:vAlign w:val="bottom"/>
          </w:tcPr>
          <w:p>
            <w:pPr>
              <w:spacing w:after="0"/>
              <w:rPr>
                <w:sz w:val="1"/>
                <w:szCs w:val="1"/>
                <w:color w:val="auto"/>
              </w:rPr>
            </w:pPr>
          </w:p>
        </w:tc>
      </w:tr>
      <w:tr>
        <w:trPr>
          <w:trHeight w:val="128"/>
        </w:trPr>
        <w:tc>
          <w:tcPr>
            <w:tcW w:w="1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Real Estate</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6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591,822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560,731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31,091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5.54 %</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19,452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624,158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571,098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9.29 %</w:t>
            </w:r>
          </w:p>
        </w:tc>
        <w:tc>
          <w:tcPr>
            <w:tcW w:w="0" w:type="dxa"/>
            <w:vAlign w:val="bottom"/>
          </w:tcPr>
          <w:p>
            <w:pPr>
              <w:spacing w:after="0"/>
              <w:rPr>
                <w:sz w:val="1"/>
                <w:szCs w:val="1"/>
                <w:color w:val="auto"/>
              </w:rPr>
            </w:pPr>
          </w:p>
        </w:tc>
      </w:tr>
      <w:tr>
        <w:trPr>
          <w:trHeight w:val="102"/>
        </w:trPr>
        <w:tc>
          <w:tcPr>
            <w:tcW w:w="1160" w:type="dxa"/>
            <w:vAlign w:val="bottom"/>
          </w:tcPr>
          <w:p>
            <w:pPr>
              <w:ind w:left="20"/>
              <w:spacing w:after="0" w:line="102" w:lineRule="exact"/>
              <w:rPr>
                <w:sz w:val="20"/>
                <w:szCs w:val="20"/>
                <w:color w:val="auto"/>
              </w:rPr>
            </w:pPr>
            <w:r>
              <w:rPr>
                <w:rFonts w:ascii="Arial" w:cs="Arial" w:eastAsia="Arial" w:hAnsi="Arial"/>
                <w:sz w:val="10"/>
                <w:szCs w:val="10"/>
                <w:color w:val="auto"/>
              </w:rPr>
              <w:t>Net Operating</w:t>
            </w: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160" w:type="dxa"/>
            <w:vAlign w:val="bottom"/>
          </w:tcPr>
          <w:p>
            <w:pPr>
              <w:ind w:left="180"/>
              <w:spacing w:after="0" w:line="131" w:lineRule="exact"/>
              <w:rPr>
                <w:sz w:val="20"/>
                <w:szCs w:val="20"/>
                <w:color w:val="auto"/>
              </w:rPr>
            </w:pPr>
            <w:r>
              <w:rPr>
                <w:rFonts w:ascii="Arial" w:cs="Arial" w:eastAsia="Arial" w:hAnsi="Arial"/>
                <w:sz w:val="13"/>
                <w:szCs w:val="13"/>
                <w:color w:val="auto"/>
              </w:rPr>
              <w:t>Income (Loss),</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60" w:type="dxa"/>
            <w:vAlign w:val="bottom"/>
          </w:tcPr>
          <w:p>
            <w:pPr>
              <w:ind w:left="180"/>
              <w:spacing w:after="0" w:line="126" w:lineRule="exact"/>
              <w:rPr>
                <w:sz w:val="20"/>
                <w:szCs w:val="20"/>
                <w:color w:val="auto"/>
              </w:rPr>
            </w:pPr>
            <w:r>
              <w:rPr>
                <w:rFonts w:ascii="Arial" w:cs="Arial" w:eastAsia="Arial" w:hAnsi="Arial"/>
                <w:sz w:val="13"/>
                <w:szCs w:val="13"/>
                <w:color w:val="auto"/>
              </w:rPr>
              <w:t>Excluding</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tcPr>
          <w:p>
            <w:pPr>
              <w:ind w:left="180"/>
              <w:spacing w:after="0" w:line="122" w:lineRule="exact"/>
              <w:rPr>
                <w:sz w:val="20"/>
                <w:szCs w:val="20"/>
                <w:color w:val="auto"/>
              </w:rPr>
            </w:pPr>
            <w:r>
              <w:rPr>
                <w:rFonts w:ascii="Arial" w:cs="Arial" w:eastAsia="Arial" w:hAnsi="Arial"/>
                <w:sz w:val="13"/>
                <w:szCs w:val="13"/>
                <w:color w:val="auto"/>
              </w:rPr>
              <w:t>Residential and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180"/>
              <w:spacing w:after="0"/>
              <w:rPr>
                <w:sz w:val="20"/>
                <w:szCs w:val="20"/>
                <w:color w:val="auto"/>
              </w:rPr>
            </w:pPr>
            <w:r>
              <w:rPr>
                <w:rFonts w:ascii="Arial" w:cs="Arial" w:eastAsia="Arial" w:hAnsi="Arial"/>
                <w:sz w:val="13"/>
                <w:szCs w:val="13"/>
                <w:color w:val="auto"/>
              </w:rPr>
              <w:t>Hotel</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942,684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971,962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(29,278)</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(3.01)%</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35,653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19,896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6,421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(1,325)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(3,859)</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996,908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974,524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22,384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2.30 %</w:t>
            </w:r>
          </w:p>
        </w:tc>
        <w:tc>
          <w:tcPr>
            <w:tcW w:w="0" w:type="dxa"/>
            <w:vAlign w:val="bottom"/>
          </w:tcPr>
          <w:p>
            <w:pPr>
              <w:spacing w:after="0"/>
              <w:rPr>
                <w:sz w:val="1"/>
                <w:szCs w:val="1"/>
                <w:color w:val="auto"/>
              </w:rPr>
            </w:pPr>
          </w:p>
        </w:tc>
      </w:tr>
      <w:tr>
        <w:trPr>
          <w:trHeight w:val="129"/>
        </w:trPr>
        <w:tc>
          <w:tcPr>
            <w:tcW w:w="11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Residential Net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60" w:type="dxa"/>
            <w:vAlign w:val="bottom"/>
            <w:shd w:val="clear" w:color="auto" w:fill="CCEEFF"/>
          </w:tcPr>
          <w:p>
            <w:pPr>
              <w:ind w:left="180"/>
              <w:spacing w:after="0" w:line="131" w:lineRule="exact"/>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5.91 %</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5.91 %</w:t>
            </w:r>
          </w:p>
        </w:tc>
        <w:tc>
          <w:tcPr>
            <w:tcW w:w="0" w:type="dxa"/>
            <w:vAlign w:val="bottom"/>
          </w:tcPr>
          <w:p>
            <w:pPr>
              <w:spacing w:after="0"/>
              <w:rPr>
                <w:sz w:val="1"/>
                <w:szCs w:val="1"/>
                <w:color w:val="auto"/>
              </w:rPr>
            </w:pPr>
          </w:p>
        </w:tc>
      </w:tr>
      <w:tr>
        <w:trPr>
          <w:trHeight w:val="122"/>
        </w:trPr>
        <w:tc>
          <w:tcPr>
            <w:tcW w:w="1160" w:type="dxa"/>
            <w:vAlign w:val="bottom"/>
          </w:tcPr>
          <w:p>
            <w:pPr>
              <w:ind w:left="20"/>
              <w:spacing w:after="0" w:line="122" w:lineRule="exact"/>
              <w:rPr>
                <w:sz w:val="20"/>
                <w:szCs w:val="20"/>
                <w:color w:val="auto"/>
              </w:rPr>
            </w:pPr>
            <w:r>
              <w:rPr>
                <w:rFonts w:ascii="Arial" w:cs="Arial" w:eastAsia="Arial" w:hAnsi="Arial"/>
                <w:sz w:val="13"/>
                <w:szCs w:val="13"/>
                <w:color w:val="auto"/>
              </w:rPr>
              <w:t>Hotel Net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60" w:type="dxa"/>
            <w:vAlign w:val="bottom"/>
          </w:tcPr>
          <w:p>
            <w:pPr>
              <w:ind w:left="180"/>
              <w:spacing w:after="0" w:line="131" w:lineRule="exact"/>
              <w:rPr>
                <w:sz w:val="20"/>
                <w:szCs w:val="20"/>
                <w:color w:val="auto"/>
              </w:rPr>
            </w:pPr>
            <w:r>
              <w:rPr>
                <w:rFonts w:ascii="Arial" w:cs="Arial" w:eastAsia="Arial" w:hAnsi="Arial"/>
                <w:sz w:val="13"/>
                <w:szCs w:val="13"/>
                <w:color w:val="auto"/>
              </w:rPr>
              <w:t>Operating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180"/>
              <w:spacing w:after="0"/>
              <w:rPr>
                <w:sz w:val="20"/>
                <w:szCs w:val="20"/>
                <w:color w:val="auto"/>
              </w:rPr>
            </w:pPr>
            <w:r>
              <w:rPr>
                <w:rFonts w:ascii="Arial" w:cs="Arial" w:eastAsia="Arial" w:hAnsi="Arial"/>
                <w:sz w:val="13"/>
                <w:szCs w:val="13"/>
                <w:color w:val="auto"/>
              </w:rPr>
              <w:t>Income (2)</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3"/>
                <w:szCs w:val="13"/>
                <w:color w:val="auto"/>
                <w:w w:val="91"/>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7,144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08"/>
        </w:trPr>
        <w:tc>
          <w:tcPr>
            <w:tcW w:w="11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Operating</w:t>
            </w: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963,313</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991,933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(28,620)</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$ 35,653</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$ 19,896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6,421</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(1,325)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(3,859)</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$ 1,017,537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994,495</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23,042</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2" w:lineRule="exact"/>
        <w:rPr>
          <w:sz w:val="20"/>
          <w:szCs w:val="20"/>
          <w:color w:val="auto"/>
        </w:rPr>
      </w:pPr>
    </w:p>
    <w:p>
      <w:pPr>
        <w:ind w:left="660" w:right="80" w:hanging="328"/>
        <w:spacing w:after="0" w:line="263" w:lineRule="auto"/>
        <w:tabs>
          <w:tab w:leader="none" w:pos="6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59" w:lineRule="exact"/>
        <w:rPr>
          <w:rFonts w:ascii="Arial" w:cs="Arial" w:eastAsia="Arial" w:hAnsi="Arial"/>
          <w:sz w:val="14"/>
          <w:szCs w:val="14"/>
          <w:color w:val="auto"/>
        </w:rPr>
      </w:pPr>
    </w:p>
    <w:p>
      <w:pPr>
        <w:ind w:left="660" w:hanging="328"/>
        <w:spacing w:after="0" w:line="262" w:lineRule="auto"/>
        <w:tabs>
          <w:tab w:leader="none" w:pos="647"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58. Residential Net Operating Income for the six months ended June 30, 2024 and 2023 is comprised of Residential Revenue of $24,910 and $23,979 less Residential Expenses of $11,425 and $11,246, respectively. Hotel Net Operating Income for the six months ended June 30, 2024 and 2023 is comprised of Hotel Revenue of $22,998 and $22,070 less Hotel Expenses of $15,854 and $14,832, respectively, per the Consolidated Statements of Operations.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02" w:lineRule="exact"/>
        <w:rPr>
          <w:sz w:val="20"/>
          <w:szCs w:val="20"/>
          <w:color w:val="auto"/>
        </w:rPr>
      </w:pPr>
    </w:p>
    <w:p>
      <w:pPr>
        <w:ind w:right="240" w:firstLine="445"/>
        <w:spacing w:after="0" w:line="262" w:lineRule="auto"/>
        <w:rPr>
          <w:sz w:val="20"/>
          <w:szCs w:val="20"/>
          <w:color w:val="auto"/>
        </w:rPr>
      </w:pPr>
      <w:r>
        <w:rPr>
          <w:rFonts w:ascii="Arial" w:cs="Arial" w:eastAsia="Arial" w:hAnsi="Arial"/>
          <w:sz w:val="18"/>
          <w:szCs w:val="18"/>
          <w:color w:val="auto"/>
        </w:rPr>
        <w:t>Lease revenue (excluding termination income) from the Same Property Portfolio decreased by approximately $12.1 million for the six months ended June 30, 2024 compared to 2023. The decrease was a result of our average occupancy decreasing from 90.2% to 88.8%, resulting in a decrease of approximately $23.3 million, partially offset by revenue per square foot increasing by approximately $0.59, contributing approximately $11.2 million.</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increased by approximately $2.6 million for the six months ended June 30, 2024 compared to 2023.</w:t>
      </w:r>
    </w:p>
    <w:p>
      <w:pPr>
        <w:spacing w:after="0" w:line="171"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Termination income for the six months ended June 30, 2024 related to 17 clients across the Same Property Portfolio and totaled approximately $2.7 million, which was primarily related to clients that terminated leases early in San Francisco, California.</w:t>
      </w:r>
    </w:p>
    <w:p>
      <w:pPr>
        <w:spacing w:after="0" w:line="99" w:lineRule="exact"/>
        <w:rPr>
          <w:sz w:val="20"/>
          <w:szCs w:val="20"/>
          <w:color w:val="auto"/>
        </w:rPr>
      </w:pPr>
    </w:p>
    <w:p>
      <w:pPr>
        <w:ind w:right="620" w:firstLine="445"/>
        <w:spacing w:after="0" w:line="287" w:lineRule="auto"/>
        <w:rPr>
          <w:sz w:val="20"/>
          <w:szCs w:val="20"/>
          <w:color w:val="auto"/>
        </w:rPr>
      </w:pPr>
      <w:r>
        <w:rPr>
          <w:rFonts w:ascii="Arial" w:cs="Arial" w:eastAsia="Arial" w:hAnsi="Arial"/>
          <w:sz w:val="18"/>
          <w:szCs w:val="18"/>
          <w:color w:val="auto"/>
        </w:rPr>
        <w:t>Termination income for the six months ended June 30, 2023 related to 15 clients across the Same Property Portfolio and totaled approximately $32,000.</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8" w:lineRule="exact"/>
        <w:rPr>
          <w:sz w:val="20"/>
          <w:szCs w:val="20"/>
          <w:color w:val="auto"/>
        </w:rPr>
      </w:pPr>
    </w:p>
    <w:p>
      <w:pPr>
        <w:jc w:val="both"/>
        <w:ind w:right="600" w:firstLine="405"/>
        <w:spacing w:after="0" w:line="268" w:lineRule="auto"/>
        <w:rPr>
          <w:sz w:val="20"/>
          <w:szCs w:val="20"/>
          <w:color w:val="auto"/>
        </w:rPr>
      </w:pPr>
      <w:r>
        <w:rPr>
          <w:rFonts w:ascii="Arial" w:cs="Arial" w:eastAsia="Arial" w:hAnsi="Arial"/>
          <w:sz w:val="18"/>
          <w:szCs w:val="18"/>
          <w:color w:val="auto"/>
        </w:rPr>
        <w:t>Parking and other revenue increased by approximately $11.2 million for the six months ended June 30, 2024 compared to 2023. Parking and other revenue increased by approximately $1.0 million and $10.2 million, respectively. The increase in other revenue was primarily related to the View Boston observatory.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0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Real estate operating expenses from the Same Property Portfolio increased by approximately $31.1 million, or 5.5%, for the six months ended June 30, 2024 compared to 2023, due primarily to increases in repairs and maintenance of approximately $10.9 million, or 12.0%, and other real estate operating expenses of approximately $13.9 million, or 3.0%. The increase in repairs and maintenance was primarily in Boston. In addition, there was an approximately $6.3 million increase related to the marketing and operating expenses associated with the View Boston observatory.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2" w:lineRule="exact"/>
        <w:rPr>
          <w:sz w:val="20"/>
          <w:szCs w:val="20"/>
          <w:color w:val="auto"/>
        </w:rPr>
      </w:pPr>
    </w:p>
    <w:p>
      <w:pPr>
        <w:ind w:right="300" w:firstLine="445"/>
        <w:spacing w:after="0" w:line="268" w:lineRule="auto"/>
        <w:rPr>
          <w:sz w:val="20"/>
          <w:szCs w:val="20"/>
          <w:color w:val="auto"/>
        </w:rPr>
      </w:pPr>
      <w:r>
        <w:rPr>
          <w:rFonts w:ascii="Arial" w:cs="Arial" w:eastAsia="Arial" w:hAnsi="Arial"/>
          <w:sz w:val="18"/>
          <w:szCs w:val="18"/>
          <w:color w:val="auto"/>
        </w:rPr>
        <w:t>The table below lists the properties acquired between January 1, 2023 and June 30, 2024. Rental revenue and real estate operating expenses increased by approximately $55.1 million and $19.5 million, respectively, for the six months ended June 30, 2024 compared to 2023, as detailed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129"/>
              <w:spacing w:after="0"/>
              <w:rPr>
                <w:sz w:val="20"/>
                <w:szCs w:val="20"/>
                <w:color w:val="auto"/>
              </w:rPr>
            </w:pPr>
            <w:r>
              <w:rPr>
                <w:rFonts w:ascii="Arial" w:cs="Arial" w:eastAsia="Arial" w:hAnsi="Arial"/>
                <w:sz w:val="13"/>
                <w:szCs w:val="13"/>
                <w:b w:val="1"/>
                <w:bCs w:val="1"/>
                <w:color w:val="auto"/>
              </w:rPr>
              <w:t>Real Estate Operating Expenses</w:t>
            </w:r>
          </w:p>
        </w:tc>
      </w:tr>
      <w:tr>
        <w:trPr>
          <w:trHeight w:val="250"/>
        </w:trPr>
        <w:tc>
          <w:tcPr>
            <w:tcW w:w="2460" w:type="dxa"/>
            <w:vAlign w:val="bottom"/>
            <w:gridSpan w:val="2"/>
          </w:tcPr>
          <w:p>
            <w:pPr>
              <w:ind w:left="100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Date acquired</w:t>
            </w: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21"/>
                <w:szCs w:val="21"/>
                <w:color w:val="auto"/>
              </w:rPr>
            </w:pPr>
          </w:p>
        </w:tc>
        <w:tc>
          <w:tcPr>
            <w:tcW w:w="680" w:type="dxa"/>
            <w:vAlign w:val="bottom"/>
          </w:tcPr>
          <w:p>
            <w:pPr>
              <w:jc w:val="right"/>
              <w:ind w:right="22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21"/>
                <w:szCs w:val="21"/>
                <w:color w:val="auto"/>
              </w:rPr>
            </w:pPr>
          </w:p>
        </w:tc>
        <w:tc>
          <w:tcPr>
            <w:tcW w:w="720" w:type="dxa"/>
            <w:vAlign w:val="bottom"/>
          </w:tcPr>
          <w:p>
            <w:pPr>
              <w:jc w:val="right"/>
              <w:ind w:right="23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4"/>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Business Park (1)</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December 14, 2023</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1,182,696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38,873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13,338</w:t>
            </w:r>
          </w:p>
        </w:tc>
      </w:tr>
      <w:tr>
        <w:trPr>
          <w:trHeight w:val="198"/>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901 New York Avenue</w:t>
            </w:r>
          </w:p>
        </w:tc>
        <w:tc>
          <w:tcPr>
            <w:tcW w:w="1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January 8, 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523,939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6,114</w:t>
            </w:r>
          </w:p>
        </w:tc>
      </w:tr>
      <w:tr>
        <w:trPr>
          <w:trHeight w:val="216"/>
        </w:trPr>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1,706,635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19,452</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1" w:lineRule="exact"/>
        <w:rPr>
          <w:sz w:val="20"/>
          <w:szCs w:val="20"/>
          <w:color w:val="auto"/>
        </w:rPr>
      </w:pPr>
    </w:p>
    <w:p>
      <w:pPr>
        <w:ind w:left="580" w:hanging="329"/>
        <w:spacing w:after="0"/>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Rental revenue for the six months ended June 30, 2024 includes approximately $0.2 million of termination income.</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88" w:lineRule="exact"/>
        <w:rPr>
          <w:sz w:val="20"/>
          <w:szCs w:val="20"/>
          <w:color w:val="auto"/>
        </w:rPr>
      </w:pPr>
    </w:p>
    <w:p>
      <w:pPr>
        <w:ind w:right="160" w:firstLine="445"/>
        <w:spacing w:after="0" w:line="268"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January 1, 2023 and June 30, 2024. Rental revenue and real estate operating expenses from our Properties Placed In-Service Portfolio increased by approximately $19.6 million and $6.1 million, respectively, for the six months ended June 30, 2024 compared to 2023, as detailed below.</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32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b w:val="1"/>
                <w:bCs w:val="1"/>
                <w:color w:val="auto"/>
              </w:rPr>
              <w:t>Quarter Initially</w:t>
            </w:r>
          </w:p>
        </w:tc>
        <w:tc>
          <w:tcPr>
            <w:tcW w:w="1460" w:type="dxa"/>
            <w:vAlign w:val="bottom"/>
            <w:gridSpan w:val="2"/>
          </w:tcPr>
          <w:p>
            <w:pPr>
              <w:ind w:left="26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5"/>
                <w:szCs w:val="15"/>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Placed In-Service</w:t>
            </w:r>
          </w:p>
        </w:tc>
        <w:tc>
          <w:tcPr>
            <w:tcW w:w="1460" w:type="dxa"/>
            <w:vAlign w:val="bottom"/>
            <w:gridSpan w:val="2"/>
          </w:tcPr>
          <w:p>
            <w:pPr>
              <w:ind w:left="12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0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2100 Pennsylvania</w:t>
            </w: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14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475,849</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17,154</w:t>
            </w:r>
          </w:p>
        </w:tc>
        <w:tc>
          <w:tcPr>
            <w:tcW w:w="3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10,581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6,573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5,642</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0" w:type="dxa"/>
            <w:vAlign w:val="bottom"/>
          </w:tcPr>
          <w:p>
            <w:pPr>
              <w:spacing w:after="0"/>
              <w:rPr>
                <w:sz w:val="1"/>
                <w:szCs w:val="1"/>
                <w:color w:val="auto"/>
              </w:rPr>
            </w:pPr>
          </w:p>
        </w:tc>
      </w:tr>
      <w:tr>
        <w:trPr>
          <w:trHeight w:val="185"/>
        </w:trPr>
        <w:tc>
          <w:tcPr>
            <w:tcW w:w="16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Avenue</w:t>
            </w: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0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tcPr>
          <w:p>
            <w:pPr>
              <w:ind w:left="20"/>
              <w:spacing w:after="0" w:line="153" w:lineRule="exact"/>
              <w:rPr>
                <w:sz w:val="20"/>
                <w:szCs w:val="20"/>
                <w:color w:val="auto"/>
              </w:rPr>
            </w:pPr>
            <w:r>
              <w:rPr>
                <w:rFonts w:ascii="Arial" w:cs="Arial" w:eastAsia="Arial" w:hAnsi="Arial"/>
                <w:sz w:val="14"/>
                <w:szCs w:val="14"/>
                <w:color w:val="auto"/>
              </w:rPr>
              <w:t>140</w:t>
            </w:r>
          </w:p>
        </w:tc>
        <w:tc>
          <w:tcPr>
            <w:tcW w:w="1320" w:type="dxa"/>
            <w:vAlign w:val="bottom"/>
          </w:tcPr>
          <w:p>
            <w:pPr>
              <w:ind w:left="20"/>
              <w:spacing w:after="0" w:line="153" w:lineRule="exact"/>
              <w:rPr>
                <w:sz w:val="20"/>
                <w:szCs w:val="20"/>
                <w:color w:val="auto"/>
              </w:rPr>
            </w:pPr>
            <w:r>
              <w:rPr>
                <w:rFonts w:ascii="Arial" w:cs="Arial" w:eastAsia="Arial" w:hAnsi="Arial"/>
                <w:sz w:val="14"/>
                <w:szCs w:val="14"/>
                <w:color w:val="auto"/>
              </w:rPr>
              <w:t>Kendrick Street -</w:t>
            </w:r>
          </w:p>
        </w:tc>
        <w:tc>
          <w:tcPr>
            <w:tcW w:w="12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104,166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3,811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3,811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185"/>
        </w:trPr>
        <w:tc>
          <w:tcPr>
            <w:tcW w:w="1600" w:type="dxa"/>
            <w:vAlign w:val="bottom"/>
            <w:gridSpan w:val="2"/>
          </w:tcPr>
          <w:p>
            <w:pPr>
              <w:ind w:left="180"/>
              <w:spacing w:after="0"/>
              <w:rPr>
                <w:sz w:val="20"/>
                <w:szCs w:val="20"/>
                <w:color w:val="auto"/>
              </w:rPr>
            </w:pPr>
            <w:r>
              <w:rPr>
                <w:rFonts w:ascii="Arial" w:cs="Arial" w:eastAsia="Arial" w:hAnsi="Arial"/>
                <w:sz w:val="14"/>
                <w:szCs w:val="14"/>
                <w:color w:val="auto"/>
              </w:rPr>
              <w:t>Building A</w:t>
            </w: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180</w:t>
            </w: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CityPoint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Quarter, 2023</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153"/>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1320" w:type="dxa"/>
            <w:vAlign w:val="bottom"/>
            <w:vMerge w:val="restart"/>
          </w:tcPr>
          <w:p>
            <w:pPr>
              <w:ind w:left="20"/>
              <w:spacing w:after="0"/>
              <w:rPr>
                <w:sz w:val="20"/>
                <w:szCs w:val="20"/>
                <w:color w:val="auto"/>
              </w:rPr>
            </w:pPr>
            <w:r>
              <w:rPr>
                <w:rFonts w:ascii="Arial" w:cs="Arial" w:eastAsia="Arial" w:hAnsi="Arial"/>
                <w:sz w:val="14"/>
                <w:szCs w:val="14"/>
                <w:color w:val="auto"/>
              </w:rPr>
              <w:t>CityPoint</w:t>
            </w:r>
          </w:p>
        </w:tc>
        <w:tc>
          <w:tcPr>
            <w:tcW w:w="120" w:type="dxa"/>
            <w:vAlign w:val="bottom"/>
          </w:tcPr>
          <w:p>
            <w:pPr>
              <w:spacing w:after="0"/>
              <w:rPr>
                <w:sz w:val="13"/>
                <w:szCs w:val="13"/>
                <w:color w:val="auto"/>
              </w:rPr>
            </w:pPr>
          </w:p>
        </w:tc>
        <w:tc>
          <w:tcPr>
            <w:tcW w:w="14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Fourth Quarter,</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113,000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5"/>
        </w:trPr>
        <w:tc>
          <w:tcPr>
            <w:tcW w:w="2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760</w:t>
            </w:r>
          </w:p>
        </w:tc>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Boylston Street</w:t>
            </w: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Second Quarter,</w:t>
            </w:r>
          </w:p>
        </w:tc>
        <w:tc>
          <w:tcPr>
            <w:tcW w:w="14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118,000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2,323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5"/>
        </w:trPr>
        <w:tc>
          <w:tcPr>
            <w:tcW w:w="280" w:type="dxa"/>
            <w:vAlign w:val="bottom"/>
            <w:vMerge w:val="continue"/>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1,140,015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30,137</w:t>
            </w:r>
          </w:p>
        </w:tc>
        <w:tc>
          <w:tcPr>
            <w:tcW w:w="3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10,581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19,556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10,241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4,160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6,081</w:t>
            </w: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Properties in or Held for Development or Redevelopment Portfolio</w:t>
      </w:r>
    </w:p>
    <w:p>
      <w:pPr>
        <w:spacing w:after="0" w:line="88" w:lineRule="exact"/>
        <w:rPr>
          <w:sz w:val="20"/>
          <w:szCs w:val="20"/>
          <w:color w:val="auto"/>
        </w:rPr>
      </w:pPr>
    </w:p>
    <w:p>
      <w:pPr>
        <w:ind w:right="480" w:firstLine="445"/>
        <w:spacing w:after="0" w:line="262" w:lineRule="auto"/>
        <w:rPr>
          <w:sz w:val="20"/>
          <w:szCs w:val="20"/>
          <w:color w:val="auto"/>
        </w:rPr>
      </w:pPr>
      <w:r>
        <w:rPr>
          <w:rFonts w:ascii="Arial" w:cs="Arial" w:eastAsia="Arial" w:hAnsi="Arial"/>
          <w:sz w:val="18"/>
          <w:szCs w:val="18"/>
          <w:color w:val="auto"/>
        </w:rPr>
        <w:t>The table below lists the properties that were in or held for development or redevelopment between January 1, 2023 and June 30, 2024. Rental revenue and real estate operating expenses from our Properties in or Held for Development or Redevelopment Portfolio decreased by approximately $1.0 million and $3.6 million, respectively, for the six months ended June 30, 2024 compared to 2023, as detailed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Rental Revenue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328"/>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Date Commenced Held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gridSpan w:val="2"/>
            <w:vMerge w:val="restart"/>
          </w:tcPr>
          <w:p>
            <w:pPr>
              <w:ind w:left="96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for 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11"/>
                <w:szCs w:val="11"/>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38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jc w:val="right"/>
              <w:ind w:right="40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105 Carnegie Center (1)</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November 30, 2022</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53"/>
        </w:trPr>
        <w:tc>
          <w:tcPr>
            <w:tcW w:w="23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Kendall Center Blue Parking</w:t>
            </w:r>
          </w:p>
        </w:tc>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January 4, 2023</w:t>
            </w:r>
          </w:p>
        </w:tc>
        <w:tc>
          <w:tcPr>
            <w:tcW w:w="1080" w:type="dxa"/>
            <w:vAlign w:val="bottom"/>
            <w:gridSpan w:val="2"/>
            <w:vMerge w:val="restart"/>
          </w:tcPr>
          <w:p>
            <w:pPr>
              <w:ind w:left="7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85"/>
        </w:trPr>
        <w:tc>
          <w:tcPr>
            <w:tcW w:w="2380" w:type="dxa"/>
            <w:vAlign w:val="bottom"/>
            <w:gridSpan w:val="2"/>
          </w:tcPr>
          <w:p>
            <w:pPr>
              <w:ind w:left="180"/>
              <w:spacing w:after="0"/>
              <w:rPr>
                <w:sz w:val="20"/>
                <w:szCs w:val="20"/>
                <w:color w:val="auto"/>
              </w:rPr>
            </w:pPr>
            <w:r>
              <w:rPr>
                <w:rFonts w:ascii="Arial" w:cs="Arial" w:eastAsia="Arial" w:hAnsi="Arial"/>
                <w:sz w:val="14"/>
                <w:szCs w:val="14"/>
                <w:color w:val="auto"/>
              </w:rPr>
              <w:t>Garage (2)</w:t>
            </w:r>
          </w:p>
        </w:tc>
        <w:tc>
          <w:tcPr>
            <w:tcW w:w="1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300 Binney Street</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January 30, 2023</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53"/>
        </w:trPr>
        <w:tc>
          <w:tcPr>
            <w:tcW w:w="23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Shady Grove Innovation District</w:t>
            </w:r>
          </w:p>
        </w:tc>
        <w:tc>
          <w:tcPr>
            <w:tcW w:w="1780" w:type="dxa"/>
            <w:vAlign w:val="bottom"/>
            <w:gridSpan w:val="2"/>
            <w:vMerge w:val="restart"/>
          </w:tcPr>
          <w:p>
            <w:pPr>
              <w:spacing w:after="0"/>
              <w:rPr>
                <w:sz w:val="20"/>
                <w:szCs w:val="20"/>
                <w:color w:val="auto"/>
              </w:rPr>
            </w:pPr>
            <w:r>
              <w:rPr>
                <w:rFonts w:ascii="Arial" w:cs="Arial" w:eastAsia="Arial" w:hAnsi="Arial"/>
                <w:sz w:val="14"/>
                <w:szCs w:val="14"/>
                <w:color w:val="auto"/>
              </w:rPr>
              <w:t>March 31, 2023</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184,000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1,243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85"/>
        </w:trPr>
        <w:tc>
          <w:tcPr>
            <w:tcW w:w="2260" w:type="dxa"/>
            <w:vAlign w:val="bottom"/>
          </w:tcPr>
          <w:p>
            <w:pPr>
              <w:ind w:left="18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Office Park (3)</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2023</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8"/>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171 Dartmouth Street</w:t>
            </w:r>
          </w:p>
        </w:tc>
        <w:tc>
          <w:tcPr>
            <w:tcW w:w="1780" w:type="dxa"/>
            <w:vAlign w:val="bottom"/>
            <w:gridSpan w:val="2"/>
          </w:tcPr>
          <w:p>
            <w:pPr>
              <w:spacing w:after="0"/>
              <w:rPr>
                <w:sz w:val="20"/>
                <w:szCs w:val="20"/>
                <w:color w:val="auto"/>
              </w:rPr>
            </w:pPr>
            <w:r>
              <w:rPr>
                <w:rFonts w:ascii="Arial" w:cs="Arial" w:eastAsia="Arial" w:hAnsi="Arial"/>
                <w:sz w:val="14"/>
                <w:szCs w:val="14"/>
                <w:color w:val="auto"/>
              </w:rPr>
              <w:t>March 28, 2024</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1050 Winter Street (3)</w:t>
            </w: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2024</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8"/>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17 Hartwell Avenue (3)</w:t>
            </w:r>
          </w:p>
        </w:tc>
        <w:tc>
          <w:tcPr>
            <w:tcW w:w="1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June 30, 2024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21"/>
        </w:trPr>
        <w:tc>
          <w:tcPr>
            <w:tcW w:w="2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120" w:hanging="329"/>
        <w:spacing w:after="0" w:line="252" w:lineRule="auto"/>
        <w:tabs>
          <w:tab w:leader="none" w:pos="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On November 30, 2023, we elected to suspend redevelopment. Although no longer in redevelopment, this property is not considered “in-service” as we are not actively leasing this property in anticipation of restarting redevelopment in the future.</w:t>
      </w:r>
    </w:p>
    <w:p>
      <w:pPr>
        <w:spacing w:after="0" w:line="1" w:lineRule="exact"/>
        <w:rPr>
          <w:rFonts w:ascii="Arial" w:cs="Arial" w:eastAsia="Arial" w:hAnsi="Arial"/>
          <w:sz w:val="16"/>
          <w:szCs w:val="16"/>
          <w:color w:val="auto"/>
        </w:rPr>
      </w:pPr>
    </w:p>
    <w:p>
      <w:pPr>
        <w:ind w:left="580" w:right="80" w:hanging="329"/>
        <w:spacing w:after="0" w:line="255" w:lineRule="auto"/>
        <w:tabs>
          <w:tab w:leader="none" w:pos="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Kendall Center Blue Parking Garage was taken out of service on January 4, 2023 to support the development of 290 Binney Street. Real estate operating expenses for the six months ended June 30, 2023 included approximately $3.0 million of demolition costs.</w:t>
      </w:r>
    </w:p>
    <w:p>
      <w:pPr>
        <w:ind w:left="580" w:right="140" w:hanging="329"/>
        <w:spacing w:after="0" w:line="256" w:lineRule="auto"/>
        <w:tabs>
          <w:tab w:leader="none" w:pos="5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Lexington Office Park, 1050 Winter Street, 17 Hartwell Avenue and a portion of Shady Grove Innovation District, are no longer considered “in-service” because each property’s occupied percentage is less than 50% and we are no longer actively leasing the properties in anticipation of a future development/redevelopment. The properties will be considered held for development or redevelopment until the last client has vacated the property and the property is no longer revenue producing. This portion of Shady Grove Innovation District is comprised of three buildings, 2092 and 2098 Gaither Road and 15825 Shady Grove Road that were taken out of service between January 1, 2023 and June 30, 2024.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operating income for our residential same properties increased by approximately $0.8 million for the six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compared to 2023.</w:t>
      </w:r>
    </w:p>
    <w:p>
      <w:pPr>
        <w:spacing w:after="0" w:line="153"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six months ended June 30, 2024 and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rPr>
              <w:t>Average Monthly Rental Rate (1)</w:t>
            </w:r>
          </w:p>
        </w:tc>
        <w:tc>
          <w:tcPr>
            <w:tcW w:w="140" w:type="dxa"/>
            <w:vAlign w:val="bottom"/>
          </w:tcPr>
          <w:p>
            <w:pPr>
              <w:spacing w:after="0"/>
              <w:rPr>
                <w:sz w:val="13"/>
                <w:szCs w:val="13"/>
                <w:color w:val="auto"/>
              </w:rPr>
            </w:pPr>
          </w:p>
        </w:tc>
        <w:tc>
          <w:tcPr>
            <w:tcW w:w="216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Average Physical Occupancy (2)</w:t>
            </w:r>
          </w:p>
        </w:tc>
        <w:tc>
          <w:tcPr>
            <w:tcW w:w="2380" w:type="dxa"/>
            <w:vAlign w:val="bottom"/>
            <w:gridSpan w:val="3"/>
            <w:vMerge w:val="restart"/>
          </w:tcPr>
          <w:p>
            <w:pPr>
              <w:jc w:val="right"/>
              <w:ind w:right="2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rPr>
              <w:t>Occupied Square Foot</w:t>
            </w:r>
          </w:p>
        </w:tc>
        <w:tc>
          <w:tcPr>
            <w:tcW w:w="2480" w:type="dxa"/>
            <w:vAlign w:val="bottom"/>
            <w:gridSpan w:val="4"/>
            <w:vMerge w:val="continue"/>
          </w:tcPr>
          <w:p>
            <w:pPr>
              <w:spacing w:after="0"/>
              <w:rPr>
                <w:sz w:val="16"/>
                <w:szCs w:val="16"/>
                <w:color w:val="auto"/>
              </w:rPr>
            </w:pPr>
          </w:p>
        </w:tc>
        <w:tc>
          <w:tcPr>
            <w:tcW w:w="2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3,034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5.57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95.4 %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95.3 %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3"/>
        </w:trPr>
        <w:tc>
          <w:tcPr>
            <w:tcW w:w="17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4,346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4,434</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4.81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ind w:left="49"/>
              <w:spacing w:after="0"/>
              <w:rPr>
                <w:sz w:val="20"/>
                <w:szCs w:val="20"/>
                <w:color w:val="auto"/>
              </w:rPr>
            </w:pPr>
            <w:r>
              <w:rPr>
                <w:rFonts w:ascii="Arial" w:cs="Arial" w:eastAsia="Arial" w:hAnsi="Arial"/>
                <w:sz w:val="14"/>
                <w:szCs w:val="14"/>
                <w:color w:val="auto"/>
              </w:rPr>
              <w:t>4.91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3"/>
                <w:szCs w:val="13"/>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95.4 %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95.9 %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3"/>
                <w:szCs w:val="13"/>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94.8 %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96.4 %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176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2,670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2.77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95.8 %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95.8 %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9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3,446</w:t>
            </w:r>
          </w:p>
        </w:tc>
        <w:tc>
          <w:tcPr>
            <w:tcW w:w="860" w:type="dxa"/>
            <w:vAlign w:val="bottom"/>
          </w:tcPr>
          <w:p>
            <w:pPr>
              <w:jc w:val="right"/>
              <w:spacing w:after="0"/>
              <w:rPr>
                <w:sz w:val="20"/>
                <w:szCs w:val="20"/>
                <w:color w:val="auto"/>
              </w:rPr>
            </w:pPr>
            <w:r>
              <w:rPr>
                <w:rFonts w:ascii="Arial" w:cs="Arial" w:eastAsia="Arial" w:hAnsi="Arial"/>
                <w:sz w:val="14"/>
                <w:szCs w:val="14"/>
                <w:color w:val="auto"/>
              </w:rPr>
              <w:t>0.2 %</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ind w:left="160"/>
              <w:spacing w:after="0"/>
              <w:rPr>
                <w:sz w:val="20"/>
                <w:szCs w:val="20"/>
                <w:color w:val="auto"/>
              </w:rPr>
            </w:pPr>
            <w:r>
              <w:rPr>
                <w:rFonts w:ascii="Arial" w:cs="Arial" w:eastAsia="Arial" w:hAnsi="Arial"/>
                <w:sz w:val="14"/>
                <w:szCs w:val="14"/>
                <w:color w:val="auto"/>
              </w:rPr>
              <w:t>4.35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ind w:left="49"/>
              <w:spacing w:after="0"/>
              <w:rPr>
                <w:sz w:val="20"/>
                <w:szCs w:val="20"/>
                <w:color w:val="auto"/>
              </w:rPr>
            </w:pPr>
            <w:r>
              <w:rPr>
                <w:rFonts w:ascii="Arial" w:cs="Arial" w:eastAsia="Arial" w:hAnsi="Arial"/>
                <w:sz w:val="14"/>
                <w:szCs w:val="14"/>
                <w:color w:val="auto"/>
              </w:rPr>
              <w:t>4.39</w:t>
            </w: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87.5 %</w:t>
            </w:r>
          </w:p>
        </w:tc>
        <w:tc>
          <w:tcPr>
            <w:tcW w:w="660" w:type="dxa"/>
            <w:vAlign w:val="bottom"/>
          </w:tcPr>
          <w:p>
            <w:pPr>
              <w:jc w:val="right"/>
              <w:spacing w:after="0"/>
              <w:rPr>
                <w:sz w:val="20"/>
                <w:szCs w:val="20"/>
                <w:color w:val="auto"/>
              </w:rPr>
            </w:pPr>
            <w:r>
              <w:rPr>
                <w:rFonts w:ascii="Arial" w:cs="Arial" w:eastAsia="Arial" w:hAnsi="Arial"/>
                <w:sz w:val="14"/>
                <w:szCs w:val="14"/>
                <w:color w:val="auto"/>
              </w:rPr>
              <w:t>91.9 %</w:t>
            </w: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86.0 %</w:t>
            </w:r>
          </w:p>
        </w:tc>
        <w:tc>
          <w:tcPr>
            <w:tcW w:w="680" w:type="dxa"/>
            <w:vAlign w:val="bottom"/>
          </w:tcPr>
          <w:p>
            <w:pPr>
              <w:jc w:val="right"/>
              <w:spacing w:after="0"/>
              <w:rPr>
                <w:sz w:val="20"/>
                <w:szCs w:val="20"/>
                <w:color w:val="auto"/>
              </w:rPr>
            </w:pPr>
            <w:r>
              <w:rPr>
                <w:rFonts w:ascii="Arial" w:cs="Arial" w:eastAsia="Arial" w:hAnsi="Arial"/>
                <w:sz w:val="14"/>
                <w:szCs w:val="14"/>
                <w:color w:val="auto"/>
              </w:rPr>
              <w:t>89.6 %</w:t>
            </w: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80" w:hanging="329"/>
        <w:spacing w:after="0" w:line="252"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spacing w:after="0" w:line="1" w:lineRule="exact"/>
        <w:rPr>
          <w:rFonts w:ascii="Arial" w:cs="Arial" w:eastAsia="Arial" w:hAnsi="Arial"/>
          <w:sz w:val="16"/>
          <w:szCs w:val="16"/>
          <w:color w:val="auto"/>
        </w:rPr>
      </w:pPr>
    </w:p>
    <w:p>
      <w:pPr>
        <w:ind w:left="580" w:right="620" w:hanging="329"/>
        <w:spacing w:after="0" w:line="255"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80" w:right="260" w:hanging="329"/>
        <w:spacing w:after="0" w:line="255" w:lineRule="auto"/>
        <w:tabs>
          <w:tab w:leader="none" w:pos="5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Hotel Net Operating Income</w:t>
      </w:r>
    </w:p>
    <w:p>
      <w:pPr>
        <w:spacing w:after="0" w:line="102" w:lineRule="exact"/>
        <w:rPr>
          <w:sz w:val="20"/>
          <w:szCs w:val="20"/>
          <w:color w:val="auto"/>
        </w:rPr>
      </w:pPr>
    </w:p>
    <w:p>
      <w:pPr>
        <w:ind w:right="160" w:firstLine="445"/>
        <w:spacing w:after="0" w:line="287" w:lineRule="auto"/>
        <w:rPr>
          <w:sz w:val="20"/>
          <w:szCs w:val="20"/>
          <w:color w:val="auto"/>
        </w:rPr>
      </w:pPr>
      <w:r>
        <w:rPr>
          <w:rFonts w:ascii="Arial" w:cs="Arial" w:eastAsia="Arial" w:hAnsi="Arial"/>
          <w:sz w:val="18"/>
          <w:szCs w:val="18"/>
          <w:color w:val="auto"/>
        </w:rPr>
        <w:t>The Boston Marriott Cambridge hotel had net operating income of approximately $7.1 million for the six months ended June 30, 2024, representing a decrease of approximately $0.1 million compared to the six months ended June 30, 2023.</w:t>
      </w:r>
    </w:p>
    <w:p>
      <w:pPr>
        <w:spacing w:after="0" w:line="99"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six months ended June 30, 2024 and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 (%)</w:t>
            </w:r>
          </w:p>
        </w:tc>
      </w:tr>
      <w:tr>
        <w:trPr>
          <w:trHeight w:val="224"/>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317.26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323.14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240.50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223.95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r>
    </w:tbl>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0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Development and management services revenue decreased by approximately $6.3 million for the six months ended June 30, 2024 compared to 2023. Development services revenue and management services revenue decreased by approximately $3.1 million and $3.2 million, respectively. The decrease in development services revenue was primarily related to a decrease in fees associated with a tenant improvement project in New York City and decreases in development income earned from unconsolidated joint ventures in the San Francisco region. The decrease in management services revenue was primarily related to the elimination of property and asset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management fees earned from an unconsolidated joint venture in the Los Angeles region which we acquired the joint venture partner’s interest in December 2023.</w:t>
      </w: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2" w:lineRule="exact"/>
        <w:rPr>
          <w:sz w:val="20"/>
          <w:szCs w:val="20"/>
          <w:color w:val="auto"/>
        </w:rPr>
      </w:pPr>
    </w:p>
    <w:p>
      <w:pPr>
        <w:ind w:right="20" w:firstLine="445"/>
        <w:spacing w:after="0" w:line="262" w:lineRule="auto"/>
        <w:rPr>
          <w:sz w:val="20"/>
          <w:szCs w:val="20"/>
          <w:color w:val="auto"/>
        </w:rPr>
      </w:pPr>
      <w:r>
        <w:rPr>
          <w:rFonts w:ascii="Arial" w:cs="Arial" w:eastAsia="Arial" w:hAnsi="Arial"/>
          <w:sz w:val="18"/>
          <w:szCs w:val="18"/>
          <w:color w:val="auto"/>
        </w:rPr>
        <w:t>General and administrative expense decreased by approximately $5.9 million for the six months ended June 30, 2024 compared to 2023 primarily due to a decrease in compensation expense and other general and administrative expenses of approximately $5.8 million and $0.1 million, respectively. The decrease in compensation expense related to (1) an approximately $ 0.6 million decrease in the value of our deferred compensation plan and (2) an approximately $5.2 million decrease in other compensation expenses.</w:t>
      </w:r>
    </w:p>
    <w:p>
      <w:pPr>
        <w:spacing w:after="0" w:line="122" w:lineRule="exact"/>
        <w:rPr>
          <w:sz w:val="20"/>
          <w:szCs w:val="20"/>
          <w:color w:val="auto"/>
        </w:rPr>
      </w:pPr>
    </w:p>
    <w:p>
      <w:pPr>
        <w:ind w:right="260" w:firstLine="445"/>
        <w:spacing w:after="0" w:line="262"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each of the six months ended June 30, 2024 and 2023 were approximately $8.9 million and $9.1 million, respectively. These costs are not included in the general and administrative expenses discussed above.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88"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Transaction costs decreased by approximately $ 0.5 million for the six months ended June 30, 2024 compared to 2023. In general, transaction costs relating to the formation of new joint ventures and the pursuit of other transactions are expensed as incurred.</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2"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$26.9 million for the six months ended June 30, 2024 compared to 2023, as detailed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40" w:type="dxa"/>
            <w:vAlign w:val="bottom"/>
            <w:gridSpan w:val="7"/>
          </w:tcPr>
          <w:p>
            <w:pPr>
              <w:jc w:val="center"/>
              <w:ind w:right="92"/>
              <w:spacing w:after="0"/>
              <w:rPr>
                <w:sz w:val="20"/>
                <w:szCs w:val="20"/>
                <w:color w:val="auto"/>
              </w:rPr>
            </w:pPr>
            <w:r>
              <w:rPr>
                <w:rFonts w:ascii="Arial" w:cs="Arial" w:eastAsia="Arial" w:hAnsi="Arial"/>
                <w:sz w:val="16"/>
                <w:szCs w:val="16"/>
                <w:b w:val="1"/>
                <w:bCs w:val="1"/>
                <w:color w:val="auto"/>
              </w:rPr>
              <w:t>Depreciation and Amortization for the six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27,828</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r>
      <w:tr>
        <w:trPr>
          <w:trHeight w:val="230"/>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411,311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40" w:hanging="329"/>
        <w:spacing w:after="0" w:line="258" w:lineRule="auto"/>
        <w:tabs>
          <w:tab w:leader="none" w:pos="5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six months ended June 30, 2023, the Kendall Center Blue Parking Garage was taken out of service and demolished to support the development of 290 Binney Street, an approximately 573,000 net rentable square foot laboratory/life sciences project in Cambridge, Massachusetts. As a result, during the six months ended June 30, 2023, we recorded approximately $0.8 million of accelerated depreciation expense for the demolition of the garage, of which approximately $0.2 million related to the step-up of real estate assets.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right="10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$27.1 million for the six months ended June 30, 2024 compared to 2023, as detailed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40" w:type="dxa"/>
            <w:vAlign w:val="bottom"/>
            <w:gridSpan w:val="7"/>
          </w:tcPr>
          <w:p>
            <w:pPr>
              <w:jc w:val="center"/>
              <w:ind w:right="92"/>
              <w:spacing w:after="0"/>
              <w:rPr>
                <w:sz w:val="20"/>
                <w:szCs w:val="20"/>
                <w:color w:val="auto"/>
              </w:rPr>
            </w:pPr>
            <w:r>
              <w:rPr>
                <w:rFonts w:ascii="Arial" w:cs="Arial" w:eastAsia="Arial" w:hAnsi="Arial"/>
                <w:sz w:val="16"/>
                <w:szCs w:val="16"/>
                <w:b w:val="1"/>
                <w:bCs w:val="1"/>
                <w:color w:val="auto"/>
              </w:rPr>
              <w:t>Depreciation and Amortization for the six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388,641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27,828</w:t>
            </w: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w:t>
            </w:r>
          </w:p>
        </w:tc>
      </w:tr>
      <w:tr>
        <w:trPr>
          <w:trHeight w:val="230"/>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30" w:lineRule="exact"/>
        <w:rPr>
          <w:sz w:val="20"/>
          <w:szCs w:val="20"/>
          <w:color w:val="auto"/>
        </w:rPr>
      </w:pPr>
    </w:p>
    <w:p>
      <w:pPr>
        <w:ind w:left="580" w:right="60" w:hanging="329"/>
        <w:spacing w:after="0" w:line="258" w:lineRule="auto"/>
        <w:tabs>
          <w:tab w:leader="none" w:pos="5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During the six months ended June 30, 2023, the Kendall Center Blue Parking Garage was taken out of service and demolished to support the development of 290 Binney Street, an approximately 573,000 net rentable square foot laboratory/life sciences project in Cambridge, Massachusetts. As a result, during the six months ended June 30, 2023, we recorded approximately $0.6 million of accelerated depreciation expense for the demolition of the garage.</w:t>
      </w:r>
    </w:p>
    <w:p>
      <w:pPr>
        <w:spacing w:after="0" w:line="216" w:lineRule="exact"/>
        <w:rPr>
          <w:sz w:val="20"/>
          <w:szCs w:val="20"/>
          <w:color w:val="auto"/>
        </w:rPr>
      </w:pPr>
    </w:p>
    <w:p>
      <w:pPr>
        <w:ind w:right="60" w:firstLine="202"/>
        <w:spacing w:after="0" w:line="294"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17"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(Loss) from Unconsolidated Joint Ventures</w:t>
      </w:r>
    </w:p>
    <w:p>
      <w:pPr>
        <w:spacing w:after="0" w:line="88" w:lineRule="exact"/>
        <w:rPr>
          <w:sz w:val="20"/>
          <w:szCs w:val="20"/>
          <w:color w:val="auto"/>
        </w:rPr>
      </w:pPr>
    </w:p>
    <w:p>
      <w:pPr>
        <w:ind w:firstLine="445"/>
        <w:spacing w:after="0" w:line="262" w:lineRule="auto"/>
        <w:rPr>
          <w:sz w:val="20"/>
          <w:szCs w:val="20"/>
          <w:color w:val="auto"/>
        </w:rPr>
      </w:pPr>
      <w:r>
        <w:rPr>
          <w:rFonts w:ascii="Arial" w:cs="Arial" w:eastAsia="Arial" w:hAnsi="Arial"/>
          <w:sz w:val="18"/>
          <w:szCs w:val="18"/>
          <w:color w:val="auto"/>
        </w:rPr>
        <w:t>For the six months ended June 30, 2024 compared to 2023, income (loss) from unconsolidated joint ventures increased by approximately $27.6 million primarily due to an approximately $21.8 million gain on consolidation related to the acquisition of our joint venture partner’s economic interest in the joint venture that owns 901 New York Avenue during the six months ended June 30, 2024 (See Note 5 to the Consolidated Financial Statements).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88" w:lineRule="exact"/>
        <w:rPr>
          <w:sz w:val="20"/>
          <w:szCs w:val="20"/>
          <w:color w:val="auto"/>
        </w:rPr>
      </w:pPr>
    </w:p>
    <w:p>
      <w:pPr>
        <w:ind w:right="240" w:firstLine="445"/>
        <w:spacing w:after="0" w:line="287" w:lineRule="auto"/>
        <w:rPr>
          <w:sz w:val="20"/>
          <w:szCs w:val="20"/>
          <w:color w:val="auto"/>
        </w:rPr>
      </w:pPr>
      <w:r>
        <w:rPr>
          <w:rFonts w:ascii="Arial" w:cs="Arial" w:eastAsia="Arial" w:hAnsi="Arial"/>
          <w:sz w:val="18"/>
          <w:szCs w:val="18"/>
          <w:color w:val="auto"/>
        </w:rPr>
        <w:t>Interest and other income (loss) decreased by approximately $3.0 million for the six months ended June 30, 2024 compared to 2023, due primarily to a decrease in interest income as a result of a decrease in our outstanding cash balances.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from Investments in Securities</w:t>
      </w:r>
    </w:p>
    <w:p>
      <w:pPr>
        <w:spacing w:after="0" w:line="1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Gains from investments in securities for the six months ended June 30, 2024 and 2023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from investments in securities. During the six months ended June 30, 2024 and 2023, we recognized gains of approximately $2.6 million and $3.2 million, respectively, on these investments. By comparison, our general and administrative expense decreased by approximately $2.6 million and $3.2 million during the six months ended June 30, 2024 and 2023, respectively, as a result of decreases in our liability under our deferred</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compensation plans that was associated with the performance of the specific investments selected by officers and former non-employee directors of BXP participating in the plans.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Unrealized Gain on Non-Real Estate Investment</w:t>
      </w:r>
    </w:p>
    <w:p>
      <w:pPr>
        <w:spacing w:after="0" w:line="102"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We invest in non-real estate investments, which are primarily environmentally-focused investment funds. As a result, during the six months ended June 30, 2024 and 2023, we recognized an unrealized gain of approximately $0.5 million and $0.4 million, respectively, due to the observable changes in the fair value of the investments.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Loss</w:t>
      </w:r>
    </w:p>
    <w:p>
      <w:pPr>
        <w:spacing w:after="0" w:line="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At March 31, 2024, we evaluated the expected hold period for a portion of our Shady Grove property, consisting of 2 Choke Cherry Road, 2094 Gaither Road and a land parcel, located in Rockville, Maryland. Based on a shorter-than-expected hold period, we reduced the carrying value of a portion of the property that we anticipate selling to a third party developer to its estimated fair value at March 31, 2024. As a result, each of BXP and BPLP recognized an impairment loss of approximately $13.6 million. Our estimated fair value was based on Level 3 inputs as defined in Accounting Standards Codification (“ASC”) 820 “Fair Value Measurements and Disclosures” and on a pending offer from a third party (see Notes 3 and 14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480" w:firstLine="445"/>
        <w:spacing w:after="0" w:line="287" w:lineRule="auto"/>
        <w:rPr>
          <w:sz w:val="20"/>
          <w:szCs w:val="20"/>
          <w:color w:val="auto"/>
        </w:rPr>
      </w:pPr>
      <w:r>
        <w:rPr>
          <w:rFonts w:ascii="Arial" w:cs="Arial" w:eastAsia="Arial" w:hAnsi="Arial"/>
          <w:sz w:val="18"/>
          <w:szCs w:val="18"/>
          <w:color w:val="auto"/>
        </w:rPr>
        <w:t>Interest expense increased by approximately $34.9 million for the six months ended June 30, 2024 compared to 2023, as detailed below.</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expense for the six months</w:t>
            </w:r>
          </w:p>
        </w:tc>
        <w:tc>
          <w:tcPr>
            <w:tcW w:w="0" w:type="dxa"/>
            <w:vAlign w:val="bottom"/>
          </w:tcPr>
          <w:p>
            <w:pPr>
              <w:spacing w:after="0"/>
              <w:rPr>
                <w:sz w:val="1"/>
                <w:szCs w:val="1"/>
                <w:color w:val="auto"/>
              </w:rPr>
            </w:pPr>
          </w:p>
        </w:tc>
      </w:tr>
      <w:tr>
        <w:trPr>
          <w:trHeight w:val="162"/>
        </w:trPr>
        <w:tc>
          <w:tcPr>
            <w:tcW w:w="9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w:t>
            </w: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ended June 30, 2024</w:t>
            </w:r>
          </w:p>
        </w:tc>
        <w:tc>
          <w:tcPr>
            <w:tcW w:w="0" w:type="dxa"/>
            <w:vAlign w:val="bottom"/>
          </w:tcPr>
          <w:p>
            <w:pPr>
              <w:spacing w:after="0"/>
              <w:rPr>
                <w:sz w:val="1"/>
                <w:szCs w:val="1"/>
                <w:color w:val="auto"/>
              </w:rPr>
            </w:pPr>
          </w:p>
        </w:tc>
      </w:tr>
      <w:tr>
        <w:trPr>
          <w:trHeight w:val="176"/>
        </w:trPr>
        <w:tc>
          <w:tcPr>
            <w:tcW w:w="9020" w:type="dxa"/>
            <w:vAlign w:val="bottom"/>
            <w:gridSpan w:val="2"/>
            <w:vMerge w:val="continue"/>
          </w:tcPr>
          <w:p>
            <w:pPr>
              <w:spacing w:after="0"/>
              <w:rPr>
                <w:sz w:val="15"/>
                <w:szCs w:val="15"/>
                <w:color w:val="auto"/>
              </w:rPr>
            </w:pPr>
          </w:p>
        </w:tc>
        <w:tc>
          <w:tcPr>
            <w:tcW w:w="2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compared to June 30, 2023</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jc w:val="right"/>
        <w:ind w:right="5800"/>
        <w:spacing w:after="0"/>
        <w:rPr>
          <w:sz w:val="20"/>
          <w:szCs w:val="20"/>
          <w:color w:val="auto"/>
        </w:rPr>
      </w:pPr>
      <w:r>
        <w:rPr>
          <w:rFonts w:ascii="Arial" w:cs="Arial" w:eastAsia="Arial" w:hAnsi="Arial"/>
          <w:sz w:val="18"/>
          <w:szCs w:val="18"/>
          <w:color w:val="auto"/>
        </w:rPr>
        <w:t>Increases to interest expense due to:</w:t>
      </w:r>
    </w:p>
    <w:p>
      <w:pPr>
        <w:spacing w:after="0" w:line="20" w:lineRule="exact"/>
        <w:rPr>
          <w:sz w:val="20"/>
          <w:szCs w:val="20"/>
          <w:color w:val="auto"/>
        </w:rPr>
      </w:pPr>
    </w:p>
    <w:p>
      <w:pPr>
        <w:jc w:val="right"/>
        <w:ind w:right="5740"/>
        <w:spacing w:after="0"/>
        <w:rPr>
          <w:sz w:val="20"/>
          <w:szCs w:val="20"/>
          <w:color w:val="auto"/>
        </w:rPr>
      </w:pPr>
      <w:r>
        <w:rPr>
          <w:rFonts w:ascii="Arial" w:cs="Arial" w:eastAsia="Arial" w:hAnsi="Arial"/>
          <w:sz w:val="18"/>
          <w:szCs w:val="18"/>
          <w:color w:val="auto"/>
        </w:rPr>
        <w:t>New mortgage loan financings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right="640"/>
        <w:spacing w:after="0" w:line="266" w:lineRule="auto"/>
        <w:rPr>
          <w:sz w:val="20"/>
          <w:szCs w:val="20"/>
          <w:color w:val="auto"/>
        </w:rPr>
      </w:pPr>
      <w:r>
        <w:rPr>
          <w:rFonts w:ascii="Arial" w:cs="Arial" w:eastAsia="Arial" w:hAnsi="Arial"/>
          <w:sz w:val="18"/>
          <w:szCs w:val="18"/>
          <w:color w:val="auto"/>
        </w:rPr>
        <w:t>Issuance of $750 million in aggregate principal of 6.500% senior notes due 2034 on May 15, 2023 Unsecured commercial paper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360" w:right="3360"/>
        <w:spacing w:after="0" w:line="266" w:lineRule="auto"/>
        <w:rPr>
          <w:sz w:val="20"/>
          <w:szCs w:val="20"/>
          <w:color w:val="auto"/>
        </w:rPr>
      </w:pPr>
      <w:r>
        <w:rPr>
          <w:rFonts w:ascii="Arial" w:cs="Arial" w:eastAsia="Arial" w:hAnsi="Arial"/>
          <w:sz w:val="18"/>
          <w:szCs w:val="18"/>
          <w:color w:val="auto"/>
        </w:rPr>
        <w:t>Decrease in capitalized interest related to development projects Amortization expense of financing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increases to interest expense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 to interest expense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Repayment of $500 million in aggregate principal of 3.125% senior notes due 2023 on September 1, 2023</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Repayment of $700 million in aggregate principal of 3.800% senior notes due 2024 on February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Decrease in interest due to finance leases</w:t>
      </w:r>
    </w:p>
    <w:p>
      <w:pPr>
        <w:spacing w:after="0" w:line="23" w:lineRule="exact"/>
        <w:rPr>
          <w:sz w:val="20"/>
          <w:szCs w:val="20"/>
          <w:color w:val="auto"/>
        </w:rPr>
      </w:pPr>
    </w:p>
    <w:p>
      <w:pPr>
        <w:ind w:left="360" w:right="860"/>
        <w:spacing w:after="0" w:line="266" w:lineRule="auto"/>
        <w:rPr>
          <w:sz w:val="20"/>
          <w:szCs w:val="20"/>
          <w:color w:val="auto"/>
        </w:rPr>
      </w:pPr>
      <w:r>
        <w:rPr>
          <w:rFonts w:ascii="Arial" w:cs="Arial" w:eastAsia="Arial" w:hAnsi="Arial"/>
          <w:sz w:val="18"/>
          <w:szCs w:val="18"/>
          <w:color w:val="auto"/>
        </w:rPr>
        <w:t>Decrease in interest associated with unsecured term loans and the unsecured credit facility, net Other interest expense (excluding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decrease to interest expense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change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37,029</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18,342</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5,050</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35"/>
        </w:trPr>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r>
      <w:tr>
        <w:trPr>
          <w:trHeight w:val="232"/>
        </w:trPr>
        <w:tc>
          <w:tcPr>
            <w:tcW w:w="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62,423</w:t>
            </w:r>
          </w:p>
        </w:tc>
      </w:tr>
      <w:tr>
        <w:trPr>
          <w:trHeight w:val="444"/>
        </w:trPr>
        <w:tc>
          <w:tcPr>
            <w:tcW w:w="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(11,180)</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(7,983)</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(2,419)</w:t>
            </w:r>
          </w:p>
        </w:tc>
      </w:tr>
      <w:tr>
        <w:trPr>
          <w:trHeight w:val="235"/>
        </w:trPr>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r>
      <w:tr>
        <w:trPr>
          <w:trHeight w:val="223"/>
        </w:trPr>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(27,570)</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34,853</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ectPr>
          <w:pgSz w:w="11900" w:h="16838" w:orient="portrait"/>
          <w:cols w:equalWidth="0" w:num="2">
            <w:col w:w="8780" w:space="260"/>
            <w:col w:w="2200"/>
          </w:cols>
          <w:pgMar w:left="320" w:top="283" w:right="339" w:bottom="1440" w:gutter="0" w:footer="0" w:header="0"/>
          <w:type w:val="continuous"/>
        </w:sectPr>
      </w:pPr>
    </w:p>
    <w:p>
      <w:pPr>
        <w:ind w:left="580" w:right="200" w:hanging="329"/>
        <w:spacing w:after="0" w:line="250" w:lineRule="auto"/>
        <w:tabs>
          <w:tab w:leader="none" w:pos="5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Consists of the mortgage loan and, if applicable, fair value debt and swap adjustments collateralized by (1) 325 Main Street, 355 Main Street, 90 Broadway and Cambridge East Garage (also known as Kendall Center Green Garage) properties located in Cambridge, Massachusetts, (2) Santa Monica Business Park located in Santa Monica, California and (3) 901 New York Avenue in Washington, DC (See Note 6 to the Consolidated Financial Statements).</w:t>
      </w:r>
    </w:p>
    <w:p>
      <w:pPr>
        <w:spacing w:after="0" w:line="2" w:lineRule="exact"/>
        <w:rPr>
          <w:rFonts w:ascii="Arial" w:cs="Arial" w:eastAsia="Arial" w:hAnsi="Arial"/>
          <w:sz w:val="16"/>
          <w:szCs w:val="16"/>
          <w:color w:val="auto"/>
        </w:rPr>
      </w:pPr>
    </w:p>
    <w:p>
      <w:pPr>
        <w:ind w:left="580" w:hanging="329"/>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April 17, 2024, BPLP established an unsecured commercial paper program (See Note 6 to the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six months ended June 30, 2024 and 2023 was approximately $19.7 million and $21.2 million, respectively. These costs are not included in the interest expense referenced above. The decrease in capitalized interest is primarily attributable to a development project that had a finance lease and is now placed in service.</w:t>
      </w:r>
    </w:p>
    <w:p>
      <w:pPr>
        <w:spacing w:after="0" w:line="12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At June 30, 2024, our variable rate debt consisted of (1) BPLP’s $2.0 billion 2021 Credit Facility, (2) BPLP’s $ 700.0 million 2023 Unsecured Term Loan and (3) BPLP’s $500.0 million unsecured commercial paper notes. As of June 30, 2024, the 2021 Credit Facility did not have a balance outstanding. In addition, we have $900.0 million of mortgage notes collateralized by Santa Monica Business Park and our 325 Main Street, 355 Main Street, 90 Broadway and Kendall Center Green Garage properties that bore interest at variable rates, which have all been hedged with interest rates swaps to fix SOFR for all or a portion of, the applicable debt term. For a summary of our consolidated debt as of June 30, 2024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102" w:lineRule="exact"/>
        <w:rPr>
          <w:sz w:val="20"/>
          <w:szCs w:val="20"/>
          <w:color w:val="auto"/>
        </w:rPr>
      </w:pPr>
    </w:p>
    <w:p>
      <w:pPr>
        <w:ind w:right="500" w:firstLine="445"/>
        <w:spacing w:after="0" w:line="287" w:lineRule="auto"/>
        <w:rPr>
          <w:sz w:val="20"/>
          <w:szCs w:val="20"/>
          <w:color w:val="auto"/>
        </w:rPr>
      </w:pPr>
      <w:r>
        <w:rPr>
          <w:rFonts w:ascii="Arial" w:cs="Arial" w:eastAsia="Arial" w:hAnsi="Arial"/>
          <w:sz w:val="18"/>
          <w:szCs w:val="18"/>
          <w:color w:val="auto"/>
        </w:rPr>
        <w:t>Noncontrolling interests in property partnerships decreased by approximately $3.4 million for the six months ended June 30, 2024 compared to 2023, as detailed below.</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gridSpan w:val="8"/>
          </w:tcPr>
          <w:p>
            <w:pPr>
              <w:jc w:val="center"/>
              <w:ind w:right="31"/>
              <w:spacing w:after="0"/>
              <w:rPr>
                <w:sz w:val="20"/>
                <w:szCs w:val="20"/>
                <w:color w:val="auto"/>
              </w:rPr>
            </w:pPr>
            <w:r>
              <w:rPr>
                <w:rFonts w:ascii="Arial" w:cs="Arial" w:eastAsia="Arial" w:hAnsi="Arial"/>
                <w:sz w:val="16"/>
                <w:szCs w:val="16"/>
                <w:b w:val="1"/>
                <w:bCs w:val="1"/>
                <w:color w:val="auto"/>
              </w:rPr>
              <w:t>Noncontrolling Interests in Property Partnerships for the six</w:t>
            </w:r>
          </w:p>
        </w:tc>
      </w:tr>
      <w:tr>
        <w:trPr>
          <w:trHeight w:val="216"/>
        </w:trPr>
        <w:tc>
          <w:tcPr>
            <w:tcW w:w="3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6"/>
                <w:szCs w:val="16"/>
                <w:b w:val="1"/>
                <w:bCs w:val="1"/>
                <w:color w:val="auto"/>
              </w:rPr>
              <w:t>months ended June 30,</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37"/>
        </w:trPr>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Property</w:t>
            </w:r>
          </w:p>
        </w:tc>
        <w:tc>
          <w:tcPr>
            <w:tcW w:w="100" w:type="dxa"/>
            <w:vAlign w:val="bottom"/>
          </w:tcPr>
          <w:p>
            <w:pPr>
              <w:spacing w:after="0"/>
              <w:rPr>
                <w:sz w:val="20"/>
                <w:szCs w:val="20"/>
                <w:color w:val="auto"/>
              </w:rPr>
            </w:pPr>
          </w:p>
        </w:tc>
        <w:tc>
          <w:tcPr>
            <w:tcW w:w="1400" w:type="dxa"/>
            <w:vAlign w:val="bottom"/>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209"/>
        </w:trPr>
        <w:tc>
          <w:tcPr>
            <w:tcW w:w="340" w:type="dxa"/>
            <w:vAlign w:val="bottom"/>
            <w:tcBorders>
              <w:top w:val="single" w:sz="8" w:color="auto"/>
            </w:tcBorders>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jc w:val="center"/>
              <w:ind w:right="36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767</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600" w:type="dxa"/>
            <w:vAlign w:val="bottom"/>
            <w:gridSpan w:val="3"/>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6320" w:type="dxa"/>
            <w:vAlign w:val="bottom"/>
            <w:gridSpan w:val="3"/>
          </w:tcPr>
          <w:p>
            <w:pPr>
              <w:spacing w:after="0"/>
              <w:rPr>
                <w:sz w:val="20"/>
                <w:szCs w:val="20"/>
                <w:color w:val="auto"/>
              </w:rPr>
            </w:pPr>
            <w:r>
              <w:rPr>
                <w:rFonts w:ascii="Arial" w:cs="Arial" w:eastAsia="Arial" w:hAnsi="Arial"/>
                <w:sz w:val="18"/>
                <w:szCs w:val="18"/>
                <w:color w:val="auto"/>
              </w:rPr>
              <w:t>Times Square Tower</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10,325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601</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100</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6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Atlantic Wharf Office Building</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343</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Madison Avenue (2)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Binney Street (3)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290</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Binney Street (3)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57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decrease was primarily attributable to depreciation and amortization expense related to new and expiring clients.</w:t>
      </w:r>
    </w:p>
    <w:p>
      <w:pPr>
        <w:spacing w:after="0" w:line="5" w:lineRule="exact"/>
        <w:rPr>
          <w:rFonts w:ascii="Arial" w:cs="Arial" w:eastAsia="Arial" w:hAnsi="Arial"/>
          <w:sz w:val="16"/>
          <w:szCs w:val="16"/>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Property is held for future development.</w:t>
      </w:r>
    </w:p>
    <w:p>
      <w:pPr>
        <w:spacing w:after="0" w:line="5" w:lineRule="exact"/>
        <w:rPr>
          <w:rFonts w:ascii="Arial" w:cs="Arial" w:eastAsia="Arial" w:hAnsi="Arial"/>
          <w:sz w:val="16"/>
          <w:szCs w:val="16"/>
          <w:color w:val="auto"/>
        </w:rPr>
      </w:pPr>
    </w:p>
    <w:p>
      <w:pPr>
        <w:ind w:left="580" w:hanging="329"/>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Property is currently under redevelopment or in development.</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102"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For BXP, noncontrolling interest—common units of the Operating Partnership decreased by approximately $2.2 million for the six months ended June 30, 2024 compared to 2023 due primarily to a decrease in allocable income. Due to our ownership structure, there is no corresponding line item on BPLP’s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2024 and 2023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income attributable to BXP, Inc. and net income attributable to Boston Properties Limited Partnership decreased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$24.7 million and $27.3 million, respectively, for the three months ended June 30, 2024 compared to 2023, as detailed in the following tables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for the reasons discussed below under the heading “</w:t>
      </w:r>
      <w:r>
        <w:rPr>
          <w:rFonts w:ascii="Arial" w:cs="Arial" w:eastAsia="Arial" w:hAnsi="Arial"/>
          <w:sz w:val="18"/>
          <w:szCs w:val="18"/>
          <w:i w:val="1"/>
          <w:iCs w:val="1"/>
          <w:color w:val="auto"/>
        </w:rPr>
        <w:t>Comparison of the three months ended June 30, 2024 to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30, 2023” within “Item 2—Management’s Discussion and Analysis of Financial Condition and Results of Operations.</w:t>
      </w:r>
      <w:r>
        <w:rPr>
          <w:rFonts w:ascii="Arial" w:cs="Arial" w:eastAsia="Arial" w:hAnsi="Arial"/>
          <w:sz w:val="18"/>
          <w:szCs w:val="18"/>
          <w:color w:val="auto"/>
        </w:rPr>
        <w:t>”</w:t>
      </w:r>
    </w:p>
    <w:p>
      <w:pPr>
        <w:spacing w:after="0" w:line="153" w:lineRule="exact"/>
        <w:rPr>
          <w:sz w:val="20"/>
          <w:szCs w:val="20"/>
          <w:color w:val="auto"/>
        </w:rPr>
      </w:pPr>
    </w:p>
    <w:p>
      <w:pPr>
        <w:ind w:right="20" w:firstLine="445"/>
        <w:spacing w:after="0" w:line="268" w:lineRule="auto"/>
        <w:rPr>
          <w:sz w:val="20"/>
          <w:szCs w:val="20"/>
          <w:color w:val="auto"/>
        </w:rPr>
      </w:pPr>
      <w:r>
        <w:rPr>
          <w:rFonts w:ascii="Arial" w:cs="Arial" w:eastAsia="Arial" w:hAnsi="Arial"/>
          <w:sz w:val="18"/>
          <w:szCs w:val="18"/>
          <w:color w:val="auto"/>
        </w:rPr>
        <w:t>The following are reconciliations of Net Income Attributable to BXP, Inc. to Net Operating Income and Net Income Attributable to Boston Properties Limited Partnership to Net Operating Income for the three months ended June 30, 2024 and 2023. For a detailed discussion of NOI, including the reasons management believes NOI is useful to investors, see page 68.</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Increase/</w:t>
            </w:r>
          </w:p>
        </w:tc>
        <w:tc>
          <w:tcPr>
            <w:tcW w:w="1400" w:type="dxa"/>
            <w:vAlign w:val="bottom"/>
          </w:tcPr>
          <w:p>
            <w:pPr>
              <w:jc w:val="right"/>
              <w:ind w:right="53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(Decrease)</w:t>
            </w:r>
          </w:p>
        </w:tc>
        <w:tc>
          <w:tcPr>
            <w:tcW w:w="14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BXP,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(29,235)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142,473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7,169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5.03 %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(53.23)%</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Gains from investments in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(79.95)%</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(6,555)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(37.80)%</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contracts</w:t>
            </w: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508,717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rPr>
              <w:t>Three months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Increase/</w:t>
            </w:r>
          </w:p>
        </w:tc>
        <w:tc>
          <w:tcPr>
            <w:tcW w:w="1360" w:type="dxa"/>
            <w:vAlign w:val="bottom"/>
          </w:tcPr>
          <w:p>
            <w:pPr>
              <w:jc w:val="right"/>
              <w:ind w:right="51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(Decrease)</w:t>
            </w: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9"/>
              </w:rPr>
              <w:t>(in thousands)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108,652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137,866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(29,214)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5.03 %</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Gains from investments in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(79.95)%</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217,839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16,944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8.43 %</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0" w:type="dxa"/>
            <w:vAlign w:val="bottom"/>
          </w:tcPr>
          <w:p>
            <w:pPr>
              <w:spacing w:after="0"/>
              <w:rPr>
                <w:sz w:val="1"/>
                <w:szCs w:val="1"/>
                <w:color w:val="auto"/>
              </w:rPr>
            </w:pPr>
          </w:p>
        </w:tc>
      </w:tr>
      <w:tr>
        <w:trPr>
          <w:trHeight w:val="215"/>
        </w:trPr>
        <w:tc>
          <w:tcPr>
            <w:tcW w:w="6100" w:type="dxa"/>
            <w:vAlign w:val="bottom"/>
          </w:tcPr>
          <w:p>
            <w:pPr>
              <w:ind w:left="36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00" w:type="dxa"/>
            <w:vAlign w:val="bottom"/>
          </w:tcPr>
          <w:p>
            <w:pPr>
              <w:ind w:left="360"/>
              <w:spacing w:after="0" w:line="162"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4,148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5"/>
        </w:trPr>
        <w:tc>
          <w:tcPr>
            <w:tcW w:w="6100" w:type="dxa"/>
            <w:vAlign w:val="bottom"/>
          </w:tcPr>
          <w:p>
            <w:pPr>
              <w:ind w:left="52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(3,506)</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508,717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503,489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5,228</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At June 30, 2024 and 2023, we owned or had joint venture interests in a portfolio of 186 and 191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months ended June 30, 2024 and 2023 show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spacing w:after="0" w:line="129"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In our analysis of operating results, particularly to make comparisons of net operating income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spacing w:after="0" w:line="12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NOI is a non-GAAP financial measure equal to net income attributable to BXP, Inc. and net income attributable to Boston Properties Limited Partnership, as applicable, the most directly comparable GAAP financial measures, plus (1) net income attributable to noncontrolling interests, interest expense, loss from unconsolidated joint ventures, depreciation and amortization expense, transaction costs, payroll and related costs from management services contracts and corporate general and administrative expense less (2) unrealized gain on non-real estate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investment, gains from investments in securities, interest and other income (loss),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BXP,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28"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BXP, Inc. and net income attributable to Boston Properties Limited Partnership as presented in our Consolidated Financial Statements. NOI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2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when those properties are sold. For additional information see the Explanatory Note that follows the cover page of this Quarterly Report on Form 10-Q.</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Comparison of the three months ended June 30, 2024 to the three months ended June 30, 2023</w:t>
      </w:r>
    </w:p>
    <w:p>
      <w:pPr>
        <w:spacing w:after="0" w:line="8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129 properties totaling approximately 40.7 million net rentable square feet, excluding unconsolidated joint ventures. The Same Property Portfolio includes properties acquired or placed in-service on or prior to April 1, 2023 and owned and in-service through June 30, 2024. The Total Property Portfolio includes the effects of the other properties either acquired, placed in-service, in or held for development or redevelopment after April 1, 2023 or disposed of on or prior to June 30, 2024. This table includes a reconciliation from the Same Property Portfolio to the Total Property Portfolio by also providing information for the three months ended June 30, 2024 and 2023 with respect to the properties that were acquired, placed in-service, in or held for development or redevelopment or sold. We did not sell any properties during the three months ended June 30, 2024 and 2023.</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5"/>
              </w:rPr>
              <w:t>Properties in or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5"/>
            <w:vMerge w:val="restart"/>
          </w:tcPr>
          <w:p>
            <w:pPr>
              <w:jc w:val="center"/>
              <w:ind w:right="180"/>
              <w:spacing w:after="0"/>
              <w:rPr>
                <w:sz w:val="20"/>
                <w:szCs w:val="20"/>
                <w:color w:val="auto"/>
              </w:rPr>
            </w:pPr>
            <w:r>
              <w:rPr>
                <w:rFonts w:ascii="Arial" w:cs="Arial" w:eastAsia="Arial" w:hAnsi="Arial"/>
                <w:sz w:val="13"/>
                <w:szCs w:val="13"/>
                <w:b w:val="1"/>
                <w:bCs w:val="1"/>
                <w:color w:val="auto"/>
                <w:w w:val="96"/>
              </w:rPr>
              <w:t>Properties</w:t>
            </w:r>
          </w:p>
        </w:tc>
        <w:tc>
          <w:tcPr>
            <w:tcW w:w="120" w:type="dxa"/>
            <w:vAlign w:val="bottom"/>
          </w:tcPr>
          <w:p>
            <w:pPr>
              <w:spacing w:after="0"/>
              <w:rPr>
                <w:sz w:val="10"/>
                <w:szCs w:val="10"/>
                <w:color w:val="auto"/>
              </w:rPr>
            </w:pPr>
          </w:p>
        </w:tc>
        <w:tc>
          <w:tcPr>
            <w:tcW w:w="120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Held for</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Properties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Development or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gridSpan w:val="6"/>
            <w:vMerge w:val="restart"/>
          </w:tcPr>
          <w:p>
            <w:pPr>
              <w:ind w:left="60"/>
              <w:spacing w:after="0"/>
              <w:rPr>
                <w:sz w:val="20"/>
                <w:szCs w:val="20"/>
                <w:color w:val="auto"/>
              </w:rPr>
            </w:pPr>
            <w:r>
              <w:rPr>
                <w:rFonts w:ascii="Arial" w:cs="Arial" w:eastAsia="Arial" w:hAnsi="Arial"/>
                <w:sz w:val="13"/>
                <w:szCs w:val="13"/>
                <w:b w:val="1"/>
                <w:bCs w:val="1"/>
                <w:color w:val="auto"/>
              </w:rPr>
              <w:t>Same Property Portfolio</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Placed In-Service</w:t>
            </w:r>
          </w:p>
        </w:tc>
        <w:tc>
          <w:tcPr>
            <w:tcW w:w="120" w:type="dxa"/>
            <w:vAlign w:val="bottom"/>
          </w:tcPr>
          <w:p>
            <w:pPr>
              <w:spacing w:after="0"/>
              <w:rPr>
                <w:sz w:val="10"/>
                <w:szCs w:val="10"/>
                <w:color w:val="auto"/>
              </w:rPr>
            </w:pPr>
          </w:p>
        </w:tc>
        <w:tc>
          <w:tcPr>
            <w:tcW w:w="1200" w:type="dxa"/>
            <w:vAlign w:val="bottom"/>
            <w:gridSpan w:val="5"/>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Redevelopment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9"/>
              </w:rPr>
              <w:t>Total Property Portfolio</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80" w:type="dxa"/>
            <w:vAlign w:val="bottom"/>
            <w:gridSpan w:val="6"/>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5"/>
          </w:tcPr>
          <w:p>
            <w:pPr>
              <w:jc w:val="right"/>
              <w:spacing w:after="0"/>
              <w:rPr>
                <w:sz w:val="20"/>
                <w:szCs w:val="20"/>
                <w:color w:val="auto"/>
              </w:rPr>
            </w:pPr>
            <w:r>
              <w:rPr>
                <w:rFonts w:ascii="Arial" w:cs="Arial" w:eastAsia="Arial" w:hAnsi="Arial"/>
                <w:sz w:val="13"/>
                <w:szCs w:val="13"/>
                <w:b w:val="1"/>
                <w:bCs w:val="1"/>
                <w:color w:val="auto"/>
              </w:rPr>
              <w:t>Acquired Portfolio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Portfolio</w:t>
            </w:r>
          </w:p>
        </w:tc>
        <w:tc>
          <w:tcPr>
            <w:tcW w:w="120" w:type="dxa"/>
            <w:vAlign w:val="bottom"/>
          </w:tcPr>
          <w:p>
            <w:pPr>
              <w:spacing w:after="0"/>
              <w:rPr>
                <w:sz w:val="16"/>
                <w:szCs w:val="16"/>
                <w:color w:val="auto"/>
              </w:rPr>
            </w:pPr>
          </w:p>
        </w:tc>
        <w:tc>
          <w:tcPr>
            <w:tcW w:w="12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Portfolio</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2024</w:t>
            </w:r>
          </w:p>
        </w:tc>
        <w:tc>
          <w:tcPr>
            <w:tcW w:w="720" w:type="dxa"/>
            <w:vAlign w:val="bottom"/>
            <w:tcBorders>
              <w:top w:val="single" w:sz="8" w:color="auto"/>
            </w:tcBorders>
            <w:gridSpan w:val="2"/>
            <w:vMerge w:val="restart"/>
          </w:tcPr>
          <w:p>
            <w:pPr>
              <w:jc w:val="right"/>
              <w:ind w:right="11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2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w w:val="96"/>
              </w:rPr>
              <w:t>2023</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w w:val="96"/>
              </w:rPr>
              <w:t>2024</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w w:val="96"/>
              </w:rPr>
              <w:t>2023</w:t>
            </w:r>
          </w:p>
        </w:tc>
        <w:tc>
          <w:tcPr>
            <w:tcW w:w="8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60" w:type="dxa"/>
            <w:vAlign w:val="bottom"/>
            <w:tcBorders>
              <w:top w:val="single" w:sz="8" w:color="auto"/>
            </w:tcBorders>
          </w:tcPr>
          <w:p>
            <w:pPr>
              <w:jc w:val="right"/>
              <w:ind w:right="217"/>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15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(Decrease)</w:t>
            </w: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(Decrease)</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7"/>
          </w:tcPr>
          <w:p>
            <w:pPr>
              <w:ind w:left="80"/>
              <w:spacing w:after="0"/>
              <w:rPr>
                <w:sz w:val="20"/>
                <w:szCs w:val="20"/>
                <w:color w:val="auto"/>
              </w:rPr>
            </w:pPr>
            <w:r>
              <w:rPr>
                <w:rFonts w:ascii="Arial" w:cs="Arial" w:eastAsia="Arial" w:hAnsi="Arial"/>
                <w:sz w:val="13"/>
                <w:szCs w:val="13"/>
                <w:b w:val="1"/>
                <w:bCs w:val="1"/>
                <w:color w:val="auto"/>
                <w:w w:val="97"/>
              </w:rPr>
              <w:t>(dollars in thousands)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Rental Revenue: (1)</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00" w:type="dxa"/>
            <w:vAlign w:val="bottom"/>
          </w:tcPr>
          <w:p>
            <w:pPr>
              <w:ind w:left="180"/>
              <w:spacing w:after="0" w:line="122" w:lineRule="exact"/>
              <w:rPr>
                <w:sz w:val="20"/>
                <w:szCs w:val="20"/>
                <w:color w:val="auto"/>
              </w:rPr>
            </w:pPr>
            <w:r>
              <w:rPr>
                <w:rFonts w:ascii="Arial" w:cs="Arial" w:eastAsia="Arial" w:hAnsi="Arial"/>
                <w:sz w:val="13"/>
                <w:szCs w:val="13"/>
                <w:color w:val="auto"/>
              </w:rPr>
              <w:t>Lease Revenue</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360"/>
              <w:spacing w:after="0" w:line="122" w:lineRule="exact"/>
              <w:rPr>
                <w:sz w:val="20"/>
                <w:szCs w:val="20"/>
                <w:color w:val="auto"/>
              </w:rPr>
            </w:pPr>
            <w:r>
              <w:rPr>
                <w:rFonts w:ascii="Arial" w:cs="Arial" w:eastAsia="Arial" w:hAnsi="Arial"/>
                <w:sz w:val="13"/>
                <w:szCs w:val="13"/>
                <w:color w:val="auto"/>
              </w:rPr>
              <w:t>(Excluding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00" w:type="dxa"/>
            <w:vAlign w:val="bottom"/>
          </w:tcPr>
          <w:p>
            <w:pPr>
              <w:ind w:left="360"/>
              <w:spacing w:after="0" w:line="131" w:lineRule="exact"/>
              <w:rPr>
                <w:sz w:val="20"/>
                <w:szCs w:val="20"/>
                <w:color w:val="auto"/>
              </w:rPr>
            </w:pPr>
            <w:r>
              <w:rPr>
                <w:rFonts w:ascii="Arial" w:cs="Arial" w:eastAsia="Arial" w:hAnsi="Arial"/>
                <w:sz w:val="13"/>
                <w:szCs w:val="13"/>
                <w:color w:val="auto"/>
              </w:rPr>
              <w:t>Termination</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00" w:type="dxa"/>
            <w:vAlign w:val="bottom"/>
          </w:tcPr>
          <w:p>
            <w:pPr>
              <w:ind w:left="360"/>
              <w:spacing w:after="0"/>
              <w:rPr>
                <w:sz w:val="20"/>
                <w:szCs w:val="20"/>
                <w:color w:val="auto"/>
              </w:rPr>
            </w:pPr>
            <w:r>
              <w:rPr>
                <w:rFonts w:ascii="Arial" w:cs="Arial" w:eastAsia="Arial" w:hAnsi="Arial"/>
                <w:sz w:val="13"/>
                <w:szCs w:val="13"/>
                <w:color w:val="auto"/>
              </w:rPr>
              <w:t>Income)</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$ 735,479</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$ 743,950</w:t>
            </w: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(8,471)</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25,001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16,724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5,029</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1,449</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$ 777,780</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$ 750,428</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27,352</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3.64 %</w:t>
            </w:r>
          </w:p>
        </w:tc>
        <w:tc>
          <w:tcPr>
            <w:tcW w:w="0" w:type="dxa"/>
            <w:vAlign w:val="bottom"/>
          </w:tcPr>
          <w:p>
            <w:pPr>
              <w:spacing w:after="0"/>
              <w:rPr>
                <w:sz w:val="1"/>
                <w:szCs w:val="1"/>
                <w:color w:val="auto"/>
              </w:rPr>
            </w:pPr>
          </w:p>
        </w:tc>
      </w:tr>
      <w:tr>
        <w:trPr>
          <w:trHeight w:val="182"/>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Termination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612.80 %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612.80 %</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3"/>
                <w:szCs w:val="13"/>
                <w:color w:val="auto"/>
              </w:rPr>
              <w:t>Lease Revenue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736,320</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743,786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(7,466)</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25,001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16,724</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5,029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1,449</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778,621</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750,264</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28,357</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3.78 %</w:t>
            </w: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rPr>
              <w:t>Parking and Other</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25,789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6,150</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34,323</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31.00 %</w:t>
            </w:r>
          </w:p>
        </w:tc>
        <w:tc>
          <w:tcPr>
            <w:tcW w:w="0" w:type="dxa"/>
            <w:vAlign w:val="bottom"/>
          </w:tcPr>
          <w:p>
            <w:pPr>
              <w:spacing w:after="0"/>
              <w:rPr>
                <w:sz w:val="1"/>
                <w:szCs w:val="1"/>
                <w:color w:val="auto"/>
              </w:rPr>
            </w:pPr>
          </w:p>
        </w:tc>
      </w:tr>
      <w:tr>
        <w:trPr>
          <w:trHeight w:val="164"/>
        </w:trPr>
        <w:tc>
          <w:tcPr>
            <w:tcW w:w="1500" w:type="dxa"/>
            <w:vAlign w:val="bottom"/>
          </w:tcPr>
          <w:p>
            <w:pPr>
              <w:ind w:left="20"/>
              <w:spacing w:after="0" w:line="146" w:lineRule="exact"/>
              <w:rPr>
                <w:sz w:val="20"/>
                <w:szCs w:val="20"/>
                <w:color w:val="auto"/>
              </w:rPr>
            </w:pPr>
            <w:r>
              <w:rPr>
                <w:rFonts w:ascii="Arial" w:cs="Arial" w:eastAsia="Arial" w:hAnsi="Arial"/>
                <w:sz w:val="13"/>
                <w:szCs w:val="13"/>
                <w:color w:val="auto"/>
              </w:rPr>
              <w:t>Total Rental Revenue (1)</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768,259</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769,575</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(1,316)</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26,904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17,175</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5,440</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606</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1,449</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812,944</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776,464</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36,480</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4.70 %</w:t>
            </w:r>
          </w:p>
        </w:tc>
        <w:tc>
          <w:tcPr>
            <w:tcW w:w="0" w:type="dxa"/>
            <w:vAlign w:val="bottom"/>
          </w:tcPr>
          <w:p>
            <w:pPr>
              <w:spacing w:after="0"/>
              <w:rPr>
                <w:sz w:val="1"/>
                <w:szCs w:val="1"/>
                <w:color w:val="auto"/>
              </w:rPr>
            </w:pPr>
          </w:p>
        </w:tc>
      </w:tr>
      <w:tr>
        <w:trPr>
          <w:trHeight w:val="126"/>
        </w:trPr>
        <w:tc>
          <w:tcPr>
            <w:tcW w:w="15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Real Estate Operating</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299,366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281,527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315,687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285,253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30,434</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10.67 %</w:t>
            </w:r>
          </w:p>
        </w:tc>
        <w:tc>
          <w:tcPr>
            <w:tcW w:w="0" w:type="dxa"/>
            <w:vAlign w:val="bottom"/>
          </w:tcPr>
          <w:p>
            <w:pPr>
              <w:spacing w:after="0"/>
              <w:rPr>
                <w:sz w:val="1"/>
                <w:szCs w:val="1"/>
                <w:color w:val="auto"/>
              </w:rPr>
            </w:pPr>
          </w:p>
        </w:tc>
      </w:tr>
      <w:tr>
        <w:trPr>
          <w:trHeight w:val="102"/>
        </w:trPr>
        <w:tc>
          <w:tcPr>
            <w:tcW w:w="1500" w:type="dxa"/>
            <w:vAlign w:val="bottom"/>
          </w:tcPr>
          <w:p>
            <w:pPr>
              <w:ind w:left="20"/>
              <w:spacing w:after="0" w:line="102" w:lineRule="exact"/>
              <w:rPr>
                <w:sz w:val="20"/>
                <w:szCs w:val="20"/>
                <w:color w:val="auto"/>
              </w:rPr>
            </w:pPr>
            <w:r>
              <w:rPr>
                <w:rFonts w:ascii="Arial" w:cs="Arial" w:eastAsia="Arial" w:hAnsi="Arial"/>
                <w:sz w:val="10"/>
                <w:szCs w:val="10"/>
                <w:color w:val="auto"/>
              </w:rPr>
              <w:t>Net Operating Income</w:t>
            </w: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500" w:type="dxa"/>
            <w:vAlign w:val="bottom"/>
          </w:tcPr>
          <w:p>
            <w:pPr>
              <w:ind w:left="180"/>
              <w:spacing w:after="0" w:line="122" w:lineRule="exact"/>
              <w:rPr>
                <w:sz w:val="20"/>
                <w:szCs w:val="20"/>
                <w:color w:val="auto"/>
              </w:rPr>
            </w:pPr>
            <w:r>
              <w:rPr>
                <w:rFonts w:ascii="Arial" w:cs="Arial" w:eastAsia="Arial" w:hAnsi="Arial"/>
                <w:sz w:val="13"/>
                <w:szCs w:val="13"/>
                <w:color w:val="auto"/>
              </w:rPr>
              <w:t>(Loss), Excluding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00" w:type="dxa"/>
            <w:vAlign w:val="bottom"/>
          </w:tcPr>
          <w:p>
            <w:pPr>
              <w:ind w:left="180"/>
              <w:spacing w:after="0"/>
              <w:rPr>
                <w:sz w:val="20"/>
                <w:szCs w:val="20"/>
                <w:color w:val="auto"/>
              </w:rPr>
            </w:pPr>
            <w:r>
              <w:rPr>
                <w:rFonts w:ascii="Arial" w:cs="Arial" w:eastAsia="Arial" w:hAnsi="Arial"/>
                <w:sz w:val="13"/>
                <w:szCs w:val="13"/>
                <w:color w:val="auto"/>
              </w:rPr>
              <w:t>Residential and Hotel</w:t>
            </w:r>
          </w:p>
        </w:tc>
        <w:tc>
          <w:tcPr>
            <w:tcW w:w="640" w:type="dxa"/>
            <w:vAlign w:val="bottom"/>
          </w:tcPr>
          <w:p>
            <w:pPr>
              <w:jc w:val="right"/>
              <w:spacing w:after="0"/>
              <w:rPr>
                <w:sz w:val="20"/>
                <w:szCs w:val="20"/>
                <w:color w:val="auto"/>
              </w:rPr>
            </w:pPr>
            <w:r>
              <w:rPr>
                <w:rFonts w:ascii="Arial" w:cs="Arial" w:eastAsia="Arial" w:hAnsi="Arial"/>
                <w:sz w:val="13"/>
                <w:szCs w:val="13"/>
                <w:color w:val="auto"/>
              </w:rPr>
              <w:t>468,893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488,048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(19,155)</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17,029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11,948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497,257</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491,211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6,046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1.23 %</w:t>
            </w:r>
          </w:p>
        </w:tc>
        <w:tc>
          <w:tcPr>
            <w:tcW w:w="0" w:type="dxa"/>
            <w:vAlign w:val="bottom"/>
          </w:tcPr>
          <w:p>
            <w:pPr>
              <w:spacing w:after="0"/>
              <w:rPr>
                <w:sz w:val="1"/>
                <w:szCs w:val="1"/>
                <w:color w:val="auto"/>
              </w:rPr>
            </w:pPr>
          </w:p>
        </w:tc>
      </w:tr>
      <w:tr>
        <w:trPr>
          <w:trHeight w:val="128"/>
        </w:trPr>
        <w:tc>
          <w:tcPr>
            <w:tcW w:w="15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8"/>
              </w:rPr>
              <w:t>Residential Net Operating</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6,470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6,487</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0.26 %</w:t>
            </w:r>
          </w:p>
        </w:tc>
        <w:tc>
          <w:tcPr>
            <w:tcW w:w="0" w:type="dxa"/>
            <w:vAlign w:val="bottom"/>
          </w:tcPr>
          <w:p>
            <w:pPr>
              <w:spacing w:after="0"/>
              <w:rPr>
                <w:sz w:val="1"/>
                <w:szCs w:val="1"/>
                <w:color w:val="auto"/>
              </w:rPr>
            </w:pPr>
          </w:p>
        </w:tc>
      </w:tr>
      <w:tr>
        <w:trPr>
          <w:trHeight w:val="122"/>
        </w:trPr>
        <w:tc>
          <w:tcPr>
            <w:tcW w:w="1500" w:type="dxa"/>
            <w:vAlign w:val="bottom"/>
          </w:tcPr>
          <w:p>
            <w:pPr>
              <w:ind w:left="20"/>
              <w:spacing w:after="0" w:line="122" w:lineRule="exact"/>
              <w:rPr>
                <w:sz w:val="20"/>
                <w:szCs w:val="20"/>
                <w:color w:val="auto"/>
              </w:rPr>
            </w:pPr>
            <w:r>
              <w:rPr>
                <w:rFonts w:ascii="Arial" w:cs="Arial" w:eastAsia="Arial" w:hAnsi="Arial"/>
                <w:sz w:val="13"/>
                <w:szCs w:val="13"/>
                <w:color w:val="auto"/>
              </w:rPr>
              <w:t>Hotel Net Operating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00" w:type="dxa"/>
            <w:vAlign w:val="bottom"/>
          </w:tcPr>
          <w:p>
            <w:pPr>
              <w:ind w:left="180"/>
              <w:spacing w:after="0"/>
              <w:rPr>
                <w:sz w:val="20"/>
                <w:szCs w:val="20"/>
                <w:color w:val="auto"/>
              </w:rPr>
            </w:pPr>
            <w:r>
              <w:rPr>
                <w:rFonts w:ascii="Arial" w:cs="Arial" w:eastAsia="Arial" w:hAnsi="Arial"/>
                <w:sz w:val="13"/>
                <w:szCs w:val="13"/>
                <w:color w:val="auto"/>
              </w:rPr>
              <w:t>Income (2)</w:t>
            </w:r>
          </w:p>
        </w:tc>
        <w:tc>
          <w:tcPr>
            <w:tcW w:w="640" w:type="dxa"/>
            <w:vAlign w:val="bottom"/>
          </w:tcPr>
          <w:p>
            <w:pPr>
              <w:jc w:val="right"/>
              <w:spacing w:after="0"/>
              <w:rPr>
                <w:sz w:val="20"/>
                <w:szCs w:val="20"/>
                <w:color w:val="auto"/>
              </w:rPr>
            </w:pPr>
            <w:r>
              <w:rPr>
                <w:rFonts w:ascii="Arial" w:cs="Arial" w:eastAsia="Arial" w:hAnsi="Arial"/>
                <w:sz w:val="13"/>
                <w:szCs w:val="13"/>
                <w:color w:val="auto"/>
              </w:rPr>
              <w:t>4,973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5,808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(835)</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4,973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(835)</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(14.38)%</w:t>
            </w:r>
          </w:p>
        </w:tc>
        <w:tc>
          <w:tcPr>
            <w:tcW w:w="0" w:type="dxa"/>
            <w:vAlign w:val="bottom"/>
          </w:tcPr>
          <w:p>
            <w:pPr>
              <w:spacing w:after="0"/>
              <w:rPr>
                <w:sz w:val="1"/>
                <w:szCs w:val="1"/>
                <w:color w:val="auto"/>
              </w:rPr>
            </w:pPr>
          </w:p>
        </w:tc>
      </w:tr>
      <w:tr>
        <w:trPr>
          <w:trHeight w:val="108"/>
        </w:trPr>
        <w:tc>
          <w:tcPr>
            <w:tcW w:w="150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Operating Income</w:t>
            </w: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5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$ 480,353</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$ 500,326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(19,973)</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17,029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11,948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$ 508,717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$ 503,489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5,228</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2" w:lineRule="exact"/>
        <w:rPr>
          <w:sz w:val="20"/>
          <w:szCs w:val="20"/>
          <w:color w:val="auto"/>
        </w:rPr>
      </w:pPr>
    </w:p>
    <w:p>
      <w:pPr>
        <w:ind w:left="660" w:right="100" w:hanging="328"/>
        <w:spacing w:after="0" w:line="263" w:lineRule="auto"/>
        <w:tabs>
          <w:tab w:leader="none" w:pos="647"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59" w:lineRule="exact"/>
        <w:rPr>
          <w:rFonts w:ascii="Arial" w:cs="Arial" w:eastAsia="Arial" w:hAnsi="Arial"/>
          <w:sz w:val="14"/>
          <w:szCs w:val="14"/>
          <w:color w:val="auto"/>
        </w:rPr>
      </w:pPr>
    </w:p>
    <w:p>
      <w:pPr>
        <w:ind w:left="660" w:right="100" w:hanging="328"/>
        <w:spacing w:after="0" w:line="269" w:lineRule="auto"/>
        <w:tabs>
          <w:tab w:leader="none" w:pos="647"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68. Residential Net Operating Income for the three months ended June 30, 2024 and 2023 is comprised of Residential Revenue of $12,226 and $12,253 less Residential Expenses of $5,739 and $5,783, respectively. Hotel Net Operating Income for the three months ended June 30, 2024 and 2023 is comprised of Hotel Revenue of $14,812 and $13,969 less Hotel Expenses of $9,839 and $8,161, respectively, per the Consolidated Statements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02" w:lineRule="exact"/>
        <w:rPr>
          <w:sz w:val="20"/>
          <w:szCs w:val="20"/>
          <w:color w:val="auto"/>
        </w:rPr>
      </w:pPr>
    </w:p>
    <w:p>
      <w:pPr>
        <w:ind w:right="140" w:firstLine="445"/>
        <w:spacing w:after="0" w:line="262" w:lineRule="auto"/>
        <w:rPr>
          <w:sz w:val="20"/>
          <w:szCs w:val="20"/>
          <w:color w:val="auto"/>
        </w:rPr>
      </w:pPr>
      <w:r>
        <w:rPr>
          <w:rFonts w:ascii="Arial" w:cs="Arial" w:eastAsia="Arial" w:hAnsi="Arial"/>
          <w:sz w:val="18"/>
          <w:szCs w:val="18"/>
          <w:color w:val="auto"/>
        </w:rPr>
        <w:t>Lease revenue (excluding termination income) from the Same Property Portfolio decreased by approximately $8.5 million for the three months ended June 30, 2024 compared to 2023. The decrease was a result of our average occupancy decreasing from 90.2% to 88.4%, resulting in a decrease of approximately $15.5 million, partially offset by our average revenue per square foot increasing by approximately $0.82, contributing approximately $7.0 million.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increased by approximately $1.0 million for the three months ended June 30, 2024 compared to 2023.</w:t>
      </w:r>
    </w:p>
    <w:p>
      <w:pPr>
        <w:spacing w:after="0" w:line="171"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Termination income for the three months ended June 30, 2024 related to nine clients across the Same Property Portfolio and totaled approximately $0.8 million, which was primarily related to clients that terminated leases early in Washington, DC.</w:t>
      </w:r>
    </w:p>
    <w:p>
      <w:pPr>
        <w:spacing w:after="0" w:line="99" w:lineRule="exact"/>
        <w:rPr>
          <w:sz w:val="20"/>
          <w:szCs w:val="20"/>
          <w:color w:val="auto"/>
        </w:rPr>
      </w:pPr>
    </w:p>
    <w:p>
      <w:pPr>
        <w:ind w:right="440" w:firstLine="445"/>
        <w:spacing w:after="0" w:line="287" w:lineRule="auto"/>
        <w:rPr>
          <w:sz w:val="20"/>
          <w:szCs w:val="20"/>
          <w:color w:val="auto"/>
        </w:rPr>
      </w:pPr>
      <w:r>
        <w:rPr>
          <w:rFonts w:ascii="Arial" w:cs="Arial" w:eastAsia="Arial" w:hAnsi="Arial"/>
          <w:sz w:val="18"/>
          <w:szCs w:val="18"/>
          <w:color w:val="auto"/>
        </w:rPr>
        <w:t>Termination income for the three months ended June 30, 2023 related to 10 clients across the Same Property Portfolio and totaled approximately $(164,000).</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88" w:lineRule="exact"/>
        <w:rPr>
          <w:sz w:val="20"/>
          <w:szCs w:val="20"/>
          <w:color w:val="auto"/>
        </w:rPr>
      </w:pPr>
    </w:p>
    <w:p>
      <w:pPr>
        <w:ind w:right="560" w:firstLine="405"/>
        <w:spacing w:after="0" w:line="268" w:lineRule="auto"/>
        <w:rPr>
          <w:sz w:val="20"/>
          <w:szCs w:val="20"/>
          <w:color w:val="auto"/>
        </w:rPr>
      </w:pPr>
      <w:r>
        <w:rPr>
          <w:rFonts w:ascii="Arial" w:cs="Arial" w:eastAsia="Arial" w:hAnsi="Arial"/>
          <w:sz w:val="18"/>
          <w:szCs w:val="18"/>
          <w:color w:val="auto"/>
        </w:rPr>
        <w:t>Parking and other revenue increased by approximately $6.2 million for the three months ended June 30, 2024 compared to 2023. Parking and other revenue increased by approximately $0.5 million and $5.7 million, respectively. The increase in other revenue was primarily associated with the View Boston observatory.</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02"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Real estate operating expenses from the Same Property Portfolio increased by approximately $17.8 million, or 6.3%, for the three months ended June 30, 2024 compared to 2023, due primarily to increases in repairs and maintenance of approximately $7.3 million, or 15.1%, and other real estate operating expenses of approximately $8.1 million, or 3.5%. The increase in repairs and maintenance was primarily in Boston and New York City. In addition, there was an approximately $2.4 million increase related to the marketing and operating expenses associated with the View Boston observatory.</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02" w:lineRule="exact"/>
        <w:rPr>
          <w:sz w:val="20"/>
          <w:szCs w:val="20"/>
          <w:color w:val="auto"/>
        </w:rPr>
      </w:pPr>
    </w:p>
    <w:p>
      <w:pPr>
        <w:ind w:right="320" w:firstLine="445"/>
        <w:spacing w:after="0" w:line="268" w:lineRule="auto"/>
        <w:rPr>
          <w:sz w:val="20"/>
          <w:szCs w:val="20"/>
          <w:color w:val="auto"/>
        </w:rPr>
      </w:pPr>
      <w:r>
        <w:rPr>
          <w:rFonts w:ascii="Arial" w:cs="Arial" w:eastAsia="Arial" w:hAnsi="Arial"/>
          <w:sz w:val="18"/>
          <w:szCs w:val="18"/>
          <w:color w:val="auto"/>
        </w:rPr>
        <w:t>The table below lists the properties acquired between April 1, 2023 and June 30, 2024. Rental revenue and real estate operating expenses increased by approximately $26.9 million and $9.9 million, respectively, for the three months ended June 30, 2024 compared to 2023, as detailed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309"/>
              <w:spacing w:after="0"/>
              <w:rPr>
                <w:sz w:val="20"/>
                <w:szCs w:val="20"/>
                <w:color w:val="auto"/>
              </w:rPr>
            </w:pPr>
            <w:r>
              <w:rPr>
                <w:rFonts w:ascii="Arial" w:cs="Arial" w:eastAsia="Arial" w:hAnsi="Arial"/>
                <w:sz w:val="13"/>
                <w:szCs w:val="13"/>
                <w:b w:val="1"/>
                <w:bCs w:val="1"/>
                <w:color w:val="auto"/>
              </w:rPr>
              <w:t>Real Estate Operating Expenses</w:t>
            </w:r>
          </w:p>
        </w:tc>
      </w:tr>
      <w:tr>
        <w:trPr>
          <w:trHeight w:val="250"/>
        </w:trPr>
        <w:tc>
          <w:tcPr>
            <w:tcW w:w="2620" w:type="dxa"/>
            <w:vAlign w:val="bottom"/>
            <w:gridSpan w:val="2"/>
          </w:tcPr>
          <w:p>
            <w:pPr>
              <w:jc w:val="right"/>
              <w:ind w:right="1180"/>
              <w:spacing w:after="0"/>
              <w:rPr>
                <w:sz w:val="20"/>
                <w:szCs w:val="20"/>
                <w:color w:val="auto"/>
              </w:rPr>
            </w:pPr>
            <w:r>
              <w:rPr>
                <w:rFonts w:ascii="Arial" w:cs="Arial" w:eastAsia="Arial" w:hAnsi="Arial"/>
                <w:sz w:val="13"/>
                <w:szCs w:val="13"/>
                <w:b w:val="1"/>
                <w:bCs w:val="1"/>
                <w:color w:val="auto"/>
              </w:rPr>
              <w:t>Name</w:t>
            </w:r>
          </w:p>
        </w:tc>
        <w:tc>
          <w:tcPr>
            <w:tcW w:w="17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Date acquired</w:t>
            </w: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21"/>
                <w:szCs w:val="21"/>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21"/>
                <w:szCs w:val="21"/>
                <w:color w:val="auto"/>
              </w:rPr>
            </w:pPr>
          </w:p>
        </w:tc>
        <w:tc>
          <w:tcPr>
            <w:tcW w:w="720" w:type="dxa"/>
            <w:vAlign w:val="bottom"/>
          </w:tcPr>
          <w:p>
            <w:pPr>
              <w:jc w:val="right"/>
              <w:ind w:right="23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04"/>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Santa Monica Business Park</w:t>
            </w:r>
          </w:p>
        </w:tc>
        <w:tc>
          <w:tcPr>
            <w:tcW w:w="17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December 14, 2023</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1,182,696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18,472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6,769</w:t>
            </w:r>
          </w:p>
        </w:tc>
      </w:tr>
      <w:tr>
        <w:trPr>
          <w:trHeight w:val="198"/>
        </w:trPr>
        <w:tc>
          <w:tcPr>
            <w:tcW w:w="2620" w:type="dxa"/>
            <w:vAlign w:val="bottom"/>
            <w:tcBorders>
              <w:bottom w:val="single" w:sz="8" w:color="CCEEFF"/>
            </w:tcBorders>
            <w:gridSpan w:val="2"/>
          </w:tcPr>
          <w:p>
            <w:pPr>
              <w:jc w:val="right"/>
              <w:ind w:right="1180"/>
              <w:spacing w:after="0"/>
              <w:rPr>
                <w:sz w:val="20"/>
                <w:szCs w:val="20"/>
                <w:color w:val="auto"/>
              </w:rPr>
            </w:pPr>
            <w:r>
              <w:rPr>
                <w:rFonts w:ascii="Arial" w:cs="Arial" w:eastAsia="Arial" w:hAnsi="Arial"/>
                <w:sz w:val="14"/>
                <w:szCs w:val="14"/>
                <w:color w:val="auto"/>
              </w:rPr>
              <w:t>901 New York Avenue</w:t>
            </w:r>
          </w:p>
        </w:tc>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January 8, 2024</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523,939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w:t>
            </w: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1,706,635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26,904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9,875</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102" w:lineRule="exact"/>
        <w:rPr>
          <w:sz w:val="20"/>
          <w:szCs w:val="20"/>
          <w:color w:val="auto"/>
        </w:rPr>
      </w:pPr>
    </w:p>
    <w:p>
      <w:pPr>
        <w:jc w:val="both"/>
        <w:ind w:right="100" w:firstLine="445"/>
        <w:spacing w:after="0" w:line="268"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April 1, 2023 and June 30, 2024. Rental revenue and real estate operating expenses from our Properties Placed In-Service Portfolio increased by approximately $11.7 million and $2.8 million, respectively, for the three months ended June 30, 2024 compared to 2023, as detailed below.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Rental Revenue</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3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5"/>
                <w:szCs w:val="15"/>
                <w:color w:val="auto"/>
              </w:rPr>
            </w:pPr>
          </w:p>
        </w:tc>
        <w:tc>
          <w:tcPr>
            <w:tcW w:w="1480" w:type="dxa"/>
            <w:vAlign w:val="bottom"/>
            <w:gridSpan w:val="2"/>
          </w:tcPr>
          <w:p>
            <w:pPr>
              <w:ind w:left="200"/>
              <w:spacing w:after="0"/>
              <w:rPr>
                <w:sz w:val="20"/>
                <w:szCs w:val="20"/>
                <w:color w:val="auto"/>
              </w:rPr>
            </w:pPr>
            <w:r>
              <w:rPr>
                <w:rFonts w:ascii="Arial" w:cs="Arial" w:eastAsia="Arial" w:hAnsi="Arial"/>
                <w:sz w:val="13"/>
                <w:szCs w:val="13"/>
                <w:b w:val="1"/>
                <w:bCs w:val="1"/>
                <w:color w:val="auto"/>
              </w:rPr>
              <w:t>Quarter Initially</w:t>
            </w:r>
          </w:p>
        </w:tc>
        <w:tc>
          <w:tcPr>
            <w:tcW w:w="1440" w:type="dxa"/>
            <w:vAlign w:val="bottom"/>
            <w:gridSpan w:val="2"/>
          </w:tcPr>
          <w:p>
            <w:pPr>
              <w:ind w:left="240"/>
              <w:spacing w:after="0"/>
              <w:rPr>
                <w:sz w:val="20"/>
                <w:szCs w:val="20"/>
                <w:color w:val="auto"/>
              </w:rPr>
            </w:pPr>
            <w:r>
              <w:rPr>
                <w:rFonts w:ascii="Arial" w:cs="Arial" w:eastAsia="Arial" w:hAnsi="Arial"/>
                <w:sz w:val="13"/>
                <w:szCs w:val="13"/>
                <w:b w:val="1"/>
                <w:bCs w:val="1"/>
                <w:color w:val="auto"/>
              </w:rPr>
              <w:t>Quarter Fully</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5"/>
                <w:szCs w:val="15"/>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64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Placed In-Service</w:t>
            </w:r>
          </w:p>
        </w:tc>
        <w:tc>
          <w:tcPr>
            <w:tcW w:w="1440" w:type="dxa"/>
            <w:vAlign w:val="bottom"/>
            <w:gridSpan w:val="2"/>
          </w:tcPr>
          <w:p>
            <w:pPr>
              <w:ind w:left="100"/>
              <w:spacing w:after="0"/>
              <w:rPr>
                <w:sz w:val="20"/>
                <w:szCs w:val="20"/>
                <w:color w:val="auto"/>
              </w:rPr>
            </w:pPr>
            <w:r>
              <w:rPr>
                <w:rFonts w:ascii="Arial" w:cs="Arial" w:eastAsia="Arial" w:hAnsi="Arial"/>
                <w:sz w:val="13"/>
                <w:szCs w:val="13"/>
                <w:b w:val="1"/>
                <w:bCs w:val="1"/>
                <w:color w:val="auto"/>
              </w:rPr>
              <w:t>Placed In-Service</w:t>
            </w: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(dollars in thousands)</w:t>
            </w: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64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2100 Pennsylvania</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144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475,849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9,230</w:t>
            </w:r>
          </w:p>
        </w:tc>
        <w:tc>
          <w:tcPr>
            <w:tcW w:w="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5,440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3,790</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85"/>
        </w:trPr>
        <w:tc>
          <w:tcPr>
            <w:tcW w:w="16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Avenue</w:t>
            </w: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tcPr>
          <w:p>
            <w:pPr>
              <w:ind w:left="20"/>
              <w:spacing w:after="0" w:line="153" w:lineRule="exact"/>
              <w:rPr>
                <w:sz w:val="20"/>
                <w:szCs w:val="20"/>
                <w:color w:val="auto"/>
              </w:rPr>
            </w:pPr>
            <w:r>
              <w:rPr>
                <w:rFonts w:ascii="Arial" w:cs="Arial" w:eastAsia="Arial" w:hAnsi="Arial"/>
                <w:sz w:val="14"/>
                <w:szCs w:val="14"/>
                <w:color w:val="auto"/>
              </w:rPr>
              <w:t>140</w:t>
            </w:r>
          </w:p>
        </w:tc>
        <w:tc>
          <w:tcPr>
            <w:tcW w:w="1360" w:type="dxa"/>
            <w:vAlign w:val="bottom"/>
          </w:tcPr>
          <w:p>
            <w:pPr>
              <w:ind w:left="20"/>
              <w:spacing w:after="0" w:line="153" w:lineRule="exact"/>
              <w:rPr>
                <w:sz w:val="20"/>
                <w:szCs w:val="20"/>
                <w:color w:val="auto"/>
              </w:rPr>
            </w:pPr>
            <w:r>
              <w:rPr>
                <w:rFonts w:ascii="Arial" w:cs="Arial" w:eastAsia="Arial" w:hAnsi="Arial"/>
                <w:sz w:val="14"/>
                <w:szCs w:val="14"/>
                <w:color w:val="auto"/>
              </w:rPr>
              <w:t>Kendrick Street -</w:t>
            </w:r>
          </w:p>
        </w:tc>
        <w:tc>
          <w:tcPr>
            <w:tcW w:w="100" w:type="dxa"/>
            <w:vAlign w:val="bottom"/>
          </w:tcPr>
          <w:p>
            <w:pPr>
              <w:spacing w:after="0"/>
              <w:rPr>
                <w:sz w:val="13"/>
                <w:szCs w:val="13"/>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Third Quarter, 2023</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104,166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1,886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1,886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85"/>
        </w:trPr>
        <w:tc>
          <w:tcPr>
            <w:tcW w:w="1640" w:type="dxa"/>
            <w:vAlign w:val="bottom"/>
            <w:gridSpan w:val="2"/>
          </w:tcPr>
          <w:p>
            <w:pPr>
              <w:ind w:left="180"/>
              <w:spacing w:after="0"/>
              <w:rPr>
                <w:sz w:val="20"/>
                <w:szCs w:val="20"/>
                <w:color w:val="auto"/>
              </w:rPr>
            </w:pPr>
            <w:r>
              <w:rPr>
                <w:rFonts w:ascii="Arial" w:cs="Arial" w:eastAsia="Arial" w:hAnsi="Arial"/>
                <w:sz w:val="14"/>
                <w:szCs w:val="14"/>
                <w:color w:val="auto"/>
              </w:rPr>
              <w:t>Building A</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180</w:t>
            </w:r>
          </w:p>
        </w:tc>
        <w:tc>
          <w:tcPr>
            <w:tcW w:w="1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CityPoint</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 Quarter, 2023</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329,000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53"/>
        </w:trPr>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rPr>
              <w:t>CityPoint</w:t>
            </w:r>
          </w:p>
        </w:tc>
        <w:tc>
          <w:tcPr>
            <w:tcW w:w="100" w:type="dxa"/>
            <w:vAlign w:val="bottom"/>
          </w:tcPr>
          <w:p>
            <w:pPr>
              <w:spacing w:after="0"/>
              <w:rPr>
                <w:sz w:val="13"/>
                <w:szCs w:val="13"/>
                <w:color w:val="auto"/>
              </w:rPr>
            </w:pPr>
          </w:p>
        </w:tc>
        <w:tc>
          <w:tcPr>
            <w:tcW w:w="14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Fourth Quarter,</w:t>
            </w: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color w:val="auto"/>
              </w:rPr>
              <w:t>N/A</w:t>
            </w: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113,000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5"/>
        </w:trPr>
        <w:tc>
          <w:tcPr>
            <w:tcW w:w="28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760</w:t>
            </w:r>
          </w:p>
        </w:tc>
        <w:tc>
          <w:tcPr>
            <w:tcW w:w="13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Boylston Street</w:t>
            </w: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Second Quarter,</w:t>
            </w:r>
          </w:p>
        </w:tc>
        <w:tc>
          <w:tcPr>
            <w:tcW w:w="14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Second Quarter,</w:t>
            </w:r>
          </w:p>
        </w:tc>
        <w:tc>
          <w:tcPr>
            <w:tcW w:w="9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118,000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5"/>
        </w:trPr>
        <w:tc>
          <w:tcPr>
            <w:tcW w:w="28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1,140,015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17,175</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5,440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11,735</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5,227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2,794</w:t>
            </w:r>
          </w:p>
        </w:tc>
        <w:tc>
          <w:tcPr>
            <w:tcW w:w="0" w:type="dxa"/>
            <w:vAlign w:val="bottom"/>
          </w:tcPr>
          <w:p>
            <w:pPr>
              <w:spacing w:after="0"/>
              <w:rPr>
                <w:sz w:val="1"/>
                <w:szCs w:val="1"/>
                <w:color w:val="auto"/>
              </w:rPr>
            </w:pPr>
          </w:p>
        </w:tc>
      </w:tr>
      <w:tr>
        <w:trPr>
          <w:trHeight w:val="25"/>
        </w:trPr>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Properties in or Held for Development or Redevelopment Portfolio</w:t>
      </w:r>
    </w:p>
    <w:p>
      <w:pPr>
        <w:spacing w:after="0" w:line="88" w:lineRule="exact"/>
        <w:rPr>
          <w:sz w:val="20"/>
          <w:szCs w:val="20"/>
          <w:color w:val="auto"/>
        </w:rPr>
      </w:pPr>
    </w:p>
    <w:p>
      <w:pPr>
        <w:ind w:firstLine="445"/>
        <w:spacing w:after="0" w:line="268" w:lineRule="auto"/>
        <w:rPr>
          <w:sz w:val="20"/>
          <w:szCs w:val="20"/>
          <w:color w:val="auto"/>
        </w:rPr>
      </w:pPr>
      <w:r>
        <w:rPr>
          <w:rFonts w:ascii="Arial" w:cs="Arial" w:eastAsia="Arial" w:hAnsi="Arial"/>
          <w:sz w:val="18"/>
          <w:szCs w:val="18"/>
          <w:color w:val="auto"/>
        </w:rPr>
        <w:t>The table below lists the properties that were in or held for development or redevelopment between April 1, 2023 and June 30, 2024. Rental revenue and real estate operating expenses from our Properties in or Held for Development or Redevelopment Portfolio decreased by approximately $0.8 million and $0.1 million, respectively, for the three months ended June 30, 2024 compared to 2023, as detailed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36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Date Commenced Held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80" w:type="dxa"/>
            <w:vAlign w:val="bottom"/>
            <w:gridSpan w:val="2"/>
            <w:vMerge w:val="restart"/>
          </w:tcPr>
          <w:p>
            <w:pPr>
              <w:ind w:left="960"/>
              <w:spacing w:after="0"/>
              <w:rPr>
                <w:sz w:val="20"/>
                <w:szCs w:val="20"/>
                <w:color w:val="auto"/>
              </w:rPr>
            </w:pPr>
            <w:r>
              <w:rPr>
                <w:rFonts w:ascii="Arial" w:cs="Arial" w:eastAsia="Arial" w:hAnsi="Arial"/>
                <w:sz w:val="13"/>
                <w:szCs w:val="13"/>
                <w:b w:val="1"/>
                <w:bCs w:val="1"/>
                <w:color w:val="auto"/>
              </w:rPr>
              <w:t>Name</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rPr>
              <w:t>for Development /</w:t>
            </w: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6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38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Redevelopment</w:t>
            </w: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105 Carnegie Center (1)</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2022</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Shady Grove Innovation District</w:t>
            </w: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color w:val="auto"/>
              </w:rPr>
              <w:t>March 31, 2023</w:t>
            </w:r>
          </w:p>
        </w:tc>
        <w:tc>
          <w:tcPr>
            <w:tcW w:w="980" w:type="dxa"/>
            <w:vAlign w:val="bottom"/>
            <w:vMerge w:val="restart"/>
          </w:tcPr>
          <w:p>
            <w:pPr>
              <w:jc w:val="right"/>
              <w:ind w:right="9"/>
              <w:spacing w:after="0"/>
              <w:rPr>
                <w:sz w:val="20"/>
                <w:szCs w:val="20"/>
                <w:color w:val="auto"/>
              </w:rPr>
            </w:pPr>
            <w:r>
              <w:rPr>
                <w:rFonts w:ascii="Arial" w:cs="Arial" w:eastAsia="Arial" w:hAnsi="Arial"/>
                <w:sz w:val="14"/>
                <w:szCs w:val="14"/>
                <w:color w:val="auto"/>
              </w:rPr>
              <w:t>184,000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9"/>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89"/>
        </w:trPr>
        <w:tc>
          <w:tcPr>
            <w:tcW w:w="2280" w:type="dxa"/>
            <w:vAlign w:val="bottom"/>
          </w:tcPr>
          <w:p>
            <w:pPr>
              <w:ind w:left="1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Lexington Office Park (2)</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167,000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8"/>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171 Dartmouth Street</w:t>
            </w:r>
          </w:p>
        </w:tc>
        <w:tc>
          <w:tcPr>
            <w:tcW w:w="1800" w:type="dxa"/>
            <w:vAlign w:val="bottom"/>
            <w:gridSpan w:val="2"/>
          </w:tcPr>
          <w:p>
            <w:pPr>
              <w:ind w:left="20"/>
              <w:spacing w:after="0"/>
              <w:rPr>
                <w:sz w:val="20"/>
                <w:szCs w:val="20"/>
                <w:color w:val="auto"/>
              </w:rPr>
            </w:pPr>
            <w:r>
              <w:rPr>
                <w:rFonts w:ascii="Arial" w:cs="Arial" w:eastAsia="Arial" w:hAnsi="Arial"/>
                <w:sz w:val="14"/>
                <w:szCs w:val="14"/>
                <w:color w:val="auto"/>
              </w:rPr>
              <w:t>March 28, 2024</w:t>
            </w: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1050 Winter Street (2)</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2024</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162,000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17 Hartwell Avenue (2)</w:t>
            </w:r>
          </w:p>
        </w:tc>
        <w:tc>
          <w:tcPr>
            <w:tcW w:w="1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June 30, 2024</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30,000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616,000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30" w:lineRule="exact"/>
        <w:rPr>
          <w:sz w:val="20"/>
          <w:szCs w:val="20"/>
          <w:color w:val="auto"/>
        </w:rPr>
      </w:pPr>
    </w:p>
    <w:p>
      <w:pPr>
        <w:ind w:left="580" w:right="120" w:hanging="329"/>
        <w:spacing w:after="0" w:line="255" w:lineRule="auto"/>
        <w:tabs>
          <w:tab w:leader="none" w:pos="5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November 30, 2023, we elected to suspend redevelopment. Although no longer in redevelopment, this property is not considered “in-service” as we are not actively leasing this property in anticipation of restarting redevelopment in the future.</w:t>
      </w:r>
    </w:p>
    <w:p>
      <w:pPr>
        <w:ind w:left="580" w:right="20" w:hanging="329"/>
        <w:spacing w:after="0" w:line="260" w:lineRule="auto"/>
        <w:tabs>
          <w:tab w:leader="none" w:pos="5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Lexington Office Park, 1050 Winter Street, 17 Hartwell Avenue and a portion of Shady Grove Innovation District are no longer considered “in-service” because each property’s occupied percentage is less than 50% and we are no longer actively leasing the property in anticipation of a future development/redevelopment. The properties will be considered held for development or redevelopment until the last client has vacated the property and the property is no longer revenue producing. This portion of Shady Grove Innovation District is comprised of three buildings, 2092 and 2098 Gaither Road and 15825 Shady Grove Road.</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operating income for our residential same properties increased by approximately $17,000 for the three months ended June 30,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 compared to 2023.</w:t>
      </w:r>
    </w:p>
    <w:p>
      <w:pPr>
        <w:spacing w:after="0" w:line="153"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three months ended June 30, 2024 and 2023.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6"/>
            <w:vMerge w:val="restart"/>
          </w:tcPr>
          <w:p>
            <w:pPr>
              <w:jc w:val="center"/>
              <w:ind w:right="140"/>
              <w:spacing w:after="0"/>
              <w:rPr>
                <w:sz w:val="20"/>
                <w:szCs w:val="20"/>
                <w:color w:val="auto"/>
              </w:rPr>
            </w:pPr>
            <w:r>
              <w:rPr>
                <w:rFonts w:ascii="Arial" w:cs="Arial" w:eastAsia="Arial" w:hAnsi="Arial"/>
                <w:sz w:val="13"/>
                <w:szCs w:val="13"/>
                <w:b w:val="1"/>
                <w:bCs w:val="1"/>
                <w:color w:val="auto"/>
              </w:rPr>
              <w:t>Average Monthly Rental Rate (1)</w:t>
            </w:r>
          </w:p>
        </w:tc>
        <w:tc>
          <w:tcPr>
            <w:tcW w:w="140" w:type="dxa"/>
            <w:vAlign w:val="bottom"/>
          </w:tcPr>
          <w:p>
            <w:pPr>
              <w:spacing w:after="0"/>
              <w:rPr>
                <w:sz w:val="13"/>
                <w:szCs w:val="13"/>
                <w:color w:val="auto"/>
              </w:rPr>
            </w:pPr>
          </w:p>
        </w:tc>
        <w:tc>
          <w:tcPr>
            <w:tcW w:w="2160" w:type="dxa"/>
            <w:vAlign w:val="bottom"/>
            <w:gridSpan w:val="5"/>
          </w:tcPr>
          <w:p>
            <w:pPr>
              <w:ind w:left="160"/>
              <w:spacing w:after="0"/>
              <w:rPr>
                <w:sz w:val="20"/>
                <w:szCs w:val="20"/>
                <w:color w:val="auto"/>
              </w:rPr>
            </w:pPr>
            <w:r>
              <w:rPr>
                <w:rFonts w:ascii="Arial" w:cs="Arial" w:eastAsia="Arial" w:hAnsi="Arial"/>
                <w:sz w:val="13"/>
                <w:szCs w:val="13"/>
                <w:b w:val="1"/>
                <w:bCs w:val="1"/>
                <w:color w:val="auto"/>
              </w:rPr>
              <w:t>Average Rental Rate Per</w:t>
            </w: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Average Physical Occupancy (2)</w:t>
            </w:r>
          </w:p>
        </w:tc>
        <w:tc>
          <w:tcPr>
            <w:tcW w:w="2380" w:type="dxa"/>
            <w:vAlign w:val="bottom"/>
            <w:gridSpan w:val="3"/>
            <w:vMerge w:val="restart"/>
          </w:tcPr>
          <w:p>
            <w:pPr>
              <w:jc w:val="right"/>
              <w:ind w:right="2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3"/>
                <w:szCs w:val="13"/>
                <w:b w:val="1"/>
                <w:bCs w:val="1"/>
                <w:color w:val="auto"/>
              </w:rPr>
              <w:t>Occupied Square Foot</w:t>
            </w:r>
          </w:p>
        </w:tc>
        <w:tc>
          <w:tcPr>
            <w:tcW w:w="2480" w:type="dxa"/>
            <w:vAlign w:val="bottom"/>
            <w:gridSpan w:val="4"/>
            <w:vMerge w:val="continue"/>
          </w:tcPr>
          <w:p>
            <w:pPr>
              <w:spacing w:after="0"/>
              <w:rPr>
                <w:sz w:val="16"/>
                <w:szCs w:val="16"/>
                <w:color w:val="auto"/>
              </w:rPr>
            </w:pPr>
          </w:p>
        </w:tc>
        <w:tc>
          <w:tcPr>
            <w:tcW w:w="2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6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2024</w:t>
            </w:r>
          </w:p>
        </w:tc>
        <w:tc>
          <w:tcPr>
            <w:tcW w:w="68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7"/>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3,065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5.62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96.0 %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96.1 %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153"/>
        </w:trPr>
        <w:tc>
          <w:tcPr>
            <w:tcW w:w="17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The Lofts at Atlantic</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4,435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4,440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ind w:left="160"/>
              <w:spacing w:after="0"/>
              <w:rPr>
                <w:sz w:val="20"/>
                <w:szCs w:val="20"/>
                <w:color w:val="auto"/>
              </w:rPr>
            </w:pPr>
            <w:r>
              <w:rPr>
                <w:rFonts w:ascii="Arial" w:cs="Arial" w:eastAsia="Arial" w:hAnsi="Arial"/>
                <w:sz w:val="14"/>
                <w:szCs w:val="14"/>
                <w:color w:val="auto"/>
              </w:rPr>
              <w:t>4.93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center"/>
              <w:ind w:left="49"/>
              <w:spacing w:after="0"/>
              <w:rPr>
                <w:sz w:val="20"/>
                <w:szCs w:val="20"/>
                <w:color w:val="auto"/>
              </w:rPr>
            </w:pPr>
            <w:r>
              <w:rPr>
                <w:rFonts w:ascii="Arial" w:cs="Arial" w:eastAsia="Arial" w:hAnsi="Arial"/>
                <w:sz w:val="14"/>
                <w:szCs w:val="14"/>
                <w:color w:val="auto"/>
              </w:rPr>
              <w:t>4.91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140" w:type="dxa"/>
            <w:vAlign w:val="bottom"/>
          </w:tcPr>
          <w:p>
            <w:pPr>
              <w:spacing w:after="0"/>
              <w:rPr>
                <w:sz w:val="13"/>
                <w:szCs w:val="13"/>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95.7 %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96.5 %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3"/>
                <w:szCs w:val="13"/>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95.0 %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97.5 %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5"/>
        </w:trPr>
        <w:tc>
          <w:tcPr>
            <w:tcW w:w="176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2,663</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rPr>
              <w:t>2.77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96.0 %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96.1 %</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94"/>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3,430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3,447</w:t>
            </w: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ind w:left="160"/>
              <w:spacing w:after="0"/>
              <w:rPr>
                <w:sz w:val="20"/>
                <w:szCs w:val="20"/>
                <w:color w:val="auto"/>
              </w:rPr>
            </w:pPr>
            <w:r>
              <w:rPr>
                <w:rFonts w:ascii="Arial" w:cs="Arial" w:eastAsia="Arial" w:hAnsi="Arial"/>
                <w:sz w:val="14"/>
                <w:szCs w:val="14"/>
                <w:color w:val="auto"/>
              </w:rPr>
              <w:t>4.33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ind w:left="49"/>
              <w:spacing w:after="0"/>
              <w:rPr>
                <w:sz w:val="20"/>
                <w:szCs w:val="20"/>
                <w:color w:val="auto"/>
              </w:rPr>
            </w:pPr>
            <w:r>
              <w:rPr>
                <w:rFonts w:ascii="Arial" w:cs="Arial" w:eastAsia="Arial" w:hAnsi="Arial"/>
                <w:sz w:val="14"/>
                <w:szCs w:val="14"/>
                <w:color w:val="auto"/>
              </w:rPr>
              <w:t>4.39</w:t>
            </w: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6"/>
                <w:szCs w:val="16"/>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87.1 %</w:t>
            </w:r>
          </w:p>
        </w:tc>
        <w:tc>
          <w:tcPr>
            <w:tcW w:w="660" w:type="dxa"/>
            <w:vAlign w:val="bottom"/>
          </w:tcPr>
          <w:p>
            <w:pPr>
              <w:jc w:val="right"/>
              <w:spacing w:after="0"/>
              <w:rPr>
                <w:sz w:val="20"/>
                <w:szCs w:val="20"/>
                <w:color w:val="auto"/>
              </w:rPr>
            </w:pPr>
            <w:r>
              <w:rPr>
                <w:rFonts w:ascii="Arial" w:cs="Arial" w:eastAsia="Arial" w:hAnsi="Arial"/>
                <w:sz w:val="14"/>
                <w:szCs w:val="14"/>
                <w:color w:val="auto"/>
              </w:rPr>
              <w:t>92.4 %</w:t>
            </w: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6"/>
                <w:szCs w:val="16"/>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85.3 %</w:t>
            </w:r>
          </w:p>
        </w:tc>
        <w:tc>
          <w:tcPr>
            <w:tcW w:w="680" w:type="dxa"/>
            <w:vAlign w:val="bottom"/>
          </w:tcPr>
          <w:p>
            <w:pPr>
              <w:jc w:val="right"/>
              <w:spacing w:after="0"/>
              <w:rPr>
                <w:sz w:val="20"/>
                <w:szCs w:val="20"/>
                <w:color w:val="auto"/>
              </w:rPr>
            </w:pPr>
            <w:r>
              <w:rPr>
                <w:rFonts w:ascii="Arial" w:cs="Arial" w:eastAsia="Arial" w:hAnsi="Arial"/>
                <w:sz w:val="14"/>
                <w:szCs w:val="14"/>
                <w:color w:val="auto"/>
              </w:rPr>
              <w:t>89.9 %</w:t>
            </w: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right="80" w:hanging="329"/>
        <w:spacing w:after="0" w:line="246" w:lineRule="auto"/>
        <w:tabs>
          <w:tab w:leader="none" w:pos="5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80" w:right="620" w:hanging="329"/>
        <w:spacing w:after="0" w:line="255" w:lineRule="auto"/>
        <w:tabs>
          <w:tab w:leader="none" w:pos="5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80" w:right="80" w:hanging="329"/>
        <w:spacing w:after="0" w:line="256" w:lineRule="auto"/>
        <w:tabs>
          <w:tab w:leader="none" w:pos="575" w:val="left"/>
        </w:tabs>
        <w:numPr>
          <w:ilvl w:val="0"/>
          <w:numId w:val="51"/>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Average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Hotel Net Operating Income</w:t>
      </w:r>
    </w:p>
    <w:p>
      <w:pPr>
        <w:spacing w:after="0" w:line="102" w:lineRule="exact"/>
        <w:rPr>
          <w:sz w:val="20"/>
          <w:szCs w:val="20"/>
          <w:color w:val="auto"/>
        </w:rPr>
      </w:pPr>
    </w:p>
    <w:p>
      <w:pPr>
        <w:ind w:right="480" w:firstLine="445"/>
        <w:spacing w:after="0" w:line="287" w:lineRule="auto"/>
        <w:rPr>
          <w:sz w:val="20"/>
          <w:szCs w:val="20"/>
          <w:color w:val="auto"/>
        </w:rPr>
      </w:pPr>
      <w:r>
        <w:rPr>
          <w:rFonts w:ascii="Arial" w:cs="Arial" w:eastAsia="Arial" w:hAnsi="Arial"/>
          <w:sz w:val="18"/>
          <w:szCs w:val="18"/>
          <w:color w:val="auto"/>
        </w:rPr>
        <w:t>The Boston Marriott Cambridge hotel had net operating income of approximately $5.0 million for the three months ended June 30, 2024, representing a decrease of approximately $0.8 million compared to the three months ended June 30, 2023.</w:t>
      </w:r>
    </w:p>
    <w:p>
      <w:pPr>
        <w:spacing w:after="0" w:line="99" w:lineRule="exact"/>
        <w:rPr>
          <w:sz w:val="20"/>
          <w:szCs w:val="20"/>
          <w:color w:val="auto"/>
        </w:rPr>
      </w:pPr>
    </w:p>
    <w:p>
      <w:pPr>
        <w:ind w:right="80" w:firstLine="445"/>
        <w:spacing w:after="0" w:line="287"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three months ended June 30,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 (%)</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372.29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5"/>
              <w:spacing w:after="0"/>
              <w:rPr>
                <w:sz w:val="20"/>
                <w:szCs w:val="20"/>
                <w:color w:val="auto"/>
              </w:rPr>
            </w:pPr>
            <w:r>
              <w:rPr>
                <w:rFonts w:ascii="Arial" w:cs="Arial" w:eastAsia="Arial" w:hAnsi="Arial"/>
                <w:sz w:val="18"/>
                <w:szCs w:val="18"/>
                <w:color w:val="auto"/>
              </w:rPr>
              <w:t>371.58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299.94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286.79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bl>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02"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Development and management services revenue decreased by approximately $3.5 million for the three months ended June 30, 2024 compared to 2023. Development services revenue and management services revenue decreased by approximately $1.9 million and $1.6 million, respectively. The decrease in development services revenue was primarily related to a decrease in development income earned from unconsolidated joint ventures in the San Francisco and Washington D.C. regions and a decrease in fees associated with a tenant improvement project in New York City. The decrease in management services revenue was primarily related to the elimination of property and asset management fees earned from an unconsolidated joint venture in the Los Angeles region which we acquired the joint venture partner’s interest in December 2023.</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0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General and administrative expense decreased by approximately $0.1 million for the three months ended June 30, 2024 compared to 2023 primarily due to an approximately $ 0.4 million decrease in other general and administrative expenses, partially offset by an increase in compensation expense of approximately $ 0.3 million. The increase in compensation expense related to an approximately $1.6 million increase in other compensation expenses partially offset by an approximately $1.3 million decrease in the value of our deferred compensation plan.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00" w:firstLine="445"/>
        <w:spacing w:after="0" w:line="262"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June 30, 2024 and 2023 were approximately $4.8 million and $4.6 million, respectively. These costs are not included in the general and administrative expenses discussed above.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88" w:lineRule="exact"/>
        <w:rPr>
          <w:sz w:val="20"/>
          <w:szCs w:val="20"/>
          <w:color w:val="auto"/>
        </w:rPr>
      </w:pPr>
    </w:p>
    <w:p>
      <w:pPr>
        <w:ind w:right="280" w:firstLine="445"/>
        <w:spacing w:after="0" w:line="287" w:lineRule="auto"/>
        <w:rPr>
          <w:sz w:val="20"/>
          <w:szCs w:val="20"/>
          <w:color w:val="auto"/>
        </w:rPr>
      </w:pPr>
      <w:r>
        <w:rPr>
          <w:rFonts w:ascii="Arial" w:cs="Arial" w:eastAsia="Arial" w:hAnsi="Arial"/>
          <w:sz w:val="18"/>
          <w:szCs w:val="18"/>
          <w:color w:val="auto"/>
        </w:rPr>
        <w:t>Transaction costs decreased by approximately $ 0.1 million for the three months ended June 30, 2024 compared to 2023. In general, transaction costs relating to the formation of new joint ventures and the pursuit of other transactions are expensed as incurred.</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02"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$17.0 million for the three months ended June 30, 2024 compared to 2023,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80" w:type="dxa"/>
            <w:vAlign w:val="bottom"/>
            <w:gridSpan w:val="7"/>
          </w:tcPr>
          <w:p>
            <w:pPr>
              <w:jc w:val="center"/>
              <w:ind w:right="72"/>
              <w:spacing w:after="0"/>
              <w:rPr>
                <w:sz w:val="20"/>
                <w:szCs w:val="20"/>
                <w:color w:val="auto"/>
              </w:rPr>
            </w:pPr>
            <w:r>
              <w:rPr>
                <w:rFonts w:ascii="Arial" w:cs="Arial" w:eastAsia="Arial" w:hAnsi="Arial"/>
                <w:sz w:val="16"/>
                <w:szCs w:val="16"/>
                <w:b w:val="1"/>
                <w:bCs w:val="1"/>
                <w:color w:val="auto"/>
              </w:rPr>
              <w:t>Depreciation and Amortization for the three months</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Change</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13,688</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r>
      <w:tr>
        <w:trPr>
          <w:trHeight w:val="230"/>
        </w:trPr>
        <w:tc>
          <w:tcPr>
            <w:tcW w:w="20" w:type="dxa"/>
            <w:vAlign w:val="bottom"/>
            <w:tcBorders>
              <w:bottom w:val="single" w:sz="8" w:color="CCEEFF"/>
            </w:tcBorders>
          </w:tcPr>
          <w:p>
            <w:pPr>
              <w:spacing w:after="0"/>
              <w:rPr>
                <w:sz w:val="19"/>
                <w:szCs w:val="19"/>
                <w:color w:val="auto"/>
              </w:rPr>
            </w:pPr>
          </w:p>
        </w:tc>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202,577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right="120" w:firstLine="445"/>
        <w:spacing w:after="0" w:line="287" w:lineRule="auto"/>
        <w:rPr>
          <w:sz w:val="20"/>
          <w:szCs w:val="20"/>
          <w:color w:val="auto"/>
        </w:rPr>
      </w:pPr>
      <w:r>
        <w:rPr>
          <w:rFonts w:ascii="Arial" w:cs="Arial" w:eastAsia="Arial" w:hAnsi="Arial"/>
          <w:sz w:val="18"/>
          <w:szCs w:val="18"/>
          <w:color w:val="auto"/>
        </w:rPr>
        <w:t>Depreciation and amortization expense increased by approximately $16.9 million for the three months ended June 30, 2024 compared to 2023, as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rPr>
              <w:t>Depreciation and Amortization for the 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rPr>
              <w:t>ended June 30,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Portfolio</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Same Property Portfolio</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196,752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Properties Acquired Portfolio</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Properties Placed In-Service Portfolio</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Properties in or Held for Development or Redevelopment Portfolio</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217,839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200,895</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firstLine="202"/>
        <w:spacing w:after="0" w:line="294"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4" w:lineRule="exact"/>
        <w:rPr>
          <w:sz w:val="20"/>
          <w:szCs w:val="20"/>
          <w:color w:val="auto"/>
        </w:rPr>
      </w:pPr>
    </w:p>
    <w:p>
      <w:pPr>
        <w:ind w:right="120" w:firstLine="445"/>
        <w:spacing w:after="0" w:line="268"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Loss from Unconsolidated Joint Ventures</w:t>
      </w:r>
    </w:p>
    <w:p>
      <w:pPr>
        <w:spacing w:after="0" w:line="102" w:lineRule="exact"/>
        <w:rPr>
          <w:sz w:val="20"/>
          <w:szCs w:val="20"/>
          <w:color w:val="auto"/>
        </w:rPr>
      </w:pPr>
    </w:p>
    <w:p>
      <w:pPr>
        <w:ind w:right="200" w:firstLine="445"/>
        <w:spacing w:after="0" w:line="291" w:lineRule="auto"/>
        <w:rPr>
          <w:sz w:val="20"/>
          <w:szCs w:val="20"/>
          <w:color w:val="auto"/>
        </w:rPr>
      </w:pPr>
      <w:r>
        <w:rPr>
          <w:rFonts w:ascii="Arial" w:cs="Arial" w:eastAsia="Arial" w:hAnsi="Arial"/>
          <w:sz w:val="17"/>
          <w:szCs w:val="17"/>
          <w:color w:val="auto"/>
        </w:rPr>
        <w:t>For the three months ended June 30, 2024 compared to 2023, loss from unconsolidated joint ventures decreased by approximately $0.9 million primarily due to the acquisition of our joint venture partner’s economic interest in the joint venture that owned Santa Monica Business Park in December of 2023 and 901 New York Avenue in January of 2024 (See Note 5 to the Consolidated Financial Statements).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102"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Interest and other income (loss) decreased by approximately $6.6 million for the three months ended June 30, 2024 compared to 2023, due primarily to a decrease in interest income as a result of a decrease in our outstanding cash balances.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Gains from Investments in Securities</w:t>
      </w:r>
    </w:p>
    <w:p>
      <w:pPr>
        <w:spacing w:after="0" w:line="8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Gain from investments in securities for the three months ended June 30, 2024 and 2023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from investments in securities. During the three months ended June 30, 2024 and 2023, we recognized gains of approximately $0.3 million and $1.6 million, respectively, on these investments. By comparison, our general and administrative expense decreased by approximately $0.3 million and $1.6 million during the three months ended June 30, 2024 and 2023, respectively, as a result of decreases in our liability under our deferred compensation plans that was associated with the performance of the specific investments selected by officers and former non-employee directors of BXP participating in the plans.</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Unrealized Gain on Non-Real Estate Investment</w:t>
      </w:r>
    </w:p>
    <w:p>
      <w:pPr>
        <w:spacing w:after="0" w:line="102" w:lineRule="exact"/>
        <w:rPr>
          <w:sz w:val="20"/>
          <w:szCs w:val="20"/>
          <w:color w:val="auto"/>
        </w:rPr>
      </w:pPr>
    </w:p>
    <w:p>
      <w:pPr>
        <w:ind w:right="340" w:firstLine="445"/>
        <w:spacing w:after="0" w:line="268" w:lineRule="auto"/>
        <w:rPr>
          <w:sz w:val="20"/>
          <w:szCs w:val="20"/>
          <w:color w:val="auto"/>
        </w:rPr>
      </w:pPr>
      <w:r>
        <w:rPr>
          <w:rFonts w:ascii="Arial" w:cs="Arial" w:eastAsia="Arial" w:hAnsi="Arial"/>
          <w:sz w:val="18"/>
          <w:szCs w:val="18"/>
          <w:color w:val="auto"/>
        </w:rPr>
        <w:t>We invest in non-real estate investments, which are primarily environmentally-focused investment funds. As a result, for each of the three months ended June 30, 2024 and 2023, we recognized an unrealized gain of approximately $0.1 million, due to the observable changes in the fair value of the investments.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380" w:firstLine="445"/>
        <w:spacing w:after="0" w:line="287" w:lineRule="auto"/>
        <w:rPr>
          <w:sz w:val="20"/>
          <w:szCs w:val="20"/>
          <w:color w:val="auto"/>
        </w:rPr>
      </w:pPr>
      <w:r>
        <w:rPr>
          <w:rFonts w:ascii="Arial" w:cs="Arial" w:eastAsia="Arial" w:hAnsi="Arial"/>
          <w:sz w:val="18"/>
          <w:szCs w:val="18"/>
          <w:color w:val="auto"/>
        </w:rPr>
        <w:t>Interest expense increased by approximately $7.2 million for the three months ended June 30, 2024 compared to 2023, as detailed below.</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expense for the three</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months ended June 30,</w:t>
            </w:r>
          </w:p>
        </w:tc>
        <w:tc>
          <w:tcPr>
            <w:tcW w:w="0" w:type="dxa"/>
            <w:vAlign w:val="bottom"/>
          </w:tcPr>
          <w:p>
            <w:pPr>
              <w:spacing w:after="0"/>
              <w:rPr>
                <w:sz w:val="1"/>
                <w:szCs w:val="1"/>
                <w:color w:val="auto"/>
              </w:rPr>
            </w:pPr>
          </w:p>
        </w:tc>
      </w:tr>
      <w:tr>
        <w:trPr>
          <w:trHeight w:val="162"/>
        </w:trPr>
        <w:tc>
          <w:tcPr>
            <w:tcW w:w="9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w:t>
            </w:r>
          </w:p>
        </w:tc>
        <w:tc>
          <w:tcPr>
            <w:tcW w:w="2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2024 compared to June 30,</w:t>
            </w:r>
          </w:p>
        </w:tc>
        <w:tc>
          <w:tcPr>
            <w:tcW w:w="0" w:type="dxa"/>
            <w:vAlign w:val="bottom"/>
          </w:tcPr>
          <w:p>
            <w:pPr>
              <w:spacing w:after="0"/>
              <w:rPr>
                <w:sz w:val="1"/>
                <w:szCs w:val="1"/>
                <w:color w:val="auto"/>
              </w:rPr>
            </w:pPr>
          </w:p>
        </w:tc>
      </w:tr>
      <w:tr>
        <w:trPr>
          <w:trHeight w:val="175"/>
        </w:trPr>
        <w:tc>
          <w:tcPr>
            <w:tcW w:w="9020" w:type="dxa"/>
            <w:vAlign w:val="bottom"/>
            <w:gridSpan w:val="2"/>
            <w:vMerge w:val="continue"/>
          </w:tcPr>
          <w:p>
            <w:pPr>
              <w:spacing w:after="0"/>
              <w:rPr>
                <w:sz w:val="15"/>
                <w:szCs w:val="15"/>
                <w:color w:val="auto"/>
              </w:rPr>
            </w:pPr>
          </w:p>
        </w:tc>
        <w:tc>
          <w:tcPr>
            <w:tcW w:w="2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jc w:val="right"/>
        <w:ind w:right="5800"/>
        <w:spacing w:after="0"/>
        <w:rPr>
          <w:sz w:val="20"/>
          <w:szCs w:val="20"/>
          <w:color w:val="auto"/>
        </w:rPr>
      </w:pPr>
      <w:r>
        <w:rPr>
          <w:rFonts w:ascii="Arial" w:cs="Arial" w:eastAsia="Arial" w:hAnsi="Arial"/>
          <w:sz w:val="18"/>
          <w:szCs w:val="18"/>
          <w:color w:val="auto"/>
        </w:rPr>
        <w:t>Increases to interest expense due to:</w:t>
      </w:r>
    </w:p>
    <w:p>
      <w:pPr>
        <w:spacing w:after="0" w:line="20" w:lineRule="exact"/>
        <w:rPr>
          <w:sz w:val="20"/>
          <w:szCs w:val="20"/>
          <w:color w:val="auto"/>
        </w:rPr>
      </w:pPr>
    </w:p>
    <w:p>
      <w:pPr>
        <w:jc w:val="right"/>
        <w:ind w:right="5740"/>
        <w:spacing w:after="0"/>
        <w:rPr>
          <w:sz w:val="20"/>
          <w:szCs w:val="20"/>
          <w:color w:val="auto"/>
        </w:rPr>
      </w:pPr>
      <w:r>
        <w:rPr>
          <w:rFonts w:ascii="Arial" w:cs="Arial" w:eastAsia="Arial" w:hAnsi="Arial"/>
          <w:sz w:val="18"/>
          <w:szCs w:val="18"/>
          <w:color w:val="auto"/>
        </w:rPr>
        <w:t>New mortgage loan financings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right="640"/>
        <w:spacing w:after="0" w:line="266" w:lineRule="auto"/>
        <w:rPr>
          <w:sz w:val="20"/>
          <w:szCs w:val="20"/>
          <w:color w:val="auto"/>
        </w:rPr>
      </w:pPr>
      <w:r>
        <w:rPr>
          <w:rFonts w:ascii="Arial" w:cs="Arial" w:eastAsia="Arial" w:hAnsi="Arial"/>
          <w:sz w:val="18"/>
          <w:szCs w:val="18"/>
          <w:color w:val="auto"/>
        </w:rPr>
        <w:t>Issuance of $750 million in aggregate principal of 6.500% senior notes due 2034 on May 15, 2023 Unsecured commercial paper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right="3360" w:firstLine="324"/>
        <w:spacing w:after="0" w:line="268" w:lineRule="auto"/>
        <w:rPr>
          <w:sz w:val="20"/>
          <w:szCs w:val="20"/>
          <w:color w:val="auto"/>
        </w:rPr>
      </w:pPr>
      <w:r>
        <w:rPr>
          <w:rFonts w:ascii="Arial" w:cs="Arial" w:eastAsia="Arial" w:hAnsi="Arial"/>
          <w:sz w:val="18"/>
          <w:szCs w:val="18"/>
          <w:color w:val="auto"/>
        </w:rPr>
        <w:t>Decrease in capitalized interest related to development projects Total increases to interest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Decreases to interest expense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Decrease in interest due to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Repayment of $700 million in aggregate principal of 3.800% senior notes due 2024 on February 1, 2024</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Repayment of $500 million in aggregate principal of 3.125% senior notes due 2023 on 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Decrease in interest associated with unsecured term loans and the unsecured credit facility, net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interest expense (excluding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expense of financing fees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decreases to interest expense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change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18,410</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6,115</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5,050</w:t>
            </w:r>
          </w:p>
        </w:tc>
      </w:tr>
      <w:tr>
        <w:trPr>
          <w:trHeight w:val="235"/>
        </w:trPr>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32"/>
        </w:trPr>
        <w:tc>
          <w:tcPr>
            <w:tcW w:w="8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29,857</w:t>
            </w:r>
          </w:p>
        </w:tc>
      </w:tr>
      <w:tr>
        <w:trPr>
          <w:trHeight w:val="444"/>
        </w:trPr>
        <w:tc>
          <w:tcPr>
            <w:tcW w:w="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(7,539)</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(6,709)</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(3,992)</w:t>
            </w:r>
          </w:p>
        </w:tc>
      </w:tr>
      <w:tr>
        <w:trPr>
          <w:trHeight w:val="230"/>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29"/>
        </w:trPr>
        <w:tc>
          <w:tcPr>
            <w:tcW w:w="8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35"/>
        </w:trPr>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(22,688)</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ectPr>
          <w:pgSz w:w="11900" w:h="16838" w:orient="portrait"/>
          <w:cols w:equalWidth="0" w:num="2">
            <w:col w:w="8780" w:space="260"/>
            <w:col w:w="2200"/>
          </w:cols>
          <w:pgMar w:left="320" w:top="283" w:right="339" w:bottom="1440" w:gutter="0" w:footer="0" w:header="0"/>
          <w:type w:val="continuous"/>
        </w:sectPr>
      </w:pPr>
    </w:p>
    <w:p>
      <w:pPr>
        <w:ind w:left="580" w:right="200" w:hanging="329"/>
        <w:spacing w:after="0" w:line="252" w:lineRule="auto"/>
        <w:tabs>
          <w:tab w:leader="none" w:pos="575"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the mortgage loan and, if applicable, fair value debt and swap adjustments collateralized by (1) 325 Main Street, 355 Main Street, 90 Broadway and Cambridge East Garage (also known as Kendall Center Green Garage) properties located in Cambridge, Massachusetts, (2) Santa Monica Business Park located in Santa Monica, California and (3) 901 New York Avenue in Washington, DC (See Note 6 to the Consolidated Financial Statements).</w:t>
      </w:r>
    </w:p>
    <w:p>
      <w:pPr>
        <w:ind w:left="580" w:hanging="329"/>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April 17, 2024, BPLP established an unsecured commercial paper program (See Note 6 to the Consolidated Financial Statements).</w:t>
      </w:r>
    </w:p>
    <w:p>
      <w:pPr>
        <w:spacing w:after="0" w:line="26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June 30, 2024 and 2023 was approximately $10.3 million and $10.6 million, respectively. These costs are not included in the interest expense referenced above.</w:t>
      </w:r>
    </w:p>
    <w:p>
      <w:pPr>
        <w:spacing w:after="0" w:line="12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At June 30, 2024, our variable rate debt consisted of (1) BPLP’s $2.0 billion 2021 Credit Facility, (2) BPLP’s $ 700.0 million 2023 Unsecured Term Loan and (3) BPLP’s $500.0 million unsecured commercial paper notes. As of June 30, 2024, the 2021 Credit Facility did not have a balance outstanding. In addition, we have $900.0 million of mortgage notes collateralized by Santa Monica Business Park and our 325 Main Street, 355 Main Street, 90 Broadway and Kendall Center Green Garage properties that bore interest at variable rates, which have all been hedged with interest rates swaps to fix SOFR for all or a portion of, the applicable debt term. For a summary of our consolidated debt as of June 30, 2024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102" w:lineRule="exact"/>
        <w:rPr>
          <w:sz w:val="20"/>
          <w:szCs w:val="20"/>
          <w:color w:val="auto"/>
        </w:rPr>
      </w:pPr>
    </w:p>
    <w:p>
      <w:pPr>
        <w:ind w:right="300" w:firstLine="445"/>
        <w:spacing w:after="0" w:line="287" w:lineRule="auto"/>
        <w:rPr>
          <w:sz w:val="20"/>
          <w:szCs w:val="20"/>
          <w:color w:val="auto"/>
        </w:rPr>
      </w:pPr>
      <w:r>
        <w:rPr>
          <w:rFonts w:ascii="Arial" w:cs="Arial" w:eastAsia="Arial" w:hAnsi="Arial"/>
          <w:sz w:val="18"/>
          <w:szCs w:val="18"/>
          <w:color w:val="auto"/>
        </w:rPr>
        <w:t>Noncontrolling interests in property partnerships decreased by approximately $1.9 million for the three months ended June 30, 2024 compared to 2023, as detailed below.</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gridSpan w:val="8"/>
          </w:tcPr>
          <w:p>
            <w:pPr>
              <w:jc w:val="center"/>
              <w:spacing w:after="0"/>
              <w:rPr>
                <w:sz w:val="20"/>
                <w:szCs w:val="20"/>
                <w:color w:val="auto"/>
              </w:rPr>
            </w:pPr>
            <w:r>
              <w:rPr>
                <w:rFonts w:ascii="Arial" w:cs="Arial" w:eastAsia="Arial" w:hAnsi="Arial"/>
                <w:sz w:val="16"/>
                <w:szCs w:val="16"/>
                <w:b w:val="1"/>
                <w:bCs w:val="1"/>
                <w:color w:val="auto"/>
              </w:rPr>
              <w:t>Noncontrolling Interests in Property Partnerships for the three</w:t>
            </w: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months ended June 30,</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7"/>
        </w:trPr>
        <w:tc>
          <w:tcPr>
            <w:tcW w:w="6200" w:type="dxa"/>
            <w:vAlign w:val="bottom"/>
            <w:gridSpan w:val="3"/>
          </w:tcPr>
          <w:p>
            <w:pPr>
              <w:spacing w:after="0"/>
              <w:rPr>
                <w:sz w:val="20"/>
                <w:szCs w:val="20"/>
                <w:color w:val="auto"/>
              </w:rPr>
            </w:pPr>
            <w:r>
              <w:rPr>
                <w:rFonts w:ascii="Arial" w:cs="Arial" w:eastAsia="Arial" w:hAnsi="Arial"/>
                <w:sz w:val="16"/>
                <w:szCs w:val="16"/>
                <w:b w:val="1"/>
                <w:bCs w:val="1"/>
                <w:color w:val="auto"/>
              </w:rPr>
              <w:t>Property</w:t>
            </w:r>
          </w:p>
        </w:tc>
        <w:tc>
          <w:tcPr>
            <w:tcW w:w="34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51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r>
      <w:tr>
        <w:trPr>
          <w:trHeight w:val="209"/>
        </w:trPr>
        <w:tc>
          <w:tcPr>
            <w:tcW w:w="340" w:type="dxa"/>
            <w:vAlign w:val="bottom"/>
            <w:tcBorders>
              <w:top w:val="single" w:sz="8" w:color="auto"/>
            </w:tcBorders>
          </w:tcPr>
          <w:p>
            <w:pPr>
              <w:spacing w:after="0"/>
              <w:rPr>
                <w:sz w:val="18"/>
                <w:szCs w:val="18"/>
                <w:color w:val="auto"/>
              </w:rPr>
            </w:pPr>
          </w:p>
        </w:tc>
        <w:tc>
          <w:tcPr>
            <w:tcW w:w="5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767</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Fifth Avenue (the General Motors Building)</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6200" w:type="dxa"/>
            <w:vAlign w:val="bottom"/>
            <w:gridSpan w:val="3"/>
          </w:tcPr>
          <w:p>
            <w:pPr>
              <w:spacing w:after="0"/>
              <w:rPr>
                <w:sz w:val="20"/>
                <w:szCs w:val="20"/>
                <w:color w:val="auto"/>
              </w:rPr>
            </w:pPr>
            <w:r>
              <w:rPr>
                <w:rFonts w:ascii="Arial" w:cs="Arial" w:eastAsia="Arial" w:hAnsi="Arial"/>
                <w:sz w:val="18"/>
                <w:szCs w:val="18"/>
                <w:color w:val="auto"/>
              </w:rPr>
              <w:t>Times Square Tower</w:t>
            </w:r>
          </w:p>
        </w:tc>
        <w:tc>
          <w:tcPr>
            <w:tcW w:w="3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601</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Lexington Avenue (1)</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100</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Federal Street</w:t>
            </w:r>
          </w:p>
        </w:tc>
        <w:tc>
          <w:tcPr>
            <w:tcW w:w="3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Atlantic Wharf Office Building</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343</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Madison Avenue (2)</w:t>
            </w:r>
          </w:p>
        </w:tc>
        <w:tc>
          <w:tcPr>
            <w:tcW w:w="3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Binney Street (3)</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340" w:type="dxa"/>
            <w:vAlign w:val="bottom"/>
          </w:tcPr>
          <w:p>
            <w:pPr>
              <w:spacing w:after="0"/>
              <w:rPr>
                <w:sz w:val="20"/>
                <w:szCs w:val="20"/>
                <w:color w:val="auto"/>
              </w:rPr>
            </w:pPr>
            <w:r>
              <w:rPr>
                <w:rFonts w:ascii="Arial" w:cs="Arial" w:eastAsia="Arial" w:hAnsi="Arial"/>
                <w:sz w:val="18"/>
                <w:szCs w:val="18"/>
                <w:color w:val="auto"/>
              </w:rPr>
              <w:t>290</w:t>
            </w:r>
          </w:p>
        </w:tc>
        <w:tc>
          <w:tcPr>
            <w:tcW w:w="5860" w:type="dxa"/>
            <w:vAlign w:val="bottom"/>
            <w:gridSpan w:val="2"/>
          </w:tcPr>
          <w:p>
            <w:pPr>
              <w:ind w:left="20"/>
              <w:spacing w:after="0"/>
              <w:rPr>
                <w:sz w:val="20"/>
                <w:szCs w:val="20"/>
                <w:color w:val="auto"/>
              </w:rPr>
            </w:pPr>
            <w:r>
              <w:rPr>
                <w:rFonts w:ascii="Arial" w:cs="Arial" w:eastAsia="Arial" w:hAnsi="Arial"/>
                <w:sz w:val="18"/>
                <w:szCs w:val="18"/>
                <w:color w:val="auto"/>
              </w:rPr>
              <w:t>Binney Street (3)</w:t>
            </w:r>
          </w:p>
        </w:tc>
        <w:tc>
          <w:tcPr>
            <w:tcW w:w="3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48"/>
        </w:trPr>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17,825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decrease was primarily attributable to depreciation and amortization expense related to new and expiring clients.</w:t>
      </w:r>
    </w:p>
    <w:p>
      <w:pPr>
        <w:spacing w:after="0" w:line="14" w:lineRule="exact"/>
        <w:rPr>
          <w:rFonts w:ascii="Arial" w:cs="Arial" w:eastAsia="Arial" w:hAnsi="Arial"/>
          <w:sz w:val="16"/>
          <w:szCs w:val="16"/>
          <w:color w:val="auto"/>
        </w:rPr>
      </w:pPr>
    </w:p>
    <w:p>
      <w:pPr>
        <w:ind w:left="580" w:hanging="329"/>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Property is held for future development.</w:t>
      </w:r>
    </w:p>
    <w:p>
      <w:pPr>
        <w:spacing w:after="0" w:line="8" w:lineRule="exact"/>
        <w:rPr>
          <w:rFonts w:ascii="Arial" w:cs="Arial" w:eastAsia="Arial" w:hAnsi="Arial"/>
          <w:sz w:val="16"/>
          <w:szCs w:val="16"/>
          <w:color w:val="auto"/>
        </w:rPr>
      </w:pPr>
    </w:p>
    <w:p>
      <w:pPr>
        <w:ind w:left="580" w:hanging="329"/>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Property is currently under redevelopment or in development.</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102"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For BXP, noncontrolling interest—common units of the Operating Partnership decreased by approximately $2.6 million for the three months ended June 30, 2024 compared to 2023 due primarily to a decrease in allocable income. Due to our ownership structure, there is no corresponding line item on BPLP’s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liquidity needs for the next twelve months and beyond are to:</w:t>
      </w:r>
    </w:p>
    <w:p>
      <w:pPr>
        <w:spacing w:after="0" w:line="158" w:lineRule="exact"/>
        <w:rPr>
          <w:sz w:val="20"/>
          <w:szCs w:val="20"/>
          <w:color w:val="auto"/>
        </w:rPr>
      </w:pPr>
    </w:p>
    <w:p>
      <w:pPr>
        <w:ind w:left="820" w:hanging="32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normal recurring expenses;</w:t>
      </w:r>
    </w:p>
    <w:p>
      <w:pPr>
        <w:spacing w:after="0" w:line="90" w:lineRule="exact"/>
        <w:rPr>
          <w:rFonts w:ascii="Arial" w:cs="Arial" w:eastAsia="Arial" w:hAnsi="Arial"/>
          <w:sz w:val="18"/>
          <w:szCs w:val="18"/>
          <w:color w:val="auto"/>
        </w:rPr>
      </w:pPr>
    </w:p>
    <w:p>
      <w:pPr>
        <w:ind w:left="820" w:right="100" w:hanging="326"/>
        <w:spacing w:after="0" w:line="259" w:lineRule="auto"/>
        <w:tabs>
          <w:tab w:leader="none" w:pos="8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meet debt service and principal repayment obligations and balloon payments on maturing debt, including the $700.0 million of principal outstanding on the 2023 Unsecured Term Loan due May 16, 2025, $850.0 million of 3.200% unsecured senior notes due January 15, 2025, mortgage debt secured by our 901 New York Avenue and Santa Monica Business Park properties aggregating $502.2 million ($202.2 million of which we have the right to extend the maturity date for a period of four years, subject to certain customary conditions) and amounts that become due under BPLP’s unsecured commercial paper program;</w:t>
      </w:r>
    </w:p>
    <w:p>
      <w:pPr>
        <w:spacing w:after="0" w:line="57" w:lineRule="exact"/>
        <w:rPr>
          <w:rFonts w:ascii="Arial" w:cs="Arial" w:eastAsia="Arial" w:hAnsi="Arial"/>
          <w:sz w:val="18"/>
          <w:szCs w:val="18"/>
          <w:color w:val="auto"/>
        </w:rPr>
      </w:pPr>
    </w:p>
    <w:p>
      <w:pPr>
        <w:ind w:left="820" w:hanging="32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capital calls from our unconsolidated joint venture investments to fund capital improvements, leasing costs and debt principal;</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development and redevelopment costs;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capital expenditures, including major renovations, tenant improvements and leasing costs;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fund possible acquisitions of properties, either directly or indirectly through the acquisition of equity interests; and</w:t>
      </w:r>
    </w:p>
    <w:p>
      <w:pPr>
        <w:spacing w:after="0" w:line="103" w:lineRule="exact"/>
        <w:rPr>
          <w:rFonts w:ascii="Arial" w:cs="Arial" w:eastAsia="Arial" w:hAnsi="Arial"/>
          <w:sz w:val="18"/>
          <w:szCs w:val="18"/>
          <w:color w:val="auto"/>
        </w:rPr>
      </w:pPr>
    </w:p>
    <w:p>
      <w:pPr>
        <w:ind w:left="820" w:right="20" w:hanging="326"/>
        <w:spacing w:after="0" w:line="287" w:lineRule="auto"/>
        <w:tabs>
          <w:tab w:leader="none" w:pos="8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the minimum distribution required to enable BXP to maintain its REIT qualification under the Internal Revenue Code of 1986, as amended.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satisfy these needs using one or more of the following:</w:t>
      </w:r>
    </w:p>
    <w:p>
      <w:pPr>
        <w:spacing w:after="0" w:line="144" w:lineRule="exact"/>
        <w:rPr>
          <w:sz w:val="20"/>
          <w:szCs w:val="20"/>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distribution of cash flows from joint ventures;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and cash equivalent balances;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borrowings under BPLP’s 2021 Credit Facility, unsecured term loans, short-term bridge facilities and construction loans;</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long-term secured and unsecured indebtedness (including unsecured exchangeable indebtedness);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20" w:hanging="326"/>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real estate and interests in joint ventures owning real estate;</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private equity sources, including institutional investors; and</w:t>
      </w:r>
    </w:p>
    <w:p>
      <w:pPr>
        <w:spacing w:after="0" w:line="103" w:lineRule="exact"/>
        <w:rPr>
          <w:rFonts w:ascii="Arial" w:cs="Arial" w:eastAsia="Arial" w:hAnsi="Arial"/>
          <w:sz w:val="18"/>
          <w:szCs w:val="18"/>
          <w:color w:val="auto"/>
        </w:rPr>
      </w:pPr>
    </w:p>
    <w:p>
      <w:pPr>
        <w:ind w:left="820" w:hanging="326"/>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issuances of BXP equity securities and/or preferred or common units of partnership interests in BPLP.</w:t>
      </w:r>
    </w:p>
    <w:p>
      <w:pPr>
        <w:spacing w:after="0" w:line="266"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draw on multiple financing sources to fund our long-term capital needs. We expect to fund our current development/redevelopment properties primarily with our available cash balances, funding from institutional private equity partners, construction loans, unsecured term loans, and proceeds from possible asset sales, BPLP’s 2021 Credit Facility and BPLP's commercial paper program. We use BPLP’s 2021 Credit Facility primarily as a bridge facility to fund acquisition opportunities, refinance outstanding indebtedness, fund short-term development costs and for working capital. We also use BPLP’s 2021 Credit Facility to backstop BPLP’s commercial paper program. Although we may seek to fund our development projects with construction loans, which may require guarantees by BPLP, the source of financing for each particular project ultimately depends on several factors, including, among others, the project’s size and duration, whether the project is owned by a joint venture, the extent of pre-leasing, our available cash and access to cost effective capital at the given time.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properties under construction/redevelopment as of June 30, 2024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Financings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Estimated</w:t>
            </w: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Outstanding</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rPr>
              <w:t>Estimated</w:t>
            </w: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Estimated</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Estimated</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Investment</w:t>
            </w:r>
          </w:p>
        </w:tc>
        <w:tc>
          <w:tcPr>
            <w:tcW w:w="860" w:type="dxa"/>
            <w:vAlign w:val="bottom"/>
            <w:gridSpan w:val="3"/>
            <w:vMerge w:val="continue"/>
          </w:tcPr>
          <w:p>
            <w:pPr>
              <w:spacing w:after="0"/>
              <w:rPr>
                <w:sz w:val="11"/>
                <w:szCs w:val="11"/>
                <w:color w:val="auto"/>
              </w:rPr>
            </w:pP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6"/>
              </w:rPr>
              <w:t>Total</w:t>
            </w: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Future</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60" w:type="dxa"/>
            <w:vAlign w:val="bottom"/>
            <w:gridSpan w:val="6"/>
            <w:vMerge w:val="restart"/>
          </w:tcPr>
          <w:p>
            <w:pPr>
              <w:jc w:val="center"/>
              <w:ind w:right="100"/>
              <w:spacing w:after="0"/>
              <w:rPr>
                <w:sz w:val="20"/>
                <w:szCs w:val="20"/>
                <w:color w:val="auto"/>
              </w:rPr>
            </w:pPr>
            <w:r>
              <w:rPr>
                <w:rFonts w:ascii="Arial" w:cs="Arial" w:eastAsia="Arial" w:hAnsi="Arial"/>
                <w:sz w:val="13"/>
                <w:szCs w:val="13"/>
                <w:b w:val="1"/>
                <w:bCs w:val="1"/>
                <w:color w:val="auto"/>
                <w:w w:val="97"/>
              </w:rPr>
              <w:t>Construction/Redevelopment</w:t>
            </w:r>
          </w:p>
        </w:tc>
        <w:tc>
          <w:tcPr>
            <w:tcW w:w="100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 of</w:t>
            </w:r>
          </w:p>
        </w:tc>
        <w:tc>
          <w:tcPr>
            <w:tcW w:w="780" w:type="dxa"/>
            <w:vAlign w:val="bottom"/>
            <w:gridSpan w:val="2"/>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6"/>
              </w:rPr>
              <w:t>Total</w:t>
            </w: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8"/>
              </w:rPr>
              <w:t>at June 30,</w:t>
            </w: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Equity</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60" w:type="dxa"/>
            <w:vAlign w:val="bottom"/>
            <w:gridSpan w:val="6"/>
            <w:vMerge w:val="continue"/>
          </w:tcPr>
          <w:p>
            <w:pPr>
              <w:spacing w:after="0"/>
              <w:rPr>
                <w:sz w:val="10"/>
                <w:szCs w:val="10"/>
                <w:color w:val="auto"/>
              </w:rPr>
            </w:pPr>
          </w:p>
        </w:tc>
        <w:tc>
          <w:tcPr>
            <w:tcW w:w="100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96"/>
              </w:rPr>
              <w:t>Stabilization</w:t>
            </w: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Location</w:t>
            </w:r>
          </w:p>
        </w:tc>
        <w:tc>
          <w:tcPr>
            <w:tcW w:w="700" w:type="dxa"/>
            <w:vAlign w:val="bottom"/>
            <w:gridSpan w:val="2"/>
            <w:vMerge w:val="continue"/>
          </w:tcPr>
          <w:p>
            <w:pPr>
              <w:spacing w:after="0"/>
              <w:rPr>
                <w:sz w:val="10"/>
                <w:szCs w:val="10"/>
                <w:color w:val="auto"/>
              </w:rPr>
            </w:pPr>
          </w:p>
        </w:tc>
        <w:tc>
          <w:tcPr>
            <w:tcW w:w="7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Square</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to Date (1)</w:t>
            </w:r>
          </w:p>
        </w:tc>
        <w:tc>
          <w:tcPr>
            <w:tcW w:w="8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Investment</w:t>
            </w:r>
          </w:p>
        </w:tc>
        <w:tc>
          <w:tcPr>
            <w:tcW w:w="76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94"/>
              </w:rPr>
              <w:t>Available</w:t>
            </w:r>
          </w:p>
        </w:tc>
        <w:tc>
          <w:tcPr>
            <w:tcW w:w="100" w:type="dxa"/>
            <w:vAlign w:val="bottom"/>
          </w:tcPr>
          <w:p>
            <w:pPr>
              <w:spacing w:after="0"/>
              <w:rPr>
                <w:sz w:val="10"/>
                <w:szCs w:val="10"/>
                <w:color w:val="auto"/>
              </w:rPr>
            </w:pPr>
          </w:p>
        </w:tc>
        <w:tc>
          <w:tcPr>
            <w:tcW w:w="760" w:type="dxa"/>
            <w:vAlign w:val="bottom"/>
          </w:tcPr>
          <w:p>
            <w:pPr>
              <w:jc w:val="right"/>
              <w:ind w:right="214"/>
              <w:spacing w:after="0" w:line="122" w:lineRule="exact"/>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0"/>
                <w:szCs w:val="10"/>
                <w:color w:val="auto"/>
              </w:rPr>
            </w:pP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8"/>
              </w:rPr>
              <w:t>Requirement</w:t>
            </w:r>
          </w:p>
        </w:tc>
        <w:tc>
          <w:tcPr>
            <w:tcW w:w="8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center"/>
              <w:ind w:right="800"/>
              <w:spacing w:after="0"/>
              <w:rPr>
                <w:sz w:val="20"/>
                <w:szCs w:val="20"/>
                <w:color w:val="auto"/>
              </w:rPr>
            </w:pPr>
            <w:r>
              <w:rPr>
                <w:rFonts w:ascii="Arial" w:cs="Arial" w:eastAsia="Arial" w:hAnsi="Arial"/>
                <w:sz w:val="13"/>
                <w:szCs w:val="13"/>
                <w:b w:val="1"/>
                <w:bCs w:val="1"/>
                <w:color w:val="auto"/>
                <w:w w:val="96"/>
              </w:rPr>
              <w:t>Properties</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Date</w:t>
            </w:r>
          </w:p>
        </w:tc>
        <w:tc>
          <w:tcPr>
            <w:tcW w:w="1020" w:type="dxa"/>
            <w:vAlign w:val="bottom"/>
            <w:gridSpan w:val="2"/>
            <w:vMerge w:val="continue"/>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Buildings</w:t>
            </w:r>
          </w:p>
        </w:tc>
        <w:tc>
          <w:tcPr>
            <w:tcW w:w="7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6"/>
                <w:szCs w:val="16"/>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(1)(2)</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ind w:right="274"/>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(1)(2)(4)</w:t>
            </w:r>
          </w:p>
        </w:tc>
        <w:tc>
          <w:tcPr>
            <w:tcW w:w="80" w:type="dxa"/>
            <w:vAlign w:val="bottom"/>
          </w:tcPr>
          <w:p>
            <w:pPr>
              <w:spacing w:after="0"/>
              <w:rPr>
                <w:sz w:val="16"/>
                <w:szCs w:val="16"/>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Leased (5)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5"/>
          </w:tcPr>
          <w:p>
            <w:pPr>
              <w:spacing w:after="0" w:line="146" w:lineRule="exact"/>
              <w:rPr>
                <w:sz w:val="20"/>
                <w:szCs w:val="20"/>
                <w:color w:val="auto"/>
              </w:rPr>
            </w:pPr>
            <w:r>
              <w:rPr>
                <w:rFonts w:ascii="Arial" w:cs="Arial" w:eastAsia="Arial" w:hAnsi="Arial"/>
                <w:sz w:val="13"/>
                <w:szCs w:val="13"/>
                <w:b w:val="1"/>
                <w:bCs w:val="1"/>
                <w:color w:val="auto"/>
              </w:rPr>
              <w:t>Office</w:t>
            </w: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360</w:t>
            </w:r>
          </w:p>
        </w:tc>
        <w:tc>
          <w:tcPr>
            <w:tcW w:w="2020" w:type="dxa"/>
            <w:vAlign w:val="bottom"/>
            <w:gridSpan w:val="5"/>
            <w:shd w:val="clear" w:color="auto" w:fill="CCEEFF"/>
          </w:tcPr>
          <w:p>
            <w:pPr>
              <w:ind w:left="20"/>
              <w:spacing w:after="0" w:line="136" w:lineRule="exact"/>
              <w:rPr>
                <w:sz w:val="20"/>
                <w:szCs w:val="20"/>
                <w:color w:val="auto"/>
              </w:rPr>
            </w:pPr>
            <w:r>
              <w:rPr>
                <w:rFonts w:ascii="Arial" w:cs="Arial" w:eastAsia="Arial" w:hAnsi="Arial"/>
                <w:sz w:val="13"/>
                <w:szCs w:val="13"/>
                <w:color w:val="auto"/>
              </w:rPr>
              <w:t>Park Avenue South (71%</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Q4 2026</w:t>
            </w: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New York, NY</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450,000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340,837</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418,300</w:t>
            </w:r>
          </w:p>
        </w:tc>
        <w:tc>
          <w:tcPr>
            <w:tcW w:w="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$ 156,470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77,463</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23 %</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ownership) (Redevelopment)</w:t>
            </w: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6"/>
          </w:tcPr>
          <w:p>
            <w:pPr>
              <w:spacing w:after="0"/>
              <w:rPr>
                <w:sz w:val="20"/>
                <w:szCs w:val="20"/>
                <w:color w:val="auto"/>
              </w:rPr>
            </w:pPr>
            <w:r>
              <w:rPr>
                <w:rFonts w:ascii="Arial" w:cs="Arial" w:eastAsia="Arial" w:hAnsi="Arial"/>
                <w:sz w:val="13"/>
                <w:szCs w:val="13"/>
                <w:color w:val="auto"/>
              </w:rPr>
              <w:t>Reston Next Office Phase II</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rPr>
              <w:t>Q2 2026</w:t>
            </w: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90,000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43,076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61,000</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17,924</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4 %</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CCEEFF"/>
            </w:tcBorders>
            <w:gridSpan w:val="10"/>
            <w:shd w:val="clear" w:color="auto" w:fill="CCEEFF"/>
          </w:tcPr>
          <w:p>
            <w:pPr>
              <w:ind w:left="160"/>
              <w:spacing w:after="0"/>
              <w:rPr>
                <w:sz w:val="20"/>
                <w:szCs w:val="20"/>
                <w:color w:val="auto"/>
              </w:rPr>
            </w:pPr>
            <w:r>
              <w:rPr>
                <w:rFonts w:ascii="Arial" w:cs="Arial" w:eastAsia="Arial" w:hAnsi="Arial"/>
                <w:sz w:val="13"/>
                <w:szCs w:val="13"/>
                <w:b w:val="1"/>
                <w:bCs w:val="1"/>
                <w:color w:val="auto"/>
              </w:rPr>
              <w:t>Total Office Properties under Construction/Redevelopment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2</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540,000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383,913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479,300</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156,470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95,387</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Laboratory/Life Sciences</w:t>
            </w:r>
          </w:p>
        </w:tc>
        <w:tc>
          <w:tcPr>
            <w:tcW w:w="640" w:type="dxa"/>
            <w:vAlign w:val="bottom"/>
            <w:tcBorders>
              <w:bottom w:val="single" w:sz="8" w:color="CCEEFF"/>
            </w:tcBorders>
            <w:gridSpan w:val="2"/>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103</w:t>
            </w:r>
          </w:p>
        </w:tc>
        <w:tc>
          <w:tcPr>
            <w:tcW w:w="2020" w:type="dxa"/>
            <w:vAlign w:val="bottom"/>
            <w:gridSpan w:val="5"/>
          </w:tcPr>
          <w:p>
            <w:pPr>
              <w:ind w:left="20"/>
              <w:spacing w:after="0"/>
              <w:rPr>
                <w:sz w:val="20"/>
                <w:szCs w:val="20"/>
                <w:color w:val="auto"/>
              </w:rPr>
            </w:pPr>
            <w:r>
              <w:rPr>
                <w:rFonts w:ascii="Arial" w:cs="Arial" w:eastAsia="Arial" w:hAnsi="Arial"/>
                <w:sz w:val="13"/>
                <w:szCs w:val="13"/>
                <w:color w:val="auto"/>
              </w:rPr>
              <w:t>CityPoint</w:t>
            </w:r>
          </w:p>
        </w:tc>
        <w:tc>
          <w:tcPr>
            <w:tcW w:w="1000" w:type="dxa"/>
            <w:vAlign w:val="bottom"/>
            <w:gridSpan w:val="2"/>
          </w:tcPr>
          <w:p>
            <w:pPr>
              <w:jc w:val="center"/>
              <w:ind w:right="80"/>
              <w:spacing w:after="0"/>
              <w:rPr>
                <w:sz w:val="20"/>
                <w:szCs w:val="20"/>
                <w:color w:val="auto"/>
              </w:rPr>
            </w:pPr>
            <w:r>
              <w:rPr>
                <w:rFonts w:ascii="Arial" w:cs="Arial" w:eastAsia="Arial" w:hAnsi="Arial"/>
                <w:sz w:val="13"/>
                <w:szCs w:val="13"/>
                <w:color w:val="auto"/>
              </w:rPr>
              <w:t>Q4 2026</w:t>
            </w: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113,000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90,502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115,100</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24,598</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320" w:type="dxa"/>
            <w:vAlign w:val="bottom"/>
          </w:tcPr>
          <w:p>
            <w:pPr>
              <w:ind w:lef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5"/>
        </w:trPr>
        <w:tc>
          <w:tcPr>
            <w:tcW w:w="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180</w:t>
            </w:r>
          </w:p>
        </w:tc>
        <w:tc>
          <w:tcPr>
            <w:tcW w:w="2020" w:type="dxa"/>
            <w:vAlign w:val="bottom"/>
            <w:gridSpan w:val="5"/>
            <w:shd w:val="clear" w:color="auto" w:fill="CCEEFF"/>
          </w:tcPr>
          <w:p>
            <w:pPr>
              <w:ind w:left="20"/>
              <w:spacing w:after="0"/>
              <w:rPr>
                <w:sz w:val="20"/>
                <w:szCs w:val="20"/>
                <w:color w:val="auto"/>
              </w:rPr>
            </w:pPr>
            <w:r>
              <w:rPr>
                <w:rFonts w:ascii="Arial" w:cs="Arial" w:eastAsia="Arial" w:hAnsi="Arial"/>
                <w:sz w:val="13"/>
                <w:szCs w:val="13"/>
                <w:color w:val="auto"/>
              </w:rPr>
              <w:t>CityPoint</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Q2 2026</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Waltham, MA</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329,000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225,827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290,500</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64,673</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6"/>
        </w:trPr>
        <w:tc>
          <w:tcPr>
            <w:tcW w:w="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300</w:t>
            </w:r>
          </w:p>
        </w:tc>
        <w:tc>
          <w:tcPr>
            <w:tcW w:w="2020" w:type="dxa"/>
            <w:vAlign w:val="bottom"/>
            <w:gridSpan w:val="5"/>
          </w:tcPr>
          <w:p>
            <w:pPr>
              <w:ind w:left="20"/>
              <w:spacing w:after="0" w:line="136" w:lineRule="exact"/>
              <w:rPr>
                <w:sz w:val="20"/>
                <w:szCs w:val="20"/>
                <w:color w:val="auto"/>
              </w:rPr>
            </w:pPr>
            <w:r>
              <w:rPr>
                <w:rFonts w:ascii="Arial" w:cs="Arial" w:eastAsia="Arial" w:hAnsi="Arial"/>
                <w:sz w:val="13"/>
                <w:szCs w:val="13"/>
                <w:color w:val="auto"/>
              </w:rPr>
              <w:t>Binney Street (55% ownership)</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Q1 2025</w:t>
            </w:r>
          </w:p>
        </w:tc>
        <w:tc>
          <w:tcPr>
            <w:tcW w:w="102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Cambridge,</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236,000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34,821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112,900</w:t>
            </w: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78,079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6"/>
          </w:tcPr>
          <w:p>
            <w:pPr>
              <w:ind w:left="160"/>
              <w:spacing w:after="0"/>
              <w:rPr>
                <w:sz w:val="20"/>
                <w:szCs w:val="20"/>
                <w:color w:val="auto"/>
              </w:rPr>
            </w:pPr>
            <w:r>
              <w:rPr>
                <w:rFonts w:ascii="Arial" w:cs="Arial" w:eastAsia="Arial" w:hAnsi="Arial"/>
                <w:sz w:val="13"/>
                <w:szCs w:val="13"/>
                <w:color w:val="auto"/>
              </w:rPr>
              <w:t>(Redevelopment)</w:t>
            </w:r>
          </w:p>
        </w:tc>
        <w:tc>
          <w:tcPr>
            <w:tcW w:w="1000" w:type="dxa"/>
            <w:vAlign w:val="bottom"/>
            <w:gridSpan w:val="2"/>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651</w:t>
            </w:r>
          </w:p>
        </w:tc>
        <w:tc>
          <w:tcPr>
            <w:tcW w:w="2020" w:type="dxa"/>
            <w:vAlign w:val="bottom"/>
            <w:gridSpan w:val="5"/>
            <w:shd w:val="clear" w:color="auto" w:fill="CCEEFF"/>
          </w:tcPr>
          <w:p>
            <w:pPr>
              <w:ind w:left="20"/>
              <w:spacing w:after="0" w:line="142" w:lineRule="exact"/>
              <w:rPr>
                <w:sz w:val="20"/>
                <w:szCs w:val="20"/>
                <w:color w:val="auto"/>
              </w:rPr>
            </w:pPr>
            <w:r>
              <w:rPr>
                <w:rFonts w:ascii="Arial" w:cs="Arial" w:eastAsia="Arial" w:hAnsi="Arial"/>
                <w:sz w:val="13"/>
                <w:szCs w:val="13"/>
                <w:color w:val="auto"/>
              </w:rPr>
              <w:t>Gateway (50% ownership)</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Q3 2026</w:t>
            </w:r>
          </w:p>
        </w:tc>
        <w:tc>
          <w:tcPr>
            <w:tcW w:w="10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South San</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327,000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121,834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167,100</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45,266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26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Francisco, CA</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auto"/>
              </w:rPr>
              <w:t>290</w:t>
            </w:r>
          </w:p>
        </w:tc>
        <w:tc>
          <w:tcPr>
            <w:tcW w:w="2020" w:type="dxa"/>
            <w:vAlign w:val="bottom"/>
            <w:gridSpan w:val="5"/>
            <w:vMerge w:val="restart"/>
          </w:tcPr>
          <w:p>
            <w:pPr>
              <w:ind w:left="20"/>
              <w:spacing w:after="0"/>
              <w:rPr>
                <w:sz w:val="20"/>
                <w:szCs w:val="20"/>
                <w:color w:val="auto"/>
              </w:rPr>
            </w:pPr>
            <w:r>
              <w:rPr>
                <w:rFonts w:ascii="Arial" w:cs="Arial" w:eastAsia="Arial" w:hAnsi="Arial"/>
                <w:sz w:val="13"/>
                <w:szCs w:val="13"/>
                <w:color w:val="auto"/>
              </w:rPr>
              <w:t>Binney Street (55% ownership)</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Q2 2026</w:t>
            </w:r>
          </w:p>
        </w:tc>
        <w:tc>
          <w:tcPr>
            <w:tcW w:w="102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Cambridge,</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573,000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207,568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508,000</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300,432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2"/>
        </w:trPr>
        <w:tc>
          <w:tcPr>
            <w:tcW w:w="260" w:type="dxa"/>
            <w:vAlign w:val="bottom"/>
            <w:tcBorders>
              <w:bottom w:val="single" w:sz="8" w:color="CCEEFF"/>
            </w:tcBorders>
            <w:gridSpan w:val="2"/>
            <w:vMerge w:val="continue"/>
          </w:tcPr>
          <w:p>
            <w:pPr>
              <w:spacing w:after="0"/>
              <w:rPr>
                <w:sz w:val="15"/>
                <w:szCs w:val="15"/>
                <w:color w:val="auto"/>
              </w:rPr>
            </w:pPr>
          </w:p>
        </w:tc>
        <w:tc>
          <w:tcPr>
            <w:tcW w:w="2020" w:type="dxa"/>
            <w:vAlign w:val="bottom"/>
            <w:tcBorders>
              <w:bottom w:val="single" w:sz="8" w:color="CCEEFF"/>
            </w:tcBorders>
            <w:gridSpan w:val="5"/>
            <w:vMerge w:val="continue"/>
          </w:tcPr>
          <w:p>
            <w:pPr>
              <w:spacing w:after="0"/>
              <w:rPr>
                <w:sz w:val="15"/>
                <w:szCs w:val="15"/>
                <w:color w:val="auto"/>
              </w:rPr>
            </w:pPr>
          </w:p>
        </w:tc>
        <w:tc>
          <w:tcPr>
            <w:tcW w:w="1000" w:type="dxa"/>
            <w:vAlign w:val="bottom"/>
            <w:tcBorders>
              <w:bottom w:val="single" w:sz="8" w:color="CCEEFF"/>
            </w:tcBorders>
            <w:gridSpan w:val="2"/>
            <w:vMerge w:val="continue"/>
          </w:tcPr>
          <w:p>
            <w:pPr>
              <w:spacing w:after="0"/>
              <w:rPr>
                <w:sz w:val="15"/>
                <w:szCs w:val="15"/>
                <w:color w:val="auto"/>
              </w:rPr>
            </w:pPr>
          </w:p>
        </w:tc>
        <w:tc>
          <w:tcPr>
            <w:tcW w:w="1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MA</w:t>
            </w: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3260" w:type="dxa"/>
            <w:vAlign w:val="bottom"/>
            <w:gridSpan w:val="8"/>
            <w:shd w:val="clear" w:color="auto" w:fill="CCEEFF"/>
          </w:tcPr>
          <w:p>
            <w:pPr>
              <w:ind w:left="160"/>
              <w:spacing w:after="0" w:line="121" w:lineRule="exact"/>
              <w:rPr>
                <w:sz w:val="20"/>
                <w:szCs w:val="20"/>
                <w:color w:val="auto"/>
              </w:rPr>
            </w:pPr>
            <w:r>
              <w:rPr>
                <w:rFonts w:ascii="Arial" w:cs="Arial" w:eastAsia="Arial" w:hAnsi="Arial"/>
                <w:sz w:val="13"/>
                <w:szCs w:val="13"/>
                <w:b w:val="1"/>
                <w:bCs w:val="1"/>
                <w:color w:val="auto"/>
              </w:rPr>
              <w:t>Total Laboratory/Life Sciences Properties under</w:t>
            </w: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1,578,000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680,552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1,193,600</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513,048</w:t>
            </w:r>
          </w:p>
        </w:tc>
        <w:tc>
          <w:tcPr>
            <w:tcW w:w="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65 %</w:t>
            </w: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20" w:type="dxa"/>
            <w:vAlign w:val="bottom"/>
            <w:gridSpan w:val="5"/>
            <w:shd w:val="clear" w:color="auto" w:fill="CCEEFF"/>
          </w:tcPr>
          <w:p>
            <w:pPr>
              <w:ind w:left="100"/>
              <w:spacing w:after="0"/>
              <w:rPr>
                <w:sz w:val="20"/>
                <w:szCs w:val="20"/>
                <w:color w:val="auto"/>
              </w:rPr>
            </w:pPr>
            <w:r>
              <w:rPr>
                <w:rFonts w:ascii="Arial" w:cs="Arial" w:eastAsia="Arial" w:hAnsi="Arial"/>
                <w:sz w:val="13"/>
                <w:szCs w:val="13"/>
                <w:b w:val="1"/>
                <w:bCs w:val="1"/>
                <w:color w:val="auto"/>
              </w:rPr>
              <w:t>Construction/Redevelopment</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26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Residential</w:t>
            </w: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6"/>
          </w:tcPr>
          <w:p>
            <w:pPr>
              <w:spacing w:after="0" w:line="136" w:lineRule="exact"/>
              <w:rPr>
                <w:sz w:val="20"/>
                <w:szCs w:val="20"/>
                <w:color w:val="auto"/>
              </w:rPr>
            </w:pPr>
            <w:r>
              <w:rPr>
                <w:rFonts w:ascii="Arial" w:cs="Arial" w:eastAsia="Arial" w:hAnsi="Arial"/>
                <w:sz w:val="13"/>
                <w:szCs w:val="13"/>
                <w:color w:val="auto"/>
              </w:rPr>
              <w:t>Skymark - Reston Next Residential</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Q2 2026</w:t>
            </w: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1"/>
                <w:szCs w:val="11"/>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3"/>
                <w:szCs w:val="13"/>
                <w:color w:val="auto"/>
              </w:rPr>
              <w:t>417,000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40,240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47,700</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22,332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1,792</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21 %</w:t>
            </w:r>
          </w:p>
        </w:tc>
        <w:tc>
          <w:tcPr>
            <w:tcW w:w="320" w:type="dxa"/>
            <w:vAlign w:val="bottom"/>
            <w:vMerge w:val="restart"/>
          </w:tcPr>
          <w:p>
            <w:pPr>
              <w:ind w:lef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60" w:type="dxa"/>
            <w:vAlign w:val="bottom"/>
            <w:gridSpan w:val="6"/>
          </w:tcPr>
          <w:p>
            <w:pPr>
              <w:ind w:left="160"/>
              <w:spacing w:after="0"/>
              <w:rPr>
                <w:sz w:val="20"/>
                <w:szCs w:val="20"/>
                <w:color w:val="auto"/>
              </w:rPr>
            </w:pPr>
            <w:r>
              <w:rPr>
                <w:rFonts w:ascii="Arial" w:cs="Arial" w:eastAsia="Arial" w:hAnsi="Arial"/>
                <w:sz w:val="13"/>
                <w:szCs w:val="13"/>
                <w:color w:val="auto"/>
              </w:rPr>
              <w:t>(508 units) (20% ownership)</w:t>
            </w:r>
          </w:p>
        </w:tc>
        <w:tc>
          <w:tcPr>
            <w:tcW w:w="10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121</w:t>
            </w:r>
          </w:p>
        </w:tc>
        <w:tc>
          <w:tcPr>
            <w:tcW w:w="2020" w:type="dxa"/>
            <w:vAlign w:val="bottom"/>
            <w:gridSpan w:val="5"/>
            <w:vMerge w:val="restart"/>
            <w:shd w:val="clear" w:color="auto" w:fill="CCEEFF"/>
          </w:tcPr>
          <w:p>
            <w:pPr>
              <w:ind w:left="20"/>
              <w:spacing w:after="0"/>
              <w:rPr>
                <w:sz w:val="20"/>
                <w:szCs w:val="20"/>
                <w:color w:val="auto"/>
              </w:rPr>
            </w:pPr>
            <w:r>
              <w:rPr>
                <w:rFonts w:ascii="Arial" w:cs="Arial" w:eastAsia="Arial" w:hAnsi="Arial"/>
                <w:sz w:val="13"/>
                <w:szCs w:val="13"/>
                <w:color w:val="auto"/>
              </w:rPr>
              <w:t>Broadway Street (439 units)</w:t>
            </w:r>
          </w:p>
        </w:tc>
        <w:tc>
          <w:tcPr>
            <w:tcW w:w="10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3"/>
                <w:szCs w:val="13"/>
                <w:color w:val="auto"/>
              </w:rPr>
              <w:t>Q2 2029</w:t>
            </w:r>
          </w:p>
        </w:tc>
        <w:tc>
          <w:tcPr>
            <w:tcW w:w="10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Cambridge,</w:t>
            </w: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492,000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56,453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597,800</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541,347</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0" w:type="dxa"/>
            <w:vAlign w:val="bottom"/>
            <w:gridSpan w:val="2"/>
            <w:vMerge w:val="continue"/>
            <w:shd w:val="clear" w:color="auto" w:fill="CCEEFF"/>
          </w:tcPr>
          <w:p>
            <w:pPr>
              <w:spacing w:after="0"/>
              <w:rPr>
                <w:sz w:val="16"/>
                <w:szCs w:val="16"/>
                <w:color w:val="auto"/>
              </w:rPr>
            </w:pPr>
          </w:p>
        </w:tc>
        <w:tc>
          <w:tcPr>
            <w:tcW w:w="2020" w:type="dxa"/>
            <w:vAlign w:val="bottom"/>
            <w:gridSpan w:val="5"/>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gridSpan w:val="8"/>
          </w:tcPr>
          <w:p>
            <w:pPr>
              <w:ind w:left="160"/>
              <w:spacing w:after="0" w:line="115" w:lineRule="exact"/>
              <w:rPr>
                <w:sz w:val="20"/>
                <w:szCs w:val="20"/>
                <w:color w:val="auto"/>
              </w:rPr>
            </w:pPr>
            <w:r>
              <w:rPr>
                <w:rFonts w:ascii="Arial" w:cs="Arial" w:eastAsia="Arial" w:hAnsi="Arial"/>
                <w:sz w:val="13"/>
                <w:szCs w:val="13"/>
                <w:b w:val="1"/>
                <w:bCs w:val="1"/>
                <w:color w:val="auto"/>
              </w:rPr>
              <w:t>Total Residential Properties under</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auto"/>
                <w:w w:val="82"/>
              </w:rPr>
              <w:t>2</w:t>
            </w:r>
          </w:p>
        </w:tc>
        <w:tc>
          <w:tcPr>
            <w:tcW w:w="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3"/>
                <w:szCs w:val="13"/>
                <w:color w:val="auto"/>
              </w:rPr>
              <w:t>909,000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96,693</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645,500</w:t>
            </w:r>
          </w:p>
        </w:tc>
        <w:tc>
          <w:tcPr>
            <w:tcW w:w="80" w:type="dxa"/>
            <w:vAlign w:val="bottom"/>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22,332</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3"/>
                <w:szCs w:val="13"/>
                <w:color w:val="auto"/>
              </w:rPr>
              <w:t>543,139</w:t>
            </w:r>
          </w:p>
        </w:tc>
        <w:tc>
          <w:tcPr>
            <w:tcW w:w="80" w:type="dxa"/>
            <w:vAlign w:val="bottom"/>
          </w:tcPr>
          <w:p>
            <w:pPr>
              <w:spacing w:after="0"/>
              <w:rPr>
                <w:sz w:val="10"/>
                <w:szCs w:val="10"/>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10 %</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gridSpan w:val="6"/>
          </w:tcPr>
          <w:p>
            <w:pPr>
              <w:ind w:left="160"/>
              <w:spacing w:after="0"/>
              <w:rPr>
                <w:sz w:val="20"/>
                <w:szCs w:val="20"/>
                <w:color w:val="auto"/>
              </w:rPr>
            </w:pPr>
            <w:r>
              <w:rPr>
                <w:rFonts w:ascii="Arial" w:cs="Arial" w:eastAsia="Arial" w:hAnsi="Arial"/>
                <w:sz w:val="13"/>
                <w:szCs w:val="13"/>
                <w:b w:val="1"/>
                <w:bCs w:val="1"/>
                <w:color w:val="auto"/>
              </w:rPr>
              <w:t>Construction</w:t>
            </w:r>
          </w:p>
        </w:tc>
        <w:tc>
          <w:tcPr>
            <w:tcW w:w="9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6"/>
          </w:tcPr>
          <w:p>
            <w:pPr>
              <w:spacing w:after="0"/>
              <w:rPr>
                <w:sz w:val="20"/>
                <w:szCs w:val="20"/>
                <w:color w:val="auto"/>
              </w:rPr>
            </w:pPr>
            <w:r>
              <w:rPr>
                <w:rFonts w:ascii="Arial" w:cs="Arial" w:eastAsia="Arial" w:hAnsi="Arial"/>
                <w:sz w:val="13"/>
                <w:szCs w:val="13"/>
                <w:b w:val="1"/>
                <w:bCs w:val="1"/>
                <w:color w:val="auto"/>
              </w:rPr>
              <w:t>Retail</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Reston Next Retail</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Q4 2025</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Reston, VA</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33,000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22,968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26,600</w:t>
            </w:r>
          </w:p>
        </w:tc>
        <w:tc>
          <w:tcPr>
            <w:tcW w:w="8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3,632</w:t>
            </w: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60" w:type="dxa"/>
            <w:vAlign w:val="bottom"/>
            <w:gridSpan w:val="8"/>
          </w:tcPr>
          <w:p>
            <w:pPr>
              <w:ind w:left="160"/>
              <w:spacing w:after="0"/>
              <w:rPr>
                <w:sz w:val="20"/>
                <w:szCs w:val="20"/>
                <w:color w:val="auto"/>
              </w:rPr>
            </w:pPr>
            <w:r>
              <w:rPr>
                <w:rFonts w:ascii="Arial" w:cs="Arial" w:eastAsia="Arial" w:hAnsi="Arial"/>
                <w:sz w:val="13"/>
                <w:szCs w:val="13"/>
                <w:b w:val="1"/>
                <w:bCs w:val="1"/>
                <w:color w:val="auto"/>
              </w:rPr>
              <w:t>Total Retail Properties under Construction</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80" w:type="dxa"/>
            <w:vAlign w:val="bottom"/>
          </w:tcPr>
          <w:p>
            <w:pPr>
              <w:spacing w:after="0"/>
              <w:rPr>
                <w:sz w:val="15"/>
                <w:szCs w:val="15"/>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33,000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22,968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26,600</w:t>
            </w:r>
          </w:p>
        </w:tc>
        <w:tc>
          <w:tcPr>
            <w:tcW w:w="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3,632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 %</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10"/>
          </w:tcPr>
          <w:p>
            <w:pPr>
              <w:ind w:left="160"/>
              <w:spacing w:after="0"/>
              <w:rPr>
                <w:sz w:val="20"/>
                <w:szCs w:val="20"/>
                <w:color w:val="auto"/>
              </w:rPr>
            </w:pPr>
            <w:r>
              <w:rPr>
                <w:rFonts w:ascii="Arial" w:cs="Arial" w:eastAsia="Arial" w:hAnsi="Arial"/>
                <w:sz w:val="13"/>
                <w:szCs w:val="13"/>
                <w:b w:val="1"/>
                <w:bCs w:val="1"/>
                <w:color w:val="auto"/>
              </w:rPr>
              <w:t>Total Properties under Construction/Redevelopment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3,060,000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1,184,126</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2,345,000</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$ 184,470</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178,802</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1,155,206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53 %</w:t>
            </w:r>
          </w:p>
        </w:tc>
        <w:tc>
          <w:tcPr>
            <w:tcW w:w="320" w:type="dxa"/>
            <w:vAlign w:val="bottom"/>
          </w:tcPr>
          <w:p>
            <w:pPr>
              <w:ind w:left="2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1640" w:type="dxa"/>
            <w:vAlign w:val="bottom"/>
            <w:gridSpan w:val="5"/>
            <w:vMerge w:val="restart"/>
          </w:tcPr>
          <w:p>
            <w:pPr>
              <w:spacing w:after="0"/>
              <w:rPr>
                <w:sz w:val="20"/>
                <w:szCs w:val="20"/>
                <w:color w:val="auto"/>
              </w:rPr>
            </w:pPr>
            <w:r>
              <w:rPr>
                <w:rFonts w:ascii="Arial" w:cs="Arial" w:eastAsia="Arial" w:hAnsi="Arial"/>
                <w:sz w:val="18"/>
                <w:szCs w:val="18"/>
                <w:color w:val="auto"/>
              </w:rPr>
              <w:t>___________</w:t>
            </w: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640" w:type="dxa"/>
            <w:vAlign w:val="bottom"/>
            <w:gridSpan w:val="5"/>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Represents our share.</w:t>
      </w:r>
    </w:p>
    <w:p>
      <w:pPr>
        <w:spacing w:after="0" w:line="13" w:lineRule="exact"/>
        <w:rPr>
          <w:rFonts w:ascii="Arial" w:cs="Arial" w:eastAsia="Arial" w:hAnsi="Arial"/>
          <w:sz w:val="15"/>
          <w:szCs w:val="15"/>
          <w:color w:val="auto"/>
        </w:rPr>
      </w:pPr>
    </w:p>
    <w:p>
      <w:pPr>
        <w:ind w:left="580" w:right="340" w:hanging="329"/>
        <w:spacing w:after="0" w:line="256" w:lineRule="auto"/>
        <w:tabs>
          <w:tab w:leader="none" w:pos="578" w:val="left"/>
        </w:tabs>
        <w:numPr>
          <w:ilvl w:val="0"/>
          <w:numId w:val="57"/>
        </w:numPr>
        <w:rPr>
          <w:rFonts w:ascii="Arial" w:cs="Arial" w:eastAsia="Arial" w:hAnsi="Arial"/>
          <w:sz w:val="15"/>
          <w:szCs w:val="15"/>
          <w:color w:val="auto"/>
        </w:rPr>
      </w:pPr>
      <w:r>
        <w:rPr>
          <w:rFonts w:ascii="Arial" w:cs="Arial" w:eastAsia="Arial" w:hAnsi="Arial"/>
          <w:sz w:val="15"/>
          <w:szCs w:val="15"/>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June 30, 2024.</w:t>
      </w:r>
    </w:p>
    <w:p>
      <w:pPr>
        <w:spacing w:after="0" w:line="1"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Includes approximately $62.3 million of unpaid but accrued construction costs and leasing commissions.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Excludes approximately $62.3 million of unpaid but accrued construction costs and leasing commissions.</w:t>
      </w:r>
    </w:p>
    <w:p>
      <w:pPr>
        <w:spacing w:after="0" w:line="13"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Represents percentage leased as of July 31, 2024, including leases with future commencement dates.</w:t>
      </w:r>
    </w:p>
    <w:p>
      <w:pPr>
        <w:spacing w:after="0" w:line="5"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June 30, 2024, this property was 4% placed in-service.</w:t>
      </w:r>
    </w:p>
    <w:p>
      <w:pPr>
        <w:spacing w:after="0" w:line="13" w:lineRule="exact"/>
        <w:rPr>
          <w:rFonts w:ascii="Arial" w:cs="Arial" w:eastAsia="Arial" w:hAnsi="Arial"/>
          <w:sz w:val="15"/>
          <w:szCs w:val="15"/>
          <w:color w:val="auto"/>
        </w:rPr>
      </w:pP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June 30, 2024, this property was 46% placed in-service.</w:t>
      </w:r>
    </w:p>
    <w:p>
      <w:pPr>
        <w:spacing w:after="0" w:line="16" w:lineRule="exact"/>
        <w:rPr>
          <w:rFonts w:ascii="Arial" w:cs="Arial" w:eastAsia="Arial" w:hAnsi="Arial"/>
          <w:sz w:val="15"/>
          <w:szCs w:val="15"/>
          <w:color w:val="auto"/>
        </w:rPr>
      </w:pPr>
    </w:p>
    <w:p>
      <w:pPr>
        <w:ind w:left="580" w:right="120" w:hanging="329"/>
        <w:spacing w:after="0" w:line="253" w:lineRule="auto"/>
        <w:tabs>
          <w:tab w:leader="none" w:pos="578"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institutional investor funded approximately $212.9 million at closing for its investment in 300 Binney Street. We withdrew approximately $212.9 million at closing and will fund all future costs of the project.</w:t>
      </w:r>
    </w:p>
    <w:p>
      <w:pPr>
        <w:ind w:left="580" w:hanging="329"/>
        <w:spacing w:after="0"/>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As of June 30, 2024, this property was 14% placed in-service.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0" w:hanging="329"/>
        <w:spacing w:after="0" w:line="258" w:lineRule="auto"/>
        <w:tabs>
          <w:tab w:leader="none" w:pos="568"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March 21, 2024, we completed the sale of a 45% interest in 290 Binney Street (See Note 9 to the Consolidated Financial Statements). The project budget reflects our 55% share of joint venture costs related to 290 Binney Street. We have the sole obligation to construct an underground electrical vault for an estimated gross cost of $183.9 million. Upon completion, we have entered into a contract to sell the electrical vault to a third party for a fixed price of $84.1 million upon completion. The net investment of $99.8 million will be included in our outside basis in 290 Binney Street. We have invested $47.1 million for the vault as of June 30, 2024.</w:t>
      </w:r>
    </w:p>
    <w:p>
      <w:pPr>
        <w:spacing w:after="0" w:line="2" w:lineRule="exact"/>
        <w:rPr>
          <w:rFonts w:ascii="Arial" w:cs="Arial" w:eastAsia="Arial" w:hAnsi="Arial"/>
          <w:sz w:val="15"/>
          <w:szCs w:val="15"/>
          <w:color w:val="auto"/>
        </w:rPr>
      </w:pPr>
    </w:p>
    <w:p>
      <w:pPr>
        <w:ind w:left="560" w:hanging="309"/>
        <w:spacing w:after="0"/>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This property was partially placed in-service on July 12, 2024 (See Note 14 to the Consolidated Financial Statements).</w:t>
      </w:r>
    </w:p>
    <w:p>
      <w:pPr>
        <w:spacing w:after="0" w:line="16" w:lineRule="exact"/>
        <w:rPr>
          <w:rFonts w:ascii="Arial" w:cs="Arial" w:eastAsia="Arial" w:hAnsi="Arial"/>
          <w:sz w:val="15"/>
          <w:szCs w:val="15"/>
          <w:color w:val="auto"/>
        </w:rPr>
      </w:pPr>
    </w:p>
    <w:p>
      <w:pPr>
        <w:ind w:left="560" w:hanging="309"/>
        <w:spacing w:after="0"/>
        <w:tabs>
          <w:tab w:leader="none" w:pos="5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Percentage leased excludes the residential properties.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interest earned on cash deposits and, from time to time, the sale of assets. We believe these sources of capital will continue to provide the funds necessary for our short-term liquidity needs. Material adverse changes in one or more sources of capital may adversely affect our net cash flows.</w:t>
      </w:r>
    </w:p>
    <w:p>
      <w:pPr>
        <w:spacing w:after="0" w:line="128" w:lineRule="exact"/>
        <w:rPr>
          <w:sz w:val="20"/>
          <w:szCs w:val="20"/>
          <w:color w:val="auto"/>
        </w:rPr>
      </w:pPr>
    </w:p>
    <w:p>
      <w:pPr>
        <w:ind w:right="740" w:firstLine="445"/>
        <w:spacing w:after="0" w:line="287" w:lineRule="auto"/>
        <w:rPr>
          <w:sz w:val="20"/>
          <w:szCs w:val="20"/>
          <w:color w:val="auto"/>
        </w:rPr>
      </w:pPr>
      <w:r>
        <w:rPr>
          <w:rFonts w:ascii="Arial" w:cs="Arial" w:eastAsia="Arial" w:hAnsi="Arial"/>
          <w:sz w:val="18"/>
          <w:szCs w:val="18"/>
          <w:color w:val="auto"/>
        </w:rPr>
        <w:t>We expect our primary uses of capital over the next twelve months will be to fund our current and committed development and redevelopment projects, meet debt service and principal repayment obligations, and satisfy our REIT distribution requirements.</w:t>
      </w:r>
    </w:p>
    <w:p>
      <w:pPr>
        <w:spacing w:after="0" w:line="99"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As of June 30, 2024, we had 10 properties under development or redevelopment. BXP’s Share of the estimated total investment for these projects is approximately $2.5 billion, of which approximately $1.3 billion remains to be funded primarily with equity through 2029.</w:t>
      </w:r>
    </w:p>
    <w:p>
      <w:pPr>
        <w:spacing w:after="0" w:line="99" w:lineRule="exact"/>
        <w:rPr>
          <w:sz w:val="20"/>
          <w:szCs w:val="20"/>
          <w:color w:val="auto"/>
        </w:rPr>
      </w:pPr>
    </w:p>
    <w:p>
      <w:pPr>
        <w:ind w:right="320" w:firstLine="445"/>
        <w:spacing w:after="0" w:line="287" w:lineRule="auto"/>
        <w:rPr>
          <w:sz w:val="20"/>
          <w:szCs w:val="20"/>
          <w:color w:val="auto"/>
        </w:rPr>
      </w:pPr>
      <w:r>
        <w:rPr>
          <w:rFonts w:ascii="Arial" w:cs="Arial" w:eastAsia="Arial" w:hAnsi="Arial"/>
          <w:sz w:val="18"/>
          <w:szCs w:val="18"/>
          <w:color w:val="auto"/>
        </w:rPr>
        <w:t>During the second quarter of 2024, we further strengthened our balance sheet by sourcing additional liquidity and reducing our debt obligations. Notable transactions include:</w:t>
      </w:r>
    </w:p>
    <w:p>
      <w:pPr>
        <w:spacing w:after="0" w:line="99" w:lineRule="exact"/>
        <w:rPr>
          <w:sz w:val="20"/>
          <w:szCs w:val="20"/>
          <w:color w:val="auto"/>
        </w:rPr>
      </w:pPr>
    </w:p>
    <w:p>
      <w:pPr>
        <w:ind w:left="660" w:right="200" w:hanging="328"/>
        <w:spacing w:after="0" w:line="256"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principal amount outstanding at any one time of $500.0 million, with varying maturities of up to one year. The commercial paper notes are sold in private placements and rank pari passu with all of BPLP’s other unsecured senior indebtedness, including its outstanding senior notes. The commercial paper program is backstopped by available capacity under the 2021 Credit Facility. As of July 31, 2024, BPLP had $500.0 million of principal outstanding under the commercial paper program that bears interest at a weighted-average rate of 5.58% per annum and has a weighted-average maturity of approximately 53 days, from the issuance date.</w:t>
      </w:r>
    </w:p>
    <w:p>
      <w:pPr>
        <w:spacing w:after="0" w:line="128" w:lineRule="exact"/>
        <w:rPr>
          <w:rFonts w:ascii="Arial" w:cs="Arial" w:eastAsia="Arial" w:hAnsi="Arial"/>
          <w:sz w:val="18"/>
          <w:szCs w:val="18"/>
          <w:color w:val="auto"/>
        </w:rPr>
      </w:pPr>
    </w:p>
    <w:p>
      <w:pPr>
        <w:jc w:val="both"/>
        <w:ind w:left="660" w:right="80" w:hanging="328"/>
        <w:spacing w:after="0" w:line="268"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April 29, 2024, BPLP increased the maximum borrowing amount under the 2021 Credit Facility from $1.815 billion to $2.0 billion. All other terms of the 2021 Credit Facility, including its maturity date of June 15, 2026, remain unchanged. BPLP had no borrowings under the 2021 Credit Facility as of July 31, 2024.</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May 16, 2024, BPLP exercised its one-year extension option on its 2023 Unsecured Term Loan. The 2023 Unsecured Term Loan now matures on May 16, 2025. After making an approximately $500.0 million optional repayment on April 29, 2024 with the proceeds from BPLP's unsecured commercial paper program, the 2023 Unsecured Term Loan has an outstanding principal balance of $700.0 million as of July 31, 2024.</w:t>
      </w:r>
    </w:p>
    <w:p>
      <w:pPr>
        <w:spacing w:after="0" w:line="12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Our consolidated debt maturities through July 2025 include (1) $850.0 million aggregate principal amount of BPLP’s 3.200% unsecured senior notes due January 15, 2025, (2) $700.0 million of principal amount borrowed under the 2023 Unsecured Term Loan, which matures on May 16, 2025, (3) approximately $202.2 million of mortgage debt secured by our 901 New York Avenue property located in Washington, DC maturing on January 5, 2025 (unless we exercise a four-year extension option, subject to certain conditions), (4) $300.0 million of mortgage debt secured by our Santa Monica Business Park maturing on July 19, 2025 and (5) amounts that become due under BPLP’s unsecured commercial paper program.</w:t>
      </w:r>
    </w:p>
    <w:p>
      <w:pPr>
        <w:spacing w:after="0" w:line="128"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As of June 30, 2024, our share of unconsolidated joint venture debt maturing through July 2025 was approximately $469.0 million. The foregoing debt matures at different times through July 2025 and, to the extent not refinanced, we expect to fund the repayment of this debt using available cash balances, proceeds from asset sales, draws on BPLP’s 2021 Credit Facility, proceeds from BPLP’s unsecured commercial paper program, secured debt or unsecured debt, or both. We expect our net interest expense will increase in 2024 compared to 2023 primarily due to higher interest rates on our outstanding debt and debt that we refinance, the impact of non-cash interest charges related to recent acquisitions and the assumption of below-market debt, and lower interest income as we use cash balances to repay debt and fund our development pipeline.</w:t>
      </w:r>
    </w:p>
    <w:p>
      <w:pPr>
        <w:spacing w:after="0" w:line="12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As of July 31, 2024, we had available cash of approximately $352.1 million (of which approximately $124.4 million was attributable to our consolidated joint venture partners). Our liquidity and capital resources depend on a wide range of factors, and we believe that our access to capital and our strong liquidity, including the approximately $2.0 billion available under BPLP’s 2021 Credit Facility, of which $500.0 million is being used to backstop the unsecured commercial paper program, and our available cash, as of July 31, 2024, are sufficient to fund our remaining capital needs on existing development and redevelopment projects, fund acquisitions, repay our maturing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indebtedness when due (if not refinanced or extended), satisfy our REIT distribution requirements and still allow us to act opportunistically on attractive investment opportunities. We are currently in active negotiations for the disposition of four land positions which, if successful, would generate approximately $150 million of proceeds, half of which could be realized this year. However, there can be no assurance that we will complete any of these transactions on the terms currently contemplated or at all.</w:t>
      </w:r>
    </w:p>
    <w:p>
      <w:pPr>
        <w:spacing w:after="0" w:line="122"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We may seek to enhance our liquidity to fund our current and future development activity, pursue additional attractive investment opportunities and refinance or repay indebtedness. Depending on then-current interest rates, the overall conditions in the public and private debt and equity markets, and our existing and expected leverage at the time, we may decide to access one or more of these capital sources. Doing so may result in greater cash and cash equivalents pending our use of the proceeds, which would increase our net interest expense.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sold any shares under BXP’s $600.0 million “at the market” equity offering program.</w:t>
      </w: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REIT Tax Distribution Considerations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Dividend</w:t>
      </w:r>
    </w:p>
    <w:p>
      <w:pPr>
        <w:spacing w:after="0" w:line="102"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distribution per unit that is paid per share of BXP common stock.</w:t>
      </w:r>
    </w:p>
    <w:p>
      <w:pPr>
        <w:spacing w:after="0" w:line="125"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Sales</w:t>
      </w:r>
    </w:p>
    <w:p>
      <w:pPr>
        <w:spacing w:after="0" w:line="88"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29" w:lineRule="exact"/>
        <w:rPr>
          <w:sz w:val="20"/>
          <w:szCs w:val="20"/>
          <w:color w:val="auto"/>
        </w:rPr>
      </w:pPr>
    </w:p>
    <w:p>
      <w:pPr>
        <w:ind w:right="80" w:firstLine="445"/>
        <w:spacing w:after="0" w:line="268" w:lineRule="auto"/>
        <w:rPr>
          <w:sz w:val="20"/>
          <w:szCs w:val="20"/>
          <w:color w:val="auto"/>
        </w:rPr>
      </w:pPr>
      <w:r>
        <w:rPr>
          <w:rFonts w:ascii="Arial" w:cs="Arial" w:eastAsia="Arial" w:hAnsi="Arial"/>
          <w:sz w:val="18"/>
          <w:szCs w:val="18"/>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02" w:lineRule="exact"/>
        <w:rPr>
          <w:sz w:val="20"/>
          <w:szCs w:val="20"/>
          <w:color w:val="auto"/>
        </w:rPr>
      </w:pPr>
    </w:p>
    <w:p>
      <w:pPr>
        <w:ind w:right="40" w:firstLine="445"/>
        <w:spacing w:after="0" w:line="287" w:lineRule="auto"/>
        <w:rPr>
          <w:sz w:val="20"/>
          <w:szCs w:val="20"/>
          <w:color w:val="auto"/>
        </w:rPr>
      </w:pPr>
      <w:r>
        <w:rPr>
          <w:rFonts w:ascii="Arial" w:cs="Arial" w:eastAsia="Arial" w:hAnsi="Arial"/>
          <w:sz w:val="18"/>
          <w:szCs w:val="18"/>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99" w:lineRule="exact"/>
        <w:rPr>
          <w:sz w:val="20"/>
          <w:szCs w:val="20"/>
          <w:color w:val="auto"/>
        </w:rPr>
      </w:pPr>
    </w:p>
    <w:p>
      <w:pPr>
        <w:ind w:right="260" w:firstLine="445"/>
        <w:spacing w:after="0" w:line="287" w:lineRule="auto"/>
        <w:rPr>
          <w:sz w:val="20"/>
          <w:szCs w:val="20"/>
          <w:color w:val="auto"/>
        </w:rPr>
      </w:pPr>
      <w:r>
        <w:rPr>
          <w:rFonts w:ascii="Arial" w:cs="Arial" w:eastAsia="Arial" w:hAnsi="Arial"/>
          <w:sz w:val="18"/>
          <w:szCs w:val="18"/>
          <w:color w:val="auto"/>
        </w:rPr>
        <w:t>Cash and cash equivalents and cash held in escrows aggregated approximately $737.5 million and $1.6 billion at June 30, 2024 and 2023, respectively, representing a decrease of approximately $891.0 million. The following table sets forth changes in cash flows: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center"/>
              <w:ind w:left="794"/>
              <w:spacing w:after="0"/>
              <w:rPr>
                <w:sz w:val="20"/>
                <w:szCs w:val="20"/>
                <w:color w:val="auto"/>
              </w:rPr>
            </w:pPr>
            <w:r>
              <w:rPr>
                <w:rFonts w:ascii="Arial" w:cs="Arial" w:eastAsia="Arial" w:hAnsi="Arial"/>
                <w:sz w:val="16"/>
                <w:szCs w:val="16"/>
                <w:b w:val="1"/>
                <w:bCs w:val="1"/>
                <w:color w:val="auto"/>
              </w:rPr>
              <w:t>Six months ended June 30,</w:t>
            </w:r>
          </w:p>
        </w:tc>
        <w:tc>
          <w:tcPr>
            <w:tcW w:w="1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4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4"/>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20"/>
                <w:szCs w:val="20"/>
                <w:color w:val="auto"/>
              </w:rPr>
            </w:pPr>
          </w:p>
        </w:tc>
        <w:tc>
          <w:tcPr>
            <w:tcW w:w="1380" w:type="dxa"/>
            <w:vAlign w:val="bottom"/>
          </w:tcPr>
          <w:p>
            <w:pPr>
              <w:jc w:val="center"/>
              <w:ind w:right="175"/>
              <w:spacing w:after="0"/>
              <w:rPr>
                <w:sz w:val="20"/>
                <w:szCs w:val="20"/>
                <w:color w:val="auto"/>
              </w:rPr>
            </w:pPr>
            <w:r>
              <w:rPr>
                <w:rFonts w:ascii="Arial" w:cs="Arial" w:eastAsia="Arial" w:hAnsi="Arial"/>
                <w:sz w:val="16"/>
                <w:szCs w:val="16"/>
                <w:b w:val="1"/>
                <w:bCs w:val="1"/>
                <w:color w:val="auto"/>
              </w:rPr>
              <w:t>2023</w:t>
            </w:r>
          </w:p>
        </w:tc>
        <w:tc>
          <w:tcPr>
            <w:tcW w:w="3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r>
      <w:tr>
        <w:trPr>
          <w:trHeight w:val="195"/>
        </w:trPr>
        <w:tc>
          <w:tcPr>
            <w:tcW w:w="4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rPr>
              <w:t>564,659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613,183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(48,524)</w:t>
            </w:r>
          </w:p>
        </w:tc>
        <w:tc>
          <w:tcPr>
            <w:tcW w:w="60" w:type="dxa"/>
            <w:vAlign w:val="bottom"/>
          </w:tcPr>
          <w:p>
            <w:pPr>
              <w:spacing w:after="0"/>
              <w:rPr>
                <w:sz w:val="20"/>
                <w:szCs w:val="20"/>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center"/>
              <w:ind w:left="234"/>
              <w:spacing w:after="0"/>
              <w:rPr>
                <w:sz w:val="20"/>
                <w:szCs w:val="20"/>
                <w:color w:val="auto"/>
              </w:rPr>
            </w:pPr>
            <w:r>
              <w:rPr>
                <w:rFonts w:ascii="Arial" w:cs="Arial" w:eastAsia="Arial" w:hAnsi="Arial"/>
                <w:sz w:val="18"/>
                <w:szCs w:val="18"/>
                <w:color w:val="auto"/>
                <w:w w:val="98"/>
              </w:rPr>
              <w:t>(553,504)</w:t>
            </w:r>
          </w:p>
        </w:tc>
        <w:tc>
          <w:tcPr>
            <w:tcW w:w="260" w:type="dxa"/>
            <w:vAlign w:val="bottom"/>
          </w:tcPr>
          <w:p>
            <w:pPr>
              <w:spacing w:after="0"/>
              <w:rPr>
                <w:sz w:val="19"/>
                <w:szCs w:val="19"/>
                <w:color w:val="auto"/>
              </w:rPr>
            </w:pPr>
          </w:p>
        </w:tc>
        <w:tc>
          <w:tcPr>
            <w:tcW w:w="1380" w:type="dxa"/>
            <w:vAlign w:val="bottom"/>
          </w:tcPr>
          <w:p>
            <w:pPr>
              <w:jc w:val="center"/>
              <w:ind w:left="395"/>
              <w:spacing w:after="0"/>
              <w:rPr>
                <w:sz w:val="20"/>
                <w:szCs w:val="20"/>
                <w:color w:val="auto"/>
              </w:rPr>
            </w:pPr>
            <w:r>
              <w:rPr>
                <w:rFonts w:ascii="Arial" w:cs="Arial" w:eastAsia="Arial" w:hAnsi="Arial"/>
                <w:sz w:val="18"/>
                <w:szCs w:val="18"/>
                <w:color w:val="auto"/>
              </w:rPr>
              <w:t>(554,864)</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Pr>
          <w:p>
            <w:pPr>
              <w:spacing w:after="0"/>
              <w:rPr>
                <w:sz w:val="19"/>
                <w:szCs w:val="19"/>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1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98"/>
              </w:rPr>
              <w:t>(886,221)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833,359</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(1,719,580)</w:t>
            </w:r>
          </w:p>
        </w:tc>
        <w:tc>
          <w:tcPr>
            <w:tcW w:w="60" w:type="dxa"/>
            <w:vAlign w:val="bottom"/>
          </w:tcPr>
          <w:p>
            <w:pPr>
              <w:spacing w:after="0"/>
              <w:rPr>
                <w:sz w:val="19"/>
                <w:szCs w:val="19"/>
                <w:color w:val="auto"/>
              </w:rPr>
            </w:pPr>
          </w:p>
        </w:tc>
      </w:tr>
      <w:tr>
        <w:trPr>
          <w:trHeight w:val="868"/>
        </w:trPr>
        <w:tc>
          <w:tcPr>
            <w:tcW w:w="4760" w:type="dxa"/>
            <w:vAlign w:val="bottom"/>
          </w:tcPr>
          <w:p>
            <w:pPr>
              <w:spacing w:after="0"/>
              <w:rPr>
                <w:sz w:val="24"/>
                <w:szCs w:val="24"/>
                <w:color w:val="auto"/>
              </w:rPr>
            </w:pPr>
          </w:p>
        </w:tc>
        <w:tc>
          <w:tcPr>
            <w:tcW w:w="1600" w:type="dxa"/>
            <w:vAlign w:val="bottom"/>
          </w:tcPr>
          <w:p>
            <w:pPr>
              <w:jc w:val="right"/>
              <w:ind w:right="550"/>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1"/>
        </w:trPr>
        <w:tc>
          <w:tcPr>
            <w:tcW w:w="47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Our principal source of cash flow is related to the operation of our properties. The weighted-average term of our in-place leases, including leases signed by our unconsolidated joint ventures, excluding residential units, was approximately 7.7 years as of June 30, 2024, with occupancy rates historically in the range of 87% to 92%.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28" w:lineRule="exact"/>
        <w:rPr>
          <w:sz w:val="20"/>
          <w:szCs w:val="20"/>
          <w:color w:val="auto"/>
        </w:rPr>
      </w:pPr>
    </w:p>
    <w:p>
      <w:pPr>
        <w:ind w:right="120" w:firstLine="445"/>
        <w:spacing w:after="0" w:line="262" w:lineRule="auto"/>
        <w:rPr>
          <w:sz w:val="20"/>
          <w:szCs w:val="20"/>
          <w:color w:val="auto"/>
        </w:rPr>
      </w:pPr>
      <w:r>
        <w:rPr>
          <w:rFonts w:ascii="Arial" w:cs="Arial" w:eastAsia="Arial" w:hAnsi="Arial"/>
          <w:sz w:val="18"/>
          <w:szCs w:val="18"/>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six months ended June 30, 2024 and June 30, 2023 is detailed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09"/>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(313,602)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(235,331)</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(66,799)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(78,344)</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(117,848)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(135,743)</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Acquisition of real estate (net of cash received upon consolidation) (2)</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6,086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to unconsolidated joint ventures (3)</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(60,461)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(103,595)</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Capital distributions from unconsolidated joint ventures (4)</w:t>
            </w:r>
          </w:p>
        </w:tc>
        <w:tc>
          <w:tcPr>
            <w:tcW w:w="3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7,350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non-real estate investments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color w:val="auto"/>
              </w:rPr>
              <w:t>Issuance of note receivables (including related party) (5)</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(1,423)</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(10,500)</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 net</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(553,504)</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(554,864)</w:t>
            </w:r>
          </w:p>
        </w:tc>
      </w:tr>
      <w:tr>
        <w:trPr>
          <w:trHeight w:val="21"/>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used in investing activities changed primarily due to the following:</w:t>
      </w:r>
    </w:p>
    <w:p>
      <w:pPr>
        <w:spacing w:after="0" w:line="171" w:lineRule="exact"/>
        <w:rPr>
          <w:sz w:val="20"/>
          <w:szCs w:val="20"/>
          <w:color w:val="auto"/>
        </w:rPr>
      </w:pPr>
    </w:p>
    <w:p>
      <w:pPr>
        <w:ind w:left="660" w:right="120" w:hanging="328"/>
        <w:spacing w:after="0" w:line="262"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Construction in progress for the six months ended June 30, 2024 included ongoing expenditures associated with 760 Boylston Street, which was fully placed in-service during the six months ended June 30, 2024, and 180 CityPoint and 103 CityPoint that were partially placed in-service during 2023. In addition, we incurred costs associated with our continued development/redevelopment of Reston Next Office Phase II, 290 Binney Street, 300 Binney Street and 121 Broadway.</w:t>
      </w:r>
    </w:p>
    <w:p>
      <w:pPr>
        <w:spacing w:after="0" w:line="122"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Construction in progress for the six months ended June 30, 2023 included ongoing expenditures associated with 2100 Pennsylvania Avenue and the View Boston observatory at The Prudential Center, which were both fully placed in-service during the six months ended June 30, 2023. In addition, we incurred costs associated with our continued development/redevelopment of 180 CityPoint, 103 CityPoint, Reston Next Office Phase II, 140 Kendrick Street Building A, 760 Boylston Street, 105 Carnegie Center, 290 Binney Street and 300 Binney Street.</w:t>
      </w:r>
    </w:p>
    <w:p>
      <w:pPr>
        <w:spacing w:after="0" w:line="125" w:lineRule="exact"/>
        <w:rPr>
          <w:rFonts w:ascii="Arial" w:cs="Arial" w:eastAsia="Arial" w:hAnsi="Arial"/>
          <w:sz w:val="18"/>
          <w:szCs w:val="18"/>
          <w:color w:val="auto"/>
        </w:rPr>
      </w:pPr>
    </w:p>
    <w:p>
      <w:pPr>
        <w:ind w:left="660" w:right="40" w:hanging="328"/>
        <w:spacing w:after="0" w:line="268"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January 8, 2024, we completed the acquisition of our joint venture partner’s 50% economic ownership interest in the joint venture that owns 901 New York Avenue, located in Washington, DC, for a gross purchase price of $10.0 million and we acquired net working capital, including cash and cash equivalents of approximately $16.1 million.</w:t>
      </w:r>
    </w:p>
    <w:p>
      <w:pPr>
        <w:spacing w:after="0" w:line="116" w:lineRule="exact"/>
        <w:rPr>
          <w:rFonts w:ascii="Arial" w:cs="Arial" w:eastAsia="Arial" w:hAnsi="Arial"/>
          <w:sz w:val="18"/>
          <w:szCs w:val="18"/>
          <w:color w:val="auto"/>
        </w:rPr>
      </w:pPr>
    </w:p>
    <w:p>
      <w:pPr>
        <w:ind w:left="660" w:right="660" w:hanging="328"/>
        <w:spacing w:after="0" w:line="268"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six months ended June 30, 2024 consisted primarily of cash contributions of approximately $17.9 million, $15.8 million, $11.1 million and $7.5 million to our Gateway Commons, 360 Park Avenue South, Platform 16 and Dock 72 joint ventures, respectively.</w:t>
      </w:r>
    </w:p>
    <w:p>
      <w:pPr>
        <w:spacing w:after="0" w:line="116" w:lineRule="exact"/>
        <w:rPr>
          <w:rFonts w:ascii="Arial" w:cs="Arial" w:eastAsia="Arial" w:hAnsi="Arial"/>
          <w:sz w:val="18"/>
          <w:szCs w:val="18"/>
          <w:color w:val="auto"/>
        </w:rPr>
      </w:pPr>
    </w:p>
    <w:p>
      <w:pPr>
        <w:ind w:left="660" w:right="260"/>
        <w:spacing w:after="0" w:line="262" w:lineRule="auto"/>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six months ended June 30, 2023 consisted primarily of cash contributions of approximately $30.2 million, $26.5 million, $17.5 million, $10.9 million and $8.3 million to our Gateway Commons, Platform 16, Worldgate Drive, Dock 72 and 751 Gateway joint ventures, respectively. On January 31, 2023, we entered into a new joint venture for 13100 and 13150 Worldgate Drive located in Herndon, Virginia.</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660" w:hanging="328"/>
        <w:spacing w:after="0" w:line="287"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Capital distributions from unconsolidated joint ventures for the six months ended June 30, 2023 consisted primarily of a cash distribution totaling approximately $7.4 million from our 360 Park Avenue South joint venture.</w:t>
      </w:r>
    </w:p>
    <w:p>
      <w:pPr>
        <w:spacing w:after="0" w:line="98" w:lineRule="exact"/>
        <w:rPr>
          <w:rFonts w:ascii="Arial" w:cs="Arial" w:eastAsia="Arial" w:hAnsi="Arial"/>
          <w:sz w:val="18"/>
          <w:szCs w:val="18"/>
          <w:color w:val="auto"/>
        </w:rPr>
      </w:pPr>
    </w:p>
    <w:p>
      <w:pPr>
        <w:ind w:left="660" w:right="20" w:hanging="328"/>
        <w:spacing w:after="0" w:line="256"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June 5, 2023, a joint venture in which we own a 30% interest repaid the existing construction loan collateralized by its 500 North Capitol Street, NW property and obtained new mortgage loans with related parties. At the time of the payoff, the outstanding balance of the loan totaled approximately $105.0 million and was scheduled to mature on June 6, 2023. The new mortgage loans have an aggregate principal balance of $105.0 million, bear interest at a weighted average fixed rate of 6.83% per annum and mature on June 5, 2026. Our portion of the mortgage loans, $10.5 million, has been reflected as a Related Party Note Receivable on our Consolidated Balance Sheets. 500 North Capitol Street, NW is an approximately 231,000 square foot premier workplace in Washington, DC.</w:t>
      </w:r>
    </w:p>
    <w:p>
      <w:pPr>
        <w:spacing w:after="0" w:line="183"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 xml:space="preserve">Cash used in financing activities for the six months ended June 30, 2024 totaled approximately $886.2 million. This amount consisted primarily of the repayment of BPLP’s $700 million in aggregate principal amount of its 3.800% unsecured senior notes due February 1, 2024 and payment of our regular dividends and distributions to our shareholders and unitholders and distributions to noncontrolling interests in property partnerships, partially offset by the approximately $ 97.2 million from the sale of a 45% interest in 290 Binney Street in Cambridge, Massachusetts. Future debt payments are discussed below under the heading </w:t>
      </w:r>
      <w:r>
        <w:rPr>
          <w:rFonts w:ascii="Arial" w:cs="Arial" w:eastAsia="Arial" w:hAnsi="Arial"/>
          <w:sz w:val="18"/>
          <w:szCs w:val="18"/>
          <w:i w:val="1"/>
          <w:iCs w:val="1"/>
          <w:color w:val="auto"/>
        </w:rPr>
        <w:t>“Debt Financing</w:t>
      </w:r>
      <w:r>
        <w:rPr>
          <w:rFonts w:ascii="Arial" w:cs="Arial" w:eastAsia="Arial" w:hAnsi="Arial"/>
          <w:sz w:val="18"/>
          <w:szCs w:val="18"/>
          <w:color w:val="auto"/>
        </w:rPr>
        <w:t>.”</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88" w:lineRule="exact"/>
        <w:rPr>
          <w:sz w:val="20"/>
          <w:szCs w:val="20"/>
          <w:color w:val="auto"/>
        </w:rPr>
      </w:pPr>
    </w:p>
    <w:p>
      <w:pPr>
        <w:ind w:right="680" w:firstLine="445"/>
        <w:spacing w:after="0" w:line="268" w:lineRule="auto"/>
        <w:rPr>
          <w:sz w:val="20"/>
          <w:szCs w:val="20"/>
          <w:color w:val="auto"/>
        </w:rPr>
      </w:pPr>
      <w:r>
        <w:rPr>
          <w:rFonts w:ascii="Arial" w:cs="Arial" w:eastAsia="Arial" w:hAnsi="Arial"/>
          <w:sz w:val="18"/>
          <w:szCs w:val="18"/>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June 30, 2024</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166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Shares / Units</w:t>
            </w:r>
          </w:p>
        </w:tc>
        <w:tc>
          <w:tcPr>
            <w:tcW w:w="1660" w:type="dxa"/>
            <w:vAlign w:val="bottom"/>
            <w:gridSpan w:val="2"/>
          </w:tcPr>
          <w:p>
            <w:pPr>
              <w:jc w:val="right"/>
              <w:ind w:right="340"/>
              <w:spacing w:after="0" w:line="155" w:lineRule="exact"/>
              <w:rPr>
                <w:sz w:val="20"/>
                <w:szCs w:val="20"/>
                <w:color w:val="auto"/>
              </w:rPr>
            </w:pPr>
            <w:r>
              <w:rPr>
                <w:rFonts w:ascii="Arial" w:cs="Arial" w:eastAsia="Arial" w:hAnsi="Arial"/>
                <w:sz w:val="16"/>
                <w:szCs w:val="16"/>
                <w:b w:val="1"/>
                <w:bCs w:val="1"/>
                <w:color w:val="auto"/>
              </w:rPr>
              <w:t>Common Stock</w:t>
            </w:r>
          </w:p>
        </w:tc>
        <w:tc>
          <w:tcPr>
            <w:tcW w:w="16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Equivalent Value (1)</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Outstanding</w:t>
            </w:r>
          </w:p>
        </w:tc>
        <w:tc>
          <w:tcPr>
            <w:tcW w:w="1660" w:type="dxa"/>
            <w:vAlign w:val="bottom"/>
            <w:gridSpan w:val="2"/>
          </w:tcPr>
          <w:p>
            <w:pPr>
              <w:ind w:left="320"/>
              <w:spacing w:after="0"/>
              <w:rPr>
                <w:sz w:val="20"/>
                <w:szCs w:val="20"/>
                <w:color w:val="auto"/>
              </w:rPr>
            </w:pPr>
            <w:r>
              <w:rPr>
                <w:rFonts w:ascii="Arial" w:cs="Arial" w:eastAsia="Arial" w:hAnsi="Arial"/>
                <w:sz w:val="16"/>
                <w:szCs w:val="16"/>
                <w:b w:val="1"/>
                <w:bCs w:val="1"/>
                <w:color w:val="auto"/>
              </w:rPr>
              <w:t>Equivalent</w:t>
            </w:r>
          </w:p>
        </w:tc>
        <w:tc>
          <w:tcPr>
            <w:tcW w:w="16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157,098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157,098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9,670,953</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Common Operating Partnership Units</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19,136</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19,136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1,178,012</w:t>
            </w:r>
          </w:p>
        </w:tc>
        <w:tc>
          <w:tcPr>
            <w:tcW w:w="4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Equity</w:t>
            </w:r>
          </w:p>
        </w:tc>
        <w:tc>
          <w:tcPr>
            <w:tcW w:w="1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176,234</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10,848,965</w:t>
            </w: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Debt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15,367,474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Add: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unconsolidated joint venture debt (3)</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1,379,131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Subtract: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Partners’ share of Consolidated Debt (4)</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1,361,372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color w:val="auto"/>
              </w:rPr>
              <w:t>BXP’s Share of Debt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15,385,233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Consolidated Market Capitalization</w:t>
            </w: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26,216,439</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26,234,198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color w:val="auto"/>
              </w:rPr>
              <w:t>Consolidated Debt/Consolidated Market Capitalization</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58.62 %</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Debt/BXP’s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58.65 %</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June 28, 2024 of $61.56.</w:t>
      </w:r>
    </w:p>
    <w:p>
      <w:pPr>
        <w:spacing w:after="0" w:line="5" w:lineRule="exact"/>
        <w:rPr>
          <w:rFonts w:ascii="Arial" w:cs="Arial" w:eastAsia="Arial" w:hAnsi="Arial"/>
          <w:sz w:val="16"/>
          <w:szCs w:val="16"/>
          <w:color w:val="auto"/>
        </w:rPr>
      </w:pPr>
    </w:p>
    <w:p>
      <w:pPr>
        <w:ind w:left="660" w:right="380" w:hanging="328"/>
        <w:spacing w:after="0" w:line="255"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2013 - 2021 MYLTIP Units) but excludes the 2022 - 2024 MYLTIP Units because the three-year performance periods had not ended as of June 30, 2024.</w:t>
      </w: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See page 90 for additional information.</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See page 89 for additional information.</w:t>
      </w:r>
    </w:p>
    <w:p>
      <w:pPr>
        <w:spacing w:after="0" w:line="326"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120" w:hanging="464"/>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consolidated debt; plus</w:t>
      </w:r>
    </w:p>
    <w:p>
      <w:pPr>
        <w:spacing w:after="0" w:line="184" w:lineRule="exact"/>
        <w:rPr>
          <w:rFonts w:ascii="Arial" w:cs="Arial" w:eastAsia="Arial" w:hAnsi="Arial"/>
          <w:sz w:val="18"/>
          <w:szCs w:val="18"/>
          <w:color w:val="auto"/>
        </w:rPr>
      </w:pPr>
    </w:p>
    <w:p>
      <w:pPr>
        <w:ind w:right="440" w:firstLine="656"/>
        <w:spacing w:after="0" w:line="287" w:lineRule="auto"/>
        <w:tabs>
          <w:tab w:leader="none" w:pos="11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product of (x) the closing price per share of BXP common stock on June 28, 2024, as reported by the New York Stock Exchange, multiplied by (y) the sum of:</w:t>
      </w:r>
    </w:p>
    <w:p>
      <w:pPr>
        <w:spacing w:after="0" w:line="125" w:lineRule="exact"/>
        <w:rPr>
          <w:rFonts w:ascii="Arial" w:cs="Arial" w:eastAsia="Arial" w:hAnsi="Arial"/>
          <w:sz w:val="18"/>
          <w:szCs w:val="18"/>
          <w:color w:val="auto"/>
        </w:rPr>
      </w:pPr>
    </w:p>
    <w:p>
      <w:pPr>
        <w:ind w:left="1720" w:hanging="416"/>
        <w:spacing w:after="0"/>
        <w:tabs>
          <w:tab w:leader="none" w:pos="17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outstanding shares of common stock of BXP,</w:t>
      </w:r>
    </w:p>
    <w:p>
      <w:pPr>
        <w:spacing w:after="0" w:line="184" w:lineRule="exact"/>
        <w:rPr>
          <w:rFonts w:ascii="Arial" w:cs="Arial" w:eastAsia="Arial" w:hAnsi="Arial"/>
          <w:sz w:val="18"/>
          <w:szCs w:val="18"/>
          <w:color w:val="auto"/>
        </w:rPr>
      </w:pPr>
    </w:p>
    <w:p>
      <w:pPr>
        <w:ind w:left="1760" w:hanging="456"/>
        <w:spacing w:after="0"/>
        <w:tabs>
          <w:tab w:leader="none" w:pos="1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outstanding OP Units in BPLP (excluding OP Units held by BXP),</w:t>
      </w:r>
    </w:p>
    <w:p>
      <w:pPr>
        <w:spacing w:after="0" w:line="184" w:lineRule="exact"/>
        <w:rPr>
          <w:rFonts w:ascii="Arial" w:cs="Arial" w:eastAsia="Arial" w:hAnsi="Arial"/>
          <w:sz w:val="18"/>
          <w:szCs w:val="18"/>
          <w:color w:val="auto"/>
        </w:rPr>
      </w:pPr>
    </w:p>
    <w:p>
      <w:pPr>
        <w:ind w:left="1960" w:right="320" w:hanging="656"/>
        <w:spacing w:after="0" w:line="287" w:lineRule="auto"/>
        <w:tabs>
          <w:tab w:leader="none" w:pos="180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all outstanding LTIP Units, assuming all conditions have been met for the conversion of the LTIP Units, and</w:t>
      </w:r>
    </w:p>
    <w:p>
      <w:pPr>
        <w:spacing w:after="0" w:line="125" w:lineRule="exact"/>
        <w:rPr>
          <w:rFonts w:ascii="Arial" w:cs="Arial" w:eastAsia="Arial" w:hAnsi="Arial"/>
          <w:sz w:val="18"/>
          <w:szCs w:val="18"/>
          <w:color w:val="auto"/>
        </w:rPr>
      </w:pPr>
    </w:p>
    <w:p>
      <w:pPr>
        <w:ind w:left="1960" w:hanging="656"/>
        <w:spacing w:after="0" w:line="287" w:lineRule="auto"/>
        <w:tabs>
          <w:tab w:leader="none" w:pos="18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2012 OPP Units, and 2013 - 2021 MYLTIP Units that were issued in the form of LTIP Units.</w:t>
      </w:r>
    </w:p>
    <w:p>
      <w:pPr>
        <w:spacing w:after="0" w:line="112"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2022 - 2024 MYLTIP Units are not included in this calculation as of June 30, 2024.</w:t>
      </w:r>
    </w:p>
    <w:p>
      <w:pPr>
        <w:spacing w:after="0" w:line="13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 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3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For a discussion of our unconsolidated joint venture indebtedness, see “</w:t>
      </w:r>
      <w:r>
        <w:rPr>
          <w:rFonts w:ascii="Arial" w:cs="Arial" w:eastAsia="Arial" w:hAnsi="Arial"/>
          <w:sz w:val="18"/>
          <w:szCs w:val="18"/>
          <w:i w:val="1"/>
          <w:iCs w:val="1"/>
          <w:color w:val="auto"/>
        </w:rPr>
        <w:t>Liquidity and Capital Resources—Investment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Joint Ventures - Secured Debt” w</w:t>
      </w:r>
      <w:r>
        <w:rPr>
          <w:rFonts w:ascii="Arial" w:cs="Arial" w:eastAsia="Arial" w:hAnsi="Arial"/>
          <w:sz w:val="18"/>
          <w:szCs w:val="18"/>
          <w:color w:val="auto"/>
        </w:rPr>
        <w:t>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for a discussion of our consolidated joint venture indebtedness see </w:t>
      </w:r>
      <w:r>
        <w:rPr>
          <w:rFonts w:ascii="Arial" w:cs="Arial" w:eastAsia="Arial" w:hAnsi="Arial"/>
          <w:sz w:val="18"/>
          <w:szCs w:val="18"/>
          <w:i w:val="1"/>
          <w:iCs w:val="1"/>
          <w:color w:val="auto"/>
        </w:rPr>
        <w:t>“Liquidity and Capital Resources—Mortgage Notes Payable</w:t>
      </w:r>
      <w:r>
        <w:rPr>
          <w:rFonts w:ascii="Arial" w:cs="Arial" w:eastAsia="Arial" w:hAnsi="Arial"/>
          <w:sz w:val="18"/>
          <w:szCs w:val="18"/>
          <w:color w:val="auto"/>
        </w:rPr>
        <w:t>” 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Financing</w:t>
      </w:r>
    </w:p>
    <w:p>
      <w:pPr>
        <w:spacing w:after="0" w:line="88" w:lineRule="exact"/>
        <w:rPr>
          <w:sz w:val="20"/>
          <w:szCs w:val="20"/>
          <w:color w:val="auto"/>
        </w:rPr>
      </w:pPr>
    </w:p>
    <w:p>
      <w:pPr>
        <w:ind w:right="40" w:firstLine="445"/>
        <w:spacing w:after="0" w:line="274" w:lineRule="auto"/>
        <w:rPr>
          <w:sz w:val="20"/>
          <w:szCs w:val="20"/>
          <w:color w:val="auto"/>
        </w:rPr>
      </w:pPr>
      <w:r>
        <w:rPr>
          <w:rFonts w:ascii="Arial" w:cs="Arial" w:eastAsia="Arial" w:hAnsi="Arial"/>
          <w:sz w:val="17"/>
          <w:szCs w:val="17"/>
          <w:color w:val="auto"/>
        </w:rPr>
        <w:t>As of June 30, 2024, we had approximately $15.4 billion of outstanding consolidated indebtedness, representing approximately 58.62% of our Consolidated Market Capitalization as calculated above consisting of approximately (1) $9.8 billion (net of discount and deferred financing fees) in publicly traded unsecured senior notes having a GAAP weighted-average interest rate of 3.91% per annum and maturities in 2025 through 2034, (2) $4.4 billion (net of deferred financing fees and fair value interest adjustments) of property-specific mortgage debt having a GAAP weighted-average interest rate of 4.22% per annum and a weighted-average term of 3.9 years, (3) $0.7 billion outstanding under BPLP’s 2023 Unsecured Term Loan that matures on May 16, 2025, and (4) $0.5 billion of unsecured commercial paper borrowings having a weighted-average interest rate of 5.60% per annum and a weighted-average maturity of 49 days, from the issuance date.</w:t>
      </w:r>
    </w:p>
    <w:p>
      <w:pPr>
        <w:spacing w:after="0" w:line="112" w:lineRule="exact"/>
        <w:rPr>
          <w:sz w:val="20"/>
          <w:szCs w:val="20"/>
          <w:color w:val="auto"/>
        </w:rPr>
      </w:pPr>
    </w:p>
    <w:p>
      <w:pPr>
        <w:ind w:right="340" w:firstLine="405"/>
        <w:spacing w:after="0" w:line="287" w:lineRule="auto"/>
        <w:rPr>
          <w:sz w:val="20"/>
          <w:szCs w:val="20"/>
          <w:color w:val="auto"/>
        </w:rPr>
      </w:pPr>
      <w:r>
        <w:rPr>
          <w:rFonts w:ascii="Arial" w:cs="Arial" w:eastAsia="Arial" w:hAnsi="Arial"/>
          <w:sz w:val="18"/>
          <w:szCs w:val="18"/>
          <w:color w:val="auto"/>
        </w:rPr>
        <w:t>The table below summarizes the aggregate carrying value of our outstanding indebtedness, as well as Consolidated Debt Financing Statistics at June 30, 2024 and June 30,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260" w:type="dxa"/>
            <w:vAlign w:val="bottom"/>
            <w:tcBorders>
              <w:bottom w:val="single" w:sz="8" w:color="auto"/>
            </w:tcBorders>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(dollars in thousands)</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Balance</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notes payable,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4,371,478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3,274,764</w:t>
            </w: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Unsecured senior notes, net</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9,797,220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10,985,395</w:t>
            </w: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 line of credit</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Unsecured term loan, net</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698,776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1,196,046</w:t>
            </w: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 commercial paper</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Consolidated Debt</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15,367,474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15,456,205</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BXP’s share of unconsolidated joint venture debt, net (1)</w:t>
            </w:r>
          </w:p>
        </w:tc>
        <w:tc>
          <w:tcPr>
            <w:tcW w:w="3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1,379,131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1,609,671</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Subtract: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Partners’ share of consolidated mortgage notes payable, net (2)</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1,361,372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1,359,380</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BXP’s Share of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15,385,233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15,706,496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60" w:type="dxa"/>
            <w:vAlign w:val="bottom"/>
            <w:tcBorders>
              <w:bottom w:val="single" w:sz="8" w:color="auto"/>
            </w:tcBorders>
            <w:gridSpan w:val="3"/>
          </w:tcPr>
          <w:p>
            <w:pPr>
              <w:ind w:left="1380"/>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Debt Financing Statistics:</w:t>
            </w:r>
          </w:p>
        </w:tc>
        <w:tc>
          <w:tcPr>
            <w:tcW w:w="2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Percent of total debt:</w:t>
            </w:r>
          </w:p>
        </w:tc>
        <w:tc>
          <w:tcPr>
            <w:tcW w:w="24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 (3)</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92.20 %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Variable rate</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7.80 %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jc w:val="center"/>
              <w:ind w:right="3470"/>
              <w:spacing w:after="0"/>
              <w:rPr>
                <w:sz w:val="20"/>
                <w:szCs w:val="20"/>
                <w:color w:val="auto"/>
              </w:rPr>
            </w:pPr>
            <w:r>
              <w:rPr>
                <w:rFonts w:ascii="Arial" w:cs="Arial" w:eastAsia="Arial" w:hAnsi="Arial"/>
                <w:sz w:val="18"/>
                <w:szCs w:val="18"/>
                <w:color w:val="auto"/>
                <w:w w:val="94"/>
              </w:rPr>
              <w:t>Total</w:t>
            </w:r>
          </w:p>
        </w:tc>
        <w:tc>
          <w:tcPr>
            <w:tcW w:w="246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GAAP Weighted-average interest rate at end of period:</w:t>
            </w:r>
          </w:p>
        </w:tc>
        <w:tc>
          <w:tcPr>
            <w:tcW w:w="24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0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jc w:val="center"/>
              <w:ind w:right="3430"/>
              <w:spacing w:after="0"/>
              <w:rPr>
                <w:sz w:val="20"/>
                <w:szCs w:val="20"/>
                <w:color w:val="auto"/>
              </w:rPr>
            </w:pPr>
            <w:r>
              <w:rPr>
                <w:rFonts w:ascii="Arial" w:cs="Arial" w:eastAsia="Arial" w:hAnsi="Arial"/>
                <w:sz w:val="18"/>
                <w:szCs w:val="18"/>
                <w:color w:val="auto"/>
                <w:w w:val="98"/>
              </w:rPr>
              <w:t>Fixed rate (3)</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29"/>
        </w:trPr>
        <w:tc>
          <w:tcPr>
            <w:tcW w:w="5300" w:type="dxa"/>
            <w:vAlign w:val="bottom"/>
          </w:tcPr>
          <w:p>
            <w:pPr>
              <w:jc w:val="center"/>
              <w:ind w:right="3490"/>
              <w:spacing w:after="0"/>
              <w:rPr>
                <w:sz w:val="20"/>
                <w:szCs w:val="20"/>
                <w:color w:val="auto"/>
              </w:rPr>
            </w:pPr>
            <w:r>
              <w:rPr>
                <w:rFonts w:ascii="Arial" w:cs="Arial" w:eastAsia="Arial" w:hAnsi="Arial"/>
                <w:sz w:val="18"/>
                <w:szCs w:val="18"/>
                <w:color w:val="auto"/>
                <w:w w:val="97"/>
              </w:rPr>
              <w:t>Variable rate</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5.97 %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jc w:val="center"/>
              <w:ind w:right="3470"/>
              <w:spacing w:after="0"/>
              <w:rPr>
                <w:sz w:val="20"/>
                <w:szCs w:val="20"/>
                <w:color w:val="auto"/>
              </w:rPr>
            </w:pPr>
            <w:r>
              <w:rPr>
                <w:rFonts w:ascii="Arial" w:cs="Arial" w:eastAsia="Arial" w:hAnsi="Arial"/>
                <w:sz w:val="18"/>
                <w:szCs w:val="18"/>
                <w:color w:val="auto"/>
                <w:w w:val="94"/>
              </w:rPr>
              <w:t>Total</w:t>
            </w:r>
          </w:p>
        </w:tc>
        <w:tc>
          <w:tcPr>
            <w:tcW w:w="24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4.16 %</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color w:val="auto"/>
              </w:rPr>
              <w:t>Coupon/Stated Weighted-average interest rate at end of period:</w:t>
            </w:r>
          </w:p>
        </w:tc>
        <w:tc>
          <w:tcPr>
            <w:tcW w:w="2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jc w:val="center"/>
              <w:ind w:right="3430"/>
              <w:spacing w:after="0"/>
              <w:rPr>
                <w:sz w:val="20"/>
                <w:szCs w:val="20"/>
                <w:color w:val="auto"/>
              </w:rPr>
            </w:pPr>
            <w:r>
              <w:rPr>
                <w:rFonts w:ascii="Arial" w:cs="Arial" w:eastAsia="Arial" w:hAnsi="Arial"/>
                <w:sz w:val="18"/>
                <w:szCs w:val="18"/>
                <w:color w:val="auto"/>
                <w:w w:val="98"/>
              </w:rPr>
              <w:t>Fixed rate (3)</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30"/>
        </w:trPr>
        <w:tc>
          <w:tcPr>
            <w:tcW w:w="5300" w:type="dxa"/>
            <w:vAlign w:val="bottom"/>
          </w:tcPr>
          <w:p>
            <w:pPr>
              <w:jc w:val="center"/>
              <w:ind w:right="3490"/>
              <w:spacing w:after="0"/>
              <w:rPr>
                <w:sz w:val="20"/>
                <w:szCs w:val="20"/>
                <w:color w:val="auto"/>
              </w:rPr>
            </w:pPr>
            <w:r>
              <w:rPr>
                <w:rFonts w:ascii="Arial" w:cs="Arial" w:eastAsia="Arial" w:hAnsi="Arial"/>
                <w:sz w:val="18"/>
                <w:szCs w:val="18"/>
                <w:color w:val="auto"/>
                <w:w w:val="97"/>
              </w:rPr>
              <w:t>Variable rate</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5.84 %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jc w:val="center"/>
              <w:ind w:right="3470"/>
              <w:spacing w:after="0"/>
              <w:rPr>
                <w:sz w:val="20"/>
                <w:szCs w:val="20"/>
                <w:color w:val="auto"/>
              </w:rPr>
            </w:pPr>
            <w:r>
              <w:rPr>
                <w:rFonts w:ascii="Arial" w:cs="Arial" w:eastAsia="Arial" w:hAnsi="Arial"/>
                <w:sz w:val="18"/>
                <w:szCs w:val="18"/>
                <w:color w:val="auto"/>
                <w:w w:val="94"/>
              </w:rPr>
              <w:t>Total</w:t>
            </w:r>
          </w:p>
        </w:tc>
        <w:tc>
          <w:tcPr>
            <w:tcW w:w="24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color w:val="auto"/>
              </w:rPr>
              <w:t>Weighted-average maturity at end of period (in years):</w:t>
            </w:r>
          </w:p>
        </w:tc>
        <w:tc>
          <w:tcPr>
            <w:tcW w:w="2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jc w:val="center"/>
              <w:ind w:right="3430"/>
              <w:spacing w:after="0"/>
              <w:rPr>
                <w:sz w:val="20"/>
                <w:szCs w:val="20"/>
                <w:color w:val="auto"/>
              </w:rPr>
            </w:pPr>
            <w:r>
              <w:rPr>
                <w:rFonts w:ascii="Arial" w:cs="Arial" w:eastAsia="Arial" w:hAnsi="Arial"/>
                <w:sz w:val="18"/>
                <w:szCs w:val="18"/>
                <w:color w:val="auto"/>
                <w:w w:val="98"/>
              </w:rPr>
              <w:t>Fixed rate (3)</w:t>
            </w:r>
          </w:p>
        </w:tc>
        <w:tc>
          <w:tcPr>
            <w:tcW w:w="4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5300" w:type="dxa"/>
            <w:vAlign w:val="bottom"/>
          </w:tcPr>
          <w:p>
            <w:pPr>
              <w:jc w:val="center"/>
              <w:ind w:right="3490"/>
              <w:spacing w:after="0"/>
              <w:rPr>
                <w:sz w:val="20"/>
                <w:szCs w:val="20"/>
                <w:color w:val="auto"/>
              </w:rPr>
            </w:pPr>
            <w:r>
              <w:rPr>
                <w:rFonts w:ascii="Arial" w:cs="Arial" w:eastAsia="Arial" w:hAnsi="Arial"/>
                <w:sz w:val="18"/>
                <w:szCs w:val="18"/>
                <w:color w:val="auto"/>
                <w:w w:val="97"/>
              </w:rPr>
              <w:t>Variable rate</w:t>
            </w:r>
          </w:p>
        </w:tc>
        <w:tc>
          <w:tcPr>
            <w:tcW w:w="4140" w:type="dxa"/>
            <w:vAlign w:val="bottom"/>
            <w:gridSpan w:val="2"/>
          </w:tcPr>
          <w:p>
            <w:pPr>
              <w:jc w:val="right"/>
              <w:ind w:right="15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jc w:val="center"/>
              <w:ind w:right="3470"/>
              <w:spacing w:after="0"/>
              <w:rPr>
                <w:sz w:val="20"/>
                <w:szCs w:val="20"/>
                <w:color w:val="auto"/>
              </w:rPr>
            </w:pPr>
            <w:r>
              <w:rPr>
                <w:rFonts w:ascii="Arial" w:cs="Arial" w:eastAsia="Arial" w:hAnsi="Arial"/>
                <w:sz w:val="18"/>
                <w:szCs w:val="18"/>
                <w:color w:val="auto"/>
                <w:w w:val="94"/>
              </w:rPr>
              <w:t>Total</w:t>
            </w:r>
          </w:p>
        </w:tc>
        <w:tc>
          <w:tcPr>
            <w:tcW w:w="24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861"/>
        </w:trPr>
        <w:tc>
          <w:tcPr>
            <w:tcW w:w="5300" w:type="dxa"/>
            <w:vAlign w:val="bottom"/>
          </w:tcPr>
          <w:p>
            <w:pPr>
              <w:spacing w:after="0"/>
              <w:rPr>
                <w:sz w:val="24"/>
                <w:szCs w:val="24"/>
                <w:color w:val="auto"/>
              </w:rPr>
            </w:pPr>
          </w:p>
        </w:tc>
        <w:tc>
          <w:tcPr>
            <w:tcW w:w="2460" w:type="dxa"/>
            <w:vAlign w:val="bottom"/>
          </w:tcPr>
          <w:p>
            <w:pPr>
              <w:jc w:val="right"/>
              <w:ind w:right="1950"/>
              <w:spacing w:after="0"/>
              <w:rPr>
                <w:sz w:val="20"/>
                <w:szCs w:val="20"/>
                <w:color w:val="auto"/>
              </w:rPr>
            </w:pPr>
            <w:r>
              <w:rPr>
                <w:rFonts w:ascii="Arial" w:cs="Arial" w:eastAsia="Arial" w:hAnsi="Arial"/>
                <w:sz w:val="18"/>
                <w:szCs w:val="18"/>
                <w:color w:val="auto"/>
              </w:rPr>
              <w:t>86</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page 90 for additional information.</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See page 89 for additional information.</w:t>
      </w:r>
    </w:p>
    <w:p>
      <w:pPr>
        <w:spacing w:after="0" w:line="14" w:lineRule="exact"/>
        <w:rPr>
          <w:rFonts w:ascii="Arial" w:cs="Arial" w:eastAsia="Arial" w:hAnsi="Arial"/>
          <w:sz w:val="16"/>
          <w:szCs w:val="16"/>
          <w:color w:val="auto"/>
        </w:rPr>
      </w:pPr>
    </w:p>
    <w:p>
      <w:pPr>
        <w:ind w:left="660" w:hanging="328"/>
        <w:spacing w:after="0" w:line="267" w:lineRule="auto"/>
        <w:tabs>
          <w:tab w:leader="none" w:pos="6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June 30, 2024, two of our mortgage loans aggregating approximately $900.0 million bore interest at variable rates. We entered into interest rate swap contracts that effectively fixed the variability of these loans for all or a portion of the applicable debt term and as such, they are reflected in our Fixed rate statistics.</w:t>
      </w:r>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88"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The 2021 Credit Facility provides for borrowings of up to $2.0 billion, as described below, through BPLP’s revolving facility, subject to customary conditions. The 2021 Credit Facility matures on June 15, 2026 and includes a sustainability-linked pricing component. Under the 2021 Credit Facility, BPLP had the option to increase the original total commitment of $1.5 billion by up to an additional $500.0 million by increasing the amount of the revolving facility and/or by incurring one or more term loans, in each case, subject to syndication of the increase and other conditions (the “Accordion Option”). On September 28, 2023, BPLP exercised a portion of the Accordion Option, which increased the then maximum borrowing amount under the 2021 Credit Facility from $ 1.5 billion to $1.815 billion. On April 29, 2024, BPLP exercised the remainder of the Accordion Option and increased the maximum borrowing amount under the 2021 Credit Facility to $2.0 billion. All other terms of the 2021 Credit Facility remain unchanged.</w:t>
      </w:r>
    </w:p>
    <w:p>
      <w:pPr>
        <w:spacing w:after="0" w:line="131"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At BPLP’s option, loans under the 2021 Credit Facility will bear interest at a rate per annum equal to (1) (a) in the case of loans denominated in Dollars, Term SOFR and SOFR, (b) in the case of loans denominated in Euro, EURIBOR, (c) in the case of loans denominated in Canadian Dollars, CDOR, and (d) in the case of loans denominated in Sterling, SONIA, in each case, plus a margin ranging from 70.0 to 140.0 basis points based on BPLP’s credit rating or (2) an alternate base rate equal to the greatest of (a) the Federal Funds rate plus 0.5%, (b) the administrative agent’s prime rate, (c) Term SOFR plus 1.00%, and (d) 1.00%, in each case, plus a margin ranging from 0 to 40 basis points based on BPLP’s credit rating. In addition, there is a SOFR credit spread adjustment of 0.10%.</w:t>
      </w:r>
    </w:p>
    <w:p>
      <w:pPr>
        <w:spacing w:after="0" w:line="128" w:lineRule="exact"/>
        <w:rPr>
          <w:sz w:val="20"/>
          <w:szCs w:val="20"/>
          <w:color w:val="auto"/>
        </w:rPr>
      </w:pPr>
    </w:p>
    <w:p>
      <w:pPr>
        <w:ind w:right="40" w:firstLine="445"/>
        <w:spacing w:after="0" w:line="268" w:lineRule="auto"/>
        <w:rPr>
          <w:sz w:val="20"/>
          <w:szCs w:val="20"/>
          <w:color w:val="auto"/>
        </w:rPr>
      </w:pPr>
      <w:r>
        <w:rPr>
          <w:rFonts w:ascii="Arial" w:cs="Arial" w:eastAsia="Arial" w:hAnsi="Arial"/>
          <w:sz w:val="18"/>
          <w:szCs w:val="18"/>
          <w:color w:val="auto"/>
        </w:rPr>
        <w:t>Based on BPLP’s June 30, 2024 credit rating, (1) the applicable Daily SOFR, Term SOFR, alternative currency daily rate, and alternative currency term rate margins are 0.850%, (2) the alternate base rate margin is zero basis points and (3) the facility fee is 0.20% per annum.</w:t>
      </w:r>
    </w:p>
    <w:p>
      <w:pPr>
        <w:spacing w:after="0" w:line="117"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The 2021 Credit Facility is used as a backstop for BPLP’s $500.0 million unsecured commercial paper program (See “</w:t>
      </w:r>
      <w:r>
        <w:rPr>
          <w:rFonts w:ascii="Arial" w:cs="Arial" w:eastAsia="Arial" w:hAnsi="Arial"/>
          <w:sz w:val="18"/>
          <w:szCs w:val="18"/>
          <w:i w:val="1"/>
          <w:iCs w:val="1"/>
          <w:color w:val="auto"/>
        </w:rPr>
        <w:t>Unsecured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below). As such, BPLP intends to maintain, at a minimum, availability under the 2021 Credit Facility in an amount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amount of commercial paper notes outstanding.</w:t>
      </w:r>
    </w:p>
    <w:p>
      <w:pPr>
        <w:spacing w:after="0" w:line="117" w:lineRule="exact"/>
        <w:rPr>
          <w:sz w:val="20"/>
          <w:szCs w:val="20"/>
          <w:color w:val="auto"/>
        </w:rPr>
      </w:pPr>
    </w:p>
    <w:p>
      <w:pPr>
        <w:ind w:right="140" w:firstLine="445"/>
        <w:spacing w:after="0" w:line="268" w:lineRule="auto"/>
        <w:rPr>
          <w:sz w:val="20"/>
          <w:szCs w:val="20"/>
          <w:color w:val="auto"/>
        </w:rPr>
      </w:pPr>
      <w:r>
        <w:rPr>
          <w:rFonts w:ascii="Arial" w:cs="Arial" w:eastAsia="Arial" w:hAnsi="Arial"/>
          <w:sz w:val="18"/>
          <w:szCs w:val="18"/>
          <w:color w:val="auto"/>
        </w:rPr>
        <w:t>At June 30, 2024 and July 31, 2024, BPLP had no borrowings under its 2021 Credit Facility, outstanding letters of credit totaling approximately $6.6 million and $ 6.2 million, respectively, and $500.0 million is being used as a backstop for the commercial paper program. Therefore, at June 30, 2024 and July 31, 2024, BPLP has the ability to borrow approximately $1.5 billion.</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Term Loan</w:t>
      </w:r>
    </w:p>
    <w:p>
      <w:pPr>
        <w:spacing w:after="0" w:line="102"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The 2023 Unsecured Term Loan provided for a single borrowing of up to $1.2 billion. Upon entry into the credit agreement in January 2023, BPLP exercised its option to draw $ 1.2 billion under the 2023 Unsecured Term Loan. Under the credit agreement governing the 2023 Unsecured Term Loan,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On April 29, 2024, BPLP repaid $500.0 million of the outstanding balance under the 2023 Unsecured Term Loan from the proceeds of its unsecured commercial paper program (see “</w:t>
      </w:r>
      <w:r>
        <w:rPr>
          <w:rFonts w:ascii="Arial" w:cs="Arial" w:eastAsia="Arial" w:hAnsi="Arial"/>
          <w:sz w:val="18"/>
          <w:szCs w:val="18"/>
          <w:i w:val="1"/>
          <w:iCs w:val="1"/>
          <w:color w:val="auto"/>
        </w:rPr>
        <w:t>Unsecured Commercial Paper</w:t>
      </w:r>
      <w:r>
        <w:rPr>
          <w:rFonts w:ascii="Arial" w:cs="Arial" w:eastAsia="Arial" w:hAnsi="Arial"/>
          <w:sz w:val="18"/>
          <w:szCs w:val="18"/>
          <w:color w:val="auto"/>
        </w:rPr>
        <w:t>” below). The 2023 Unsecured Term Loan had an initial maturity date of May 16, 2024, with one 12-month extension option, subject to customary conditions. On May 16, 2024, BPLP exercised its option to extend the maturity date of the 2023 Unsecured Term Loan to May 16, 2025. All other terms of the 2023 Unsecured Term Loan remain unchanged.</w:t>
      </w:r>
    </w:p>
    <w:p>
      <w:pPr>
        <w:spacing w:after="0" w:line="127" w:lineRule="exact"/>
        <w:rPr>
          <w:sz w:val="20"/>
          <w:szCs w:val="20"/>
          <w:color w:val="auto"/>
        </w:rPr>
      </w:pPr>
    </w:p>
    <w:p>
      <w:pPr>
        <w:ind w:right="240" w:firstLine="445"/>
        <w:spacing w:after="0" w:line="262" w:lineRule="auto"/>
        <w:rPr>
          <w:sz w:val="20"/>
          <w:szCs w:val="20"/>
          <w:color w:val="auto"/>
        </w:rPr>
      </w:pPr>
      <w:r>
        <w:rPr>
          <w:rFonts w:ascii="Arial" w:cs="Arial" w:eastAsia="Arial" w:hAnsi="Arial"/>
          <w:sz w:val="18"/>
          <w:szCs w:val="18"/>
          <w:color w:val="auto"/>
        </w:rPr>
        <w:t>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80" w:firstLine="445"/>
        <w:spacing w:after="0" w:line="318" w:lineRule="auto"/>
        <w:rPr>
          <w:sz w:val="20"/>
          <w:szCs w:val="20"/>
          <w:color w:val="auto"/>
        </w:rPr>
      </w:pPr>
      <w:r>
        <w:rPr>
          <w:rFonts w:ascii="Arial" w:cs="Arial" w:eastAsia="Arial" w:hAnsi="Arial"/>
          <w:sz w:val="17"/>
          <w:szCs w:val="17"/>
          <w:color w:val="auto"/>
        </w:rPr>
        <w:t>Based on BPLP’s June 30, 2024 credit rating, the 2023 Unsecured Term Loan bears interest at a rate equal to adjusted Term SOFR plus 0.95% per annum. At June 30, 2024 and July 31, 2024, BPLP had $700.0 million outstanding under the 2023 Unsecured Term Loan.</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88" w:lineRule="exact"/>
        <w:rPr>
          <w:sz w:val="20"/>
          <w:szCs w:val="20"/>
          <w:color w:val="auto"/>
        </w:rPr>
      </w:pPr>
    </w:p>
    <w:p>
      <w:pPr>
        <w:ind w:right="700" w:firstLine="445"/>
        <w:spacing w:after="0" w:line="287" w:lineRule="auto"/>
        <w:rPr>
          <w:sz w:val="20"/>
          <w:szCs w:val="20"/>
          <w:color w:val="auto"/>
        </w:rPr>
      </w:pPr>
      <w:r>
        <w:rPr>
          <w:rFonts w:ascii="Arial" w:cs="Arial" w:eastAsia="Arial" w:hAnsi="Arial"/>
          <w:sz w:val="18"/>
          <w:szCs w:val="18"/>
          <w:color w:val="auto"/>
        </w:rPr>
        <w:t>For a description of BPLP’s outstanding unsecured senior notes as of June 30, 2024, see Note 6 to the Consolidated Financial Statements.</w:t>
      </w:r>
    </w:p>
    <w:p>
      <w:pPr>
        <w:spacing w:after="0" w:line="99"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On February 1, 2024, BPLP repaid $700.0 million in aggregate principal amount of its 3.800% senior notes due February 1, 2024. The repayment was completed with available cash and the $600.0 million proceeds from the mortgage loan entered into on October 26, 2023. The repayment price was approximately $713.3 million, which was equal to the stated principal plus approximately $13.3 million of accrued and unpaid interest to, but not including, the repayment date. Excluding the accrued and unpaid interest, the repayment price was equal to the principal amount being repaid.</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Unsecured Commercial Paper</w:t>
      </w:r>
    </w:p>
    <w:p>
      <w:pPr>
        <w:spacing w:after="0" w:line="10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April 17, 2024, BPLP established an unsecured commercial paper program. Under the terms of the program, BPLP may issue, from time to time, unsecured commercial paper notes up to a maximum aggregate amount outstanding at any one time of $500.0 million with varying maturities of up to one year. Amounts available under the unsecured commercial paper program may be borrowed, repaid, and re-borrowed from time to time. The notes are sold in private placements and rank pari passu with all of BPLP’s other unsecured senior indebtedness, including its outstanding senior notes. The unsecured commercial paper program is backstopped by available capacity under the 2021 Credit Facility. At June 30, 2024, BPLP had an aggregate of $500.0 million of unsecured commercial paper notes outstanding that bore interest at a weighted-average rate of approximately 5.60% per annum and had a weighted-average maturity of 49 days, from the issuance date. At July 31, 2024, BPLP had an aggregate of $500.0 million of commercial paper notes outstanding that bore interest at a weighted-average rate of approximately 5.58% per annum and had a weighted-average maturity of 53 days, from the issuance date. Proceeds from the unsecured commercial paper program were used to reduce BPLP’s 2023 Unsecured Term Loan to $700.0 million.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Mortgage Notes Payable</w:t>
      </w:r>
    </w:p>
    <w:p>
      <w:pPr>
        <w:spacing w:after="0" w:line="10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January 8, 2024, we completed the acquisition of our joint venture partner’s 50% economic ownership interest in the joint venture that owns 901 New York Avenue located in Washington, DC (See Note 3 to the Consolidated Financial Statements). The property is subject to existing mortgage indebtedness. At acquisition, the mortgage loan had an outstanding principal balance of approximately $207.1 million, bore interest at 3.61% per annum and was scheduled to mature on January 5, 2025. The mortgage loan was recorded at a fair value of approximately $ 198.7 million. On January 11, 2024, we modified the mortgage loan to provide for two extension options totaling five years of additional term, each subject to certain conditions.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outstanding mortgage notes payable, net at June 30,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71"/>
              <w:spacing w:after="0"/>
              <w:rPr>
                <w:sz w:val="20"/>
                <w:szCs w:val="20"/>
                <w:color w:val="auto"/>
              </w:rPr>
            </w:pPr>
            <w:r>
              <w:rPr>
                <w:rFonts w:ascii="Arial" w:cs="Arial" w:eastAsia="Arial" w:hAnsi="Arial"/>
                <w:sz w:val="13"/>
                <w:szCs w:val="13"/>
                <w:b w:val="1"/>
                <w:bCs w:val="1"/>
                <w:color w:val="auto"/>
                <w:w w:val="97"/>
              </w:rPr>
              <w:t>Carrying</w:t>
            </w:r>
          </w:p>
        </w:tc>
        <w:tc>
          <w:tcPr>
            <w:tcW w:w="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95"/>
              </w:rPr>
              <w:t>GAAP</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Adjustment and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3"/>
                <w:szCs w:val="13"/>
                <w:b w:val="1"/>
                <w:bCs w:val="1"/>
                <w:color w:val="auto"/>
              </w:rPr>
              <w:t>Stated</w:t>
            </w:r>
          </w:p>
        </w:tc>
        <w:tc>
          <w:tcPr>
            <w:tcW w:w="1060" w:type="dxa"/>
            <w:vAlign w:val="bottom"/>
            <w:vMerge w:val="continue"/>
          </w:tcPr>
          <w:p>
            <w:pPr>
              <w:spacing w:after="0"/>
              <w:rPr>
                <w:sz w:val="10"/>
                <w:szCs w:val="10"/>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Stated Principal</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Deferred</w:t>
            </w:r>
          </w:p>
        </w:tc>
        <w:tc>
          <w:tcPr>
            <w:tcW w:w="18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86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97"/>
              </w:rPr>
              <w:t>Amount</w:t>
            </w: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4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Properties</w:t>
            </w:r>
          </w:p>
        </w:tc>
        <w:tc>
          <w:tcPr>
            <w:tcW w:w="1020" w:type="dxa"/>
            <w:vAlign w:val="bottom"/>
            <w:vMerge w:val="continue"/>
          </w:tcPr>
          <w:p>
            <w:pPr>
              <w:spacing w:after="0"/>
              <w:rPr>
                <w:sz w:val="10"/>
                <w:szCs w:val="10"/>
                <w:color w:val="auto"/>
              </w:rPr>
            </w:pPr>
          </w:p>
        </w:tc>
        <w:tc>
          <w:tcPr>
            <w:tcW w:w="1060" w:type="dxa"/>
            <w:vAlign w:val="bottom"/>
          </w:tcPr>
          <w:p>
            <w:pPr>
              <w:jc w:val="center"/>
              <w:ind w:right="31"/>
              <w:spacing w:after="0" w:line="122" w:lineRule="exact"/>
              <w:rPr>
                <w:sz w:val="20"/>
                <w:szCs w:val="20"/>
                <w:color w:val="auto"/>
              </w:rPr>
            </w:pPr>
            <w:r>
              <w:rPr>
                <w:rFonts w:ascii="Arial" w:cs="Arial" w:eastAsia="Arial" w:hAnsi="Arial"/>
                <w:sz w:val="13"/>
                <w:szCs w:val="13"/>
                <w:b w:val="1"/>
                <w:bCs w:val="1"/>
                <w:color w:val="auto"/>
                <w:w w:val="96"/>
              </w:rPr>
              <w:t>Interest Rate</w:t>
            </w: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Financing</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96"/>
              </w:rPr>
              <w:t>(Partners</w:t>
            </w:r>
            <w:r>
              <w:rPr>
                <w:rFonts w:ascii="Arial" w:cs="Arial" w:eastAsia="Arial" w:hAnsi="Arial"/>
                <w:sz w:val="13"/>
                <w:szCs w:val="13"/>
                <w:color w:val="auto"/>
                <w:w w:val="96"/>
              </w:rPr>
              <w:t>’</w:t>
            </w:r>
          </w:p>
        </w:tc>
        <w:tc>
          <w:tcPr>
            <w:tcW w:w="660" w:type="dxa"/>
            <w:vAlign w:val="bottom"/>
          </w:tcPr>
          <w:p>
            <w:pPr>
              <w:spacing w:after="0"/>
              <w:rPr>
                <w:sz w:val="10"/>
                <w:szCs w:val="10"/>
                <w:color w:val="auto"/>
              </w:rPr>
            </w:pPr>
          </w:p>
        </w:tc>
        <w:tc>
          <w:tcPr>
            <w:tcW w:w="15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3"/>
                <w:szCs w:val="13"/>
                <w:b w:val="1"/>
                <w:bCs w:val="1"/>
                <w:color w:val="auto"/>
              </w:rPr>
              <w:t>Interest Rate</w:t>
            </w:r>
          </w:p>
        </w:tc>
        <w:tc>
          <w:tcPr>
            <w:tcW w:w="1060" w:type="dxa"/>
            <w:vAlign w:val="bottom"/>
          </w:tcPr>
          <w:p>
            <w:pPr>
              <w:jc w:val="center"/>
              <w:ind w:right="31"/>
              <w:spacing w:after="0"/>
              <w:rPr>
                <w:sz w:val="20"/>
                <w:szCs w:val="20"/>
                <w:color w:val="auto"/>
              </w:rPr>
            </w:pPr>
            <w:r>
              <w:rPr>
                <w:rFonts w:ascii="Arial" w:cs="Arial" w:eastAsia="Arial" w:hAnsi="Arial"/>
                <w:sz w:val="13"/>
                <w:szCs w:val="13"/>
                <w:b w:val="1"/>
                <w:bCs w:val="1"/>
                <w:color w:val="auto"/>
              </w:rPr>
              <w:t>(1)</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Costs, Net</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6"/>
                <w:szCs w:val="16"/>
                <w:color w:val="auto"/>
              </w:rPr>
            </w:pPr>
          </w:p>
        </w:tc>
        <w:tc>
          <w:tcPr>
            <w:tcW w:w="860" w:type="dxa"/>
            <w:vAlign w:val="bottom"/>
          </w:tcPr>
          <w:p>
            <w:pPr>
              <w:jc w:val="center"/>
              <w:ind w:right="91"/>
              <w:spacing w:after="0"/>
              <w:rPr>
                <w:sz w:val="20"/>
                <w:szCs w:val="20"/>
                <w:color w:val="auto"/>
              </w:rPr>
            </w:pPr>
            <w:r>
              <w:rPr>
                <w:rFonts w:ascii="Arial" w:cs="Arial" w:eastAsia="Arial" w:hAnsi="Arial"/>
                <w:sz w:val="13"/>
                <w:szCs w:val="13"/>
                <w:b w:val="1"/>
                <w:bCs w:val="1"/>
                <w:color w:val="auto"/>
                <w:w w:val="93"/>
              </w:rPr>
              <w:t>Share)</w:t>
            </w:r>
          </w:p>
        </w:tc>
        <w:tc>
          <w:tcPr>
            <w:tcW w:w="6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Wholly-owned</w:t>
            </w:r>
          </w:p>
        </w:tc>
        <w:tc>
          <w:tcPr>
            <w:tcW w:w="10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901 New York Avenue</w:t>
            </w: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3.61 %</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7.69 %</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205,074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(4,452)</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200,622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660" w:type="dxa"/>
            <w:vAlign w:val="bottom"/>
          </w:tcPr>
          <w:p>
            <w:pPr>
              <w:ind w:left="160"/>
              <w:spacing w:after="0"/>
              <w:rPr>
                <w:sz w:val="20"/>
                <w:szCs w:val="20"/>
                <w:color w:val="auto"/>
              </w:rPr>
            </w:pPr>
            <w:r>
              <w:rPr>
                <w:rFonts w:ascii="Arial" w:cs="Arial" w:eastAsia="Arial" w:hAnsi="Arial"/>
                <w:sz w:val="14"/>
                <w:szCs w:val="14"/>
                <w:color w:val="auto"/>
              </w:rPr>
              <w:t>(2)</w:t>
            </w:r>
          </w:p>
        </w:tc>
        <w:tc>
          <w:tcPr>
            <w:tcW w:w="1560" w:type="dxa"/>
            <w:vAlign w:val="bottom"/>
          </w:tcPr>
          <w:p>
            <w:pPr>
              <w:ind w:left="16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Santa Monica Business Park</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4.06 %</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6.53 %</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(3)(4)</w:t>
            </w:r>
          </w:p>
        </w:tc>
        <w:tc>
          <w:tcPr>
            <w:tcW w:w="1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40" w:type="dxa"/>
            <w:vAlign w:val="bottom"/>
            <w:gridSpan w:val="4"/>
          </w:tcPr>
          <w:p>
            <w:pPr>
              <w:spacing w:after="0" w:line="149" w:lineRule="exact"/>
              <w:rPr>
                <w:sz w:val="20"/>
                <w:szCs w:val="20"/>
                <w:color w:val="auto"/>
              </w:rPr>
            </w:pPr>
            <w:r>
              <w:rPr>
                <w:rFonts w:ascii="Arial" w:cs="Arial" w:eastAsia="Arial" w:hAnsi="Arial"/>
                <w:sz w:val="14"/>
                <w:szCs w:val="14"/>
                <w:color w:val="auto"/>
              </w:rPr>
              <w:t>90 Broadway, 325 Main Street, 355</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40" w:type="dxa"/>
            <w:vAlign w:val="bottom"/>
            <w:gridSpan w:val="4"/>
          </w:tcPr>
          <w:p>
            <w:pPr>
              <w:ind w:left="160"/>
              <w:spacing w:after="0" w:line="139" w:lineRule="exact"/>
              <w:rPr>
                <w:sz w:val="20"/>
                <w:szCs w:val="20"/>
                <w:color w:val="auto"/>
              </w:rPr>
            </w:pPr>
            <w:r>
              <w:rPr>
                <w:rFonts w:ascii="Arial" w:cs="Arial" w:eastAsia="Arial" w:hAnsi="Arial"/>
                <w:sz w:val="14"/>
                <w:szCs w:val="14"/>
                <w:color w:val="auto"/>
              </w:rPr>
              <w:t>Main Street, and Cambridge East</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Garage (also known as Kendall</w:t>
            </w:r>
          </w:p>
        </w:tc>
        <w:tc>
          <w:tcPr>
            <w:tcW w:w="1020" w:type="dxa"/>
            <w:vAlign w:val="bottom"/>
            <w:vMerge w:val="restart"/>
          </w:tcPr>
          <w:p>
            <w:pPr>
              <w:jc w:val="right"/>
              <w:ind w:right="31"/>
              <w:spacing w:after="0"/>
              <w:rPr>
                <w:sz w:val="20"/>
                <w:szCs w:val="20"/>
                <w:color w:val="auto"/>
              </w:rPr>
            </w:pPr>
            <w:r>
              <w:rPr>
                <w:rFonts w:ascii="Arial" w:cs="Arial" w:eastAsia="Arial" w:hAnsi="Arial"/>
                <w:sz w:val="14"/>
                <w:szCs w:val="14"/>
                <w:color w:val="auto"/>
              </w:rPr>
              <w:t>6.04 %</w:t>
            </w:r>
          </w:p>
        </w:tc>
        <w:tc>
          <w:tcPr>
            <w:tcW w:w="1060" w:type="dxa"/>
            <w:vAlign w:val="bottom"/>
            <w:vMerge w:val="restart"/>
          </w:tcPr>
          <w:p>
            <w:pPr>
              <w:jc w:val="right"/>
              <w:ind w:right="51"/>
              <w:spacing w:after="0"/>
              <w:rPr>
                <w:sz w:val="20"/>
                <w:szCs w:val="20"/>
                <w:color w:val="auto"/>
              </w:rPr>
            </w:pPr>
            <w:r>
              <w:rPr>
                <w:rFonts w:ascii="Arial" w:cs="Arial" w:eastAsia="Arial" w:hAnsi="Arial"/>
                <w:sz w:val="14"/>
                <w:szCs w:val="14"/>
                <w:color w:val="auto"/>
              </w:rPr>
              <w:t>6.26 %</w:t>
            </w:r>
          </w:p>
        </w:tc>
        <w:tc>
          <w:tcPr>
            <w:tcW w:w="18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(5,803)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594,197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(3)(5)</w:t>
            </w:r>
          </w:p>
        </w:tc>
        <w:tc>
          <w:tcPr>
            <w:tcW w:w="1560" w:type="dxa"/>
            <w:vAlign w:val="bottom"/>
            <w:vMerge w:val="restart"/>
          </w:tcPr>
          <w:p>
            <w:pPr>
              <w:ind w:left="160"/>
              <w:spacing w:after="0"/>
              <w:rPr>
                <w:sz w:val="20"/>
                <w:szCs w:val="20"/>
                <w:color w:val="auto"/>
              </w:rPr>
            </w:pPr>
            <w:r>
              <w:rPr>
                <w:rFonts w:ascii="Arial" w:cs="Arial" w:eastAsia="Arial" w:hAnsi="Arial"/>
                <w:sz w:val="14"/>
                <w:szCs w:val="14"/>
                <w:color w:val="auto"/>
              </w:rPr>
              <w:t>October 26, 2028</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gridSpan w:val="4"/>
          </w:tcPr>
          <w:p>
            <w:pPr>
              <w:ind w:left="160"/>
              <w:spacing w:after="0"/>
              <w:rPr>
                <w:sz w:val="20"/>
                <w:szCs w:val="20"/>
                <w:color w:val="auto"/>
              </w:rPr>
            </w:pPr>
            <w:r>
              <w:rPr>
                <w:rFonts w:ascii="Arial" w:cs="Arial" w:eastAsia="Arial" w:hAnsi="Arial"/>
                <w:sz w:val="14"/>
                <w:szCs w:val="14"/>
                <w:color w:val="auto"/>
              </w:rPr>
              <w:t>Center Green Garage)</w:t>
            </w:r>
          </w:p>
        </w:tc>
        <w:tc>
          <w:tcPr>
            <w:tcW w:w="1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Subtotal</w:t>
            </w: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1,105,074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1,091,872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Consolidated Joint Ventures</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767 Fifth Avenue (the General</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3.43 %</w:t>
            </w:r>
          </w:p>
        </w:tc>
        <w:tc>
          <w:tcPr>
            <w:tcW w:w="10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3.64 %</w:t>
            </w: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2,300,000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2,289,751</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915,937</w:t>
            </w:r>
          </w:p>
        </w:tc>
        <w:tc>
          <w:tcPr>
            <w:tcW w:w="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(3)(6)</w:t>
            </w:r>
          </w:p>
        </w:tc>
        <w:tc>
          <w:tcPr>
            <w:tcW w:w="15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4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Motors Building)</w:t>
            </w:r>
          </w:p>
        </w:tc>
        <w:tc>
          <w:tcPr>
            <w:tcW w:w="10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(7)</w:t>
            </w: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601 Lexington Avenue</w:t>
            </w:r>
          </w:p>
        </w:tc>
        <w:tc>
          <w:tcPr>
            <w:tcW w:w="102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rPr>
              <w:t>2.79 %</w:t>
            </w:r>
          </w:p>
        </w:tc>
        <w:tc>
          <w:tcPr>
            <w:tcW w:w="106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2.93 %</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989,855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445,435</w:t>
            </w:r>
          </w:p>
        </w:tc>
        <w:tc>
          <w:tcPr>
            <w:tcW w:w="6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(3)(8)</w:t>
            </w:r>
          </w:p>
        </w:tc>
        <w:tc>
          <w:tcPr>
            <w:tcW w:w="15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January 9, 2032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Subtotal</w:t>
            </w: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3,300,000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(20,394)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3,279,606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1,361,372</w:t>
            </w: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gridSpan w:val="4"/>
          </w:tcPr>
          <w:p>
            <w:pPr>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4,405,074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(33,596)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4,371,478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1,361,372</w:t>
            </w: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40" w:hanging="328"/>
        <w:spacing w:after="0" w:line="252"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GAAP interest rate differs from the stated interest rate due to the inclusion of the amortization of financing charges, the effects of hedging transactions (if any) and adjustments required under Accounting Standards Codification 805 “Business Combinations” to reflect loans and swaps at their fair values (if any).</w:t>
      </w:r>
    </w:p>
    <w:p>
      <w:pPr>
        <w:ind w:left="660" w:right="200" w:hanging="328"/>
        <w:spacing w:after="0" w:line="255"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Carrying amount includes an approximately $4.4 million fair value interest adjustment. The loan includes two extension options, subject to certain conditions.</w:t>
      </w: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spacing w:after="0" w:line="14" w:lineRule="exact"/>
        <w:rPr>
          <w:rFonts w:ascii="Arial" w:cs="Arial" w:eastAsia="Arial" w:hAnsi="Arial"/>
          <w:sz w:val="16"/>
          <w:szCs w:val="16"/>
          <w:color w:val="auto"/>
        </w:rPr>
      </w:pPr>
    </w:p>
    <w:p>
      <w:pPr>
        <w:ind w:left="660" w:right="220" w:hanging="328"/>
        <w:spacing w:after="0" w:line="253"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mortgage loan bears interest at a variable rate of SOFR plus 1.38% per annum. The borrower under the loan entered into three interest rate swap contracts with notional amounts aggregating $300.0 million to fix SOFR at a weighted-average fixed interest rate of 2.679% for the period commencing on February 1, 2023 and ending on April 1, 2025. Stated interest rate reflects the weighted average fixed interest rate based on the interest rate swap contracts plus 1.38% per annum. Carrying amount includes an approximately $2.9 million fair value interest adjustment and excludes the adjustment required to reflect the interest rate swap at fair value upon acquisition of approximately $4.2 million.</w:t>
      </w:r>
    </w:p>
    <w:p>
      <w:pPr>
        <w:spacing w:after="0" w:line="2" w:lineRule="exact"/>
        <w:rPr>
          <w:rFonts w:ascii="Arial" w:cs="Arial" w:eastAsia="Arial" w:hAnsi="Arial"/>
          <w:sz w:val="16"/>
          <w:szCs w:val="16"/>
          <w:color w:val="auto"/>
        </w:rPr>
      </w:pPr>
    </w:p>
    <w:p>
      <w:pPr>
        <w:ind w:left="660" w:right="80" w:hanging="328"/>
        <w:spacing w:after="0" w:line="252"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mortgage loan bears interest at a variable rate of Daily Compounded SOFR plus 2.25% per annum. On December 7, 2023, BPLP entered into three interest rate swap contracts with notional amounts aggregating $600.0 million to fix Daily Compounded SOFR at a weighted-average fixed interest rate of 3.7925% for the period commencing on December 15, 2023 and ending on October 26, 2028. The stated interest rate reflects the weighted average fixed interest rate based on the interest rate swap contracts plus 2.25% per annum.</w:t>
      </w:r>
    </w:p>
    <w:p>
      <w:pPr>
        <w:ind w:left="660" w:right="80" w:hanging="328"/>
        <w:spacing w:after="0" w:line="255"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ind w:left="660" w:right="60" w:hanging="328"/>
        <w:spacing w:after="0" w:line="253" w:lineRule="auto"/>
        <w:tabs>
          <w:tab w:leader="none" w:pos="6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connection with the refinancing of the loan, we guaranteed the consolidated entity’s obligation to fund various reserves for tenant improvement costs and allowances, leasing commissions and free rent obligations in lieu of cash deposits. As of June 30, 2024, the maximum funding obligation under the guarantee was approximately $8.5 million. We earn a fee from the joint venture for providing the guarantee and have an agreement with our partners to reimburse the joint venture for their share of any payments made under the guarantee (See Note 8 to the Consolidated Financial Statements).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02" w:lineRule="exact"/>
        <w:rPr>
          <w:sz w:val="20"/>
          <w:szCs w:val="20"/>
          <w:color w:val="auto"/>
        </w:rPr>
      </w:pPr>
    </w:p>
    <w:p>
      <w:pPr>
        <w:ind w:right="180" w:firstLine="445"/>
        <w:spacing w:after="0" w:line="287" w:lineRule="auto"/>
        <w:rPr>
          <w:sz w:val="20"/>
          <w:szCs w:val="20"/>
          <w:color w:val="auto"/>
        </w:rPr>
      </w:pPr>
      <w:r>
        <w:rPr>
          <w:rFonts w:ascii="Arial" w:cs="Arial" w:eastAsia="Arial" w:hAnsi="Arial"/>
          <w:sz w:val="18"/>
          <w:szCs w:val="18"/>
          <w:color w:val="auto"/>
        </w:rPr>
        <w:t>As of June 30, 2024, we had $900.0 million of interest rate swaps outstanding, where hedge accounting was elected, with a fair value of approximately $12.1 million. For a description of these interest rate swaps, see Note 7 to the Consolidated Financial Statements.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 Unconsolidated Joint Ventures - Secured Debt</w:t>
      </w:r>
    </w:p>
    <w:p>
      <w:pPr>
        <w:spacing w:after="0" w:line="88"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We have investments in unconsolidated joint ventures with our effective ownership interests ranging from 20% to approximately 71%. Fourteen of these ventures have mortgage indebtedness. We exercise significant influence over, but do not control, these entities. As a result, we account for them using the equity method of accounting. See also Note 5 to the Consolidated Financial Statements. At June 30, 2024, the aggregate carrying amount of debt, including both our and our partners’ share, incurred by these ventures was approximately $3.2 billion (of which our proportionate share is approximately $1.4 billion). The table below summarizes the outstanding debt of these joint venture properties at June 30, 2024.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Nominal %</w:t>
            </w: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rPr>
              <w:t>Stated</w:t>
            </w:r>
          </w:p>
        </w:tc>
        <w:tc>
          <w:tcPr>
            <w:tcW w:w="860" w:type="dxa"/>
            <w:vAlign w:val="bottom"/>
          </w:tcPr>
          <w:p>
            <w:pPr>
              <w:jc w:val="right"/>
              <w:ind w:right="181"/>
              <w:spacing w:after="0"/>
              <w:rPr>
                <w:sz w:val="20"/>
                <w:szCs w:val="20"/>
                <w:color w:val="auto"/>
              </w:rPr>
            </w:pPr>
            <w:r>
              <w:rPr>
                <w:rFonts w:ascii="Arial" w:cs="Arial" w:eastAsia="Arial" w:hAnsi="Arial"/>
                <w:sz w:val="14"/>
                <w:szCs w:val="14"/>
                <w:b w:val="1"/>
                <w:bCs w:val="1"/>
                <w:color w:val="auto"/>
              </w:rPr>
              <w:t>GAAP</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Term of</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Stated</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Properties</w:t>
            </w:r>
          </w:p>
        </w:tc>
        <w:tc>
          <w:tcPr>
            <w:tcW w:w="1020" w:type="dxa"/>
            <w:vAlign w:val="bottom"/>
            <w:vMerge w:val="continue"/>
          </w:tcPr>
          <w:p>
            <w:pPr>
              <w:spacing w:after="0"/>
              <w:rPr>
                <w:sz w:val="12"/>
                <w:szCs w:val="12"/>
                <w:color w:val="auto"/>
              </w:rPr>
            </w:pPr>
          </w:p>
        </w:tc>
        <w:tc>
          <w:tcPr>
            <w:tcW w:w="920" w:type="dxa"/>
            <w:vAlign w:val="bottom"/>
          </w:tcPr>
          <w:p>
            <w:pPr>
              <w:jc w:val="center"/>
              <w:ind w:right="41"/>
              <w:spacing w:after="0" w:line="145" w:lineRule="exact"/>
              <w:rPr>
                <w:sz w:val="20"/>
                <w:szCs w:val="20"/>
                <w:color w:val="auto"/>
              </w:rPr>
            </w:pPr>
            <w:r>
              <w:rPr>
                <w:rFonts w:ascii="Arial" w:cs="Arial" w:eastAsia="Arial" w:hAnsi="Arial"/>
                <w:sz w:val="14"/>
                <w:szCs w:val="14"/>
                <w:b w:val="1"/>
                <w:bCs w:val="1"/>
                <w:color w:val="auto"/>
              </w:rPr>
              <w:t>Interest</w:t>
            </w:r>
          </w:p>
        </w:tc>
        <w:tc>
          <w:tcPr>
            <w:tcW w:w="860" w:type="dxa"/>
            <w:vAlign w:val="bottom"/>
          </w:tcPr>
          <w:p>
            <w:pPr>
              <w:jc w:val="right"/>
              <w:ind w:right="121"/>
              <w:spacing w:after="0" w:line="145" w:lineRule="exact"/>
              <w:rPr>
                <w:sz w:val="20"/>
                <w:szCs w:val="20"/>
                <w:color w:val="auto"/>
              </w:rPr>
            </w:pPr>
            <w:r>
              <w:rPr>
                <w:rFonts w:ascii="Arial" w:cs="Arial" w:eastAsia="Arial" w:hAnsi="Arial"/>
                <w:sz w:val="14"/>
                <w:szCs w:val="14"/>
                <w:b w:val="1"/>
                <w:bCs w:val="1"/>
                <w:color w:val="auto"/>
              </w:rPr>
              <w:t>Interest</w:t>
            </w:r>
          </w:p>
        </w:tc>
        <w:tc>
          <w:tcPr>
            <w:tcW w:w="1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Variable Rate</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0"/>
              <w:spacing w:after="0" w:line="145"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12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9"/>
        </w:trPr>
        <w:tc>
          <w:tcPr>
            <w:tcW w:w="1660" w:type="dxa"/>
            <w:vAlign w:val="bottom"/>
            <w:gridSpan w:val="2"/>
            <w:vMerge w:val="continue"/>
          </w:tcPr>
          <w:p>
            <w:pPr>
              <w:spacing w:after="0"/>
              <w:rPr>
                <w:sz w:val="16"/>
                <w:szCs w:val="16"/>
                <w:color w:val="auto"/>
              </w:rPr>
            </w:pPr>
          </w:p>
        </w:tc>
        <w:tc>
          <w:tcPr>
            <w:tcW w:w="1020" w:type="dxa"/>
            <w:vAlign w:val="bottom"/>
          </w:tcPr>
          <w:p>
            <w:pPr>
              <w:jc w:val="right"/>
              <w:ind w:right="120"/>
              <w:spacing w:after="0"/>
              <w:rPr>
                <w:sz w:val="20"/>
                <w:szCs w:val="20"/>
                <w:color w:val="auto"/>
              </w:rPr>
            </w:pPr>
            <w:r>
              <w:rPr>
                <w:rFonts w:ascii="Arial" w:cs="Arial" w:eastAsia="Arial" w:hAnsi="Arial"/>
                <w:sz w:val="14"/>
                <w:szCs w:val="14"/>
                <w:b w:val="1"/>
                <w:bCs w:val="1"/>
                <w:color w:val="auto"/>
              </w:rPr>
              <w:t>Ownership</w:t>
            </w: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Rate</w:t>
            </w: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rPr>
              <w:t>Rate (1)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 Spread</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Costs, Net</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(Our share)</w:t>
            </w:r>
          </w:p>
        </w:tc>
        <w:tc>
          <w:tcPr>
            <w:tcW w:w="6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360 Park Avenue</w:t>
            </w: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Adjusted</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(2)(3)</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December 14,</w:t>
            </w:r>
          </w:p>
        </w:tc>
        <w:tc>
          <w:tcPr>
            <w:tcW w:w="0" w:type="dxa"/>
            <w:vAlign w:val="bottom"/>
          </w:tcPr>
          <w:p>
            <w:pPr>
              <w:spacing w:after="0"/>
              <w:rPr>
                <w:sz w:val="1"/>
                <w:szCs w:val="1"/>
                <w:color w:val="auto"/>
              </w:rPr>
            </w:pPr>
          </w:p>
        </w:tc>
      </w:tr>
      <w:tr>
        <w:trPr>
          <w:trHeight w:val="162"/>
        </w:trPr>
        <w:tc>
          <w:tcPr>
            <w:tcW w:w="1660" w:type="dxa"/>
            <w:vAlign w:val="bottom"/>
            <w:gridSpan w:val="2"/>
            <w:vMerge w:val="continue"/>
            <w:shd w:val="clear" w:color="auto" w:fill="CCEEFF"/>
          </w:tcPr>
          <w:p>
            <w:pPr>
              <w:spacing w:after="0"/>
              <w:rPr>
                <w:sz w:val="14"/>
                <w:szCs w:val="14"/>
                <w:color w:val="auto"/>
              </w:rPr>
            </w:pP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71.11 %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7.83 %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8.28 %</w:t>
            </w:r>
          </w:p>
        </w:tc>
        <w:tc>
          <w:tcPr>
            <w:tcW w:w="110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220,000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219,545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156,118</w:t>
            </w:r>
          </w:p>
        </w:tc>
        <w:tc>
          <w:tcPr>
            <w:tcW w:w="66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South</w:t>
            </w: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+ 2.40%</w:t>
            </w: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(4)</w:t>
            </w:r>
          </w:p>
        </w:tc>
        <w:tc>
          <w:tcPr>
            <w:tcW w:w="1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62"/>
        </w:trPr>
        <w:tc>
          <w:tcPr>
            <w:tcW w:w="1660" w:type="dxa"/>
            <w:vAlign w:val="bottom"/>
            <w:gridSpan w:val="2"/>
            <w:vMerge w:val="restart"/>
          </w:tcPr>
          <w:p>
            <w:pPr>
              <w:ind w:left="20"/>
              <w:spacing w:after="0"/>
              <w:rPr>
                <w:sz w:val="20"/>
                <w:szCs w:val="20"/>
                <w:color w:val="auto"/>
              </w:rPr>
            </w:pPr>
            <w:r>
              <w:rPr>
                <w:rFonts w:ascii="Arial" w:cs="Arial" w:eastAsia="Arial" w:hAnsi="Arial"/>
                <w:sz w:val="16"/>
                <w:szCs w:val="16"/>
                <w:color w:val="auto"/>
              </w:rPr>
              <w:t>Market Square North</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7.74 %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7.92 %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124,689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62,345</w:t>
            </w:r>
          </w:p>
        </w:tc>
        <w:tc>
          <w:tcPr>
            <w:tcW w:w="660" w:type="dxa"/>
            <w:vAlign w:val="bottom"/>
          </w:tcPr>
          <w:p>
            <w:pPr>
              <w:ind w:left="100"/>
              <w:spacing w:after="0" w:line="162" w:lineRule="exact"/>
              <w:rPr>
                <w:sz w:val="20"/>
                <w:szCs w:val="20"/>
                <w:color w:val="auto"/>
              </w:rPr>
            </w:pPr>
            <w:r>
              <w:rPr>
                <w:rFonts w:ascii="Arial" w:cs="Arial" w:eastAsia="Arial" w:hAnsi="Arial"/>
                <w:sz w:val="16"/>
                <w:szCs w:val="16"/>
                <w:color w:val="auto"/>
              </w:rPr>
              <w:t>(2)(3)</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November 10,</w:t>
            </w:r>
          </w:p>
        </w:tc>
        <w:tc>
          <w:tcPr>
            <w:tcW w:w="0" w:type="dxa"/>
            <w:vAlign w:val="bottom"/>
          </w:tcPr>
          <w:p>
            <w:pPr>
              <w:spacing w:after="0"/>
              <w:rPr>
                <w:sz w:val="1"/>
                <w:szCs w:val="1"/>
                <w:color w:val="auto"/>
              </w:rPr>
            </w:pPr>
          </w:p>
        </w:tc>
      </w:tr>
      <w:tr>
        <w:trPr>
          <w:trHeight w:val="215"/>
        </w:trPr>
        <w:tc>
          <w:tcPr>
            <w:tcW w:w="16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(5)</w:t>
            </w:r>
          </w:p>
        </w:tc>
        <w:tc>
          <w:tcPr>
            <w:tcW w:w="1220" w:type="dxa"/>
            <w:vAlign w:val="bottom"/>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3.77 %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3.84 %</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34,185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33,976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16,988</w:t>
            </w: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January 1,</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5"/>
        </w:trPr>
        <w:tc>
          <w:tcPr>
            <w:tcW w:w="1660" w:type="dxa"/>
            <w:vAlign w:val="bottom"/>
            <w:gridSpan w:val="2"/>
          </w:tcPr>
          <w:p>
            <w:pPr>
              <w:ind w:left="20"/>
              <w:spacing w:after="0"/>
              <w:rPr>
                <w:sz w:val="20"/>
                <w:szCs w:val="20"/>
                <w:color w:val="auto"/>
              </w:rPr>
            </w:pPr>
            <w:r>
              <w:rPr>
                <w:rFonts w:ascii="Arial" w:cs="Arial" w:eastAsia="Arial" w:hAnsi="Arial"/>
                <w:sz w:val="16"/>
                <w:szCs w:val="16"/>
                <w:color w:val="auto"/>
              </w:rPr>
              <w:t>Colorado Center</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3.56 %</w:t>
            </w:r>
          </w:p>
        </w:tc>
        <w:tc>
          <w:tcPr>
            <w:tcW w:w="860" w:type="dxa"/>
            <w:vAlign w:val="bottom"/>
          </w:tcPr>
          <w:p>
            <w:pPr>
              <w:jc w:val="right"/>
              <w:spacing w:after="0"/>
              <w:rPr>
                <w:sz w:val="20"/>
                <w:szCs w:val="20"/>
                <w:color w:val="auto"/>
              </w:rPr>
            </w:pPr>
            <w:r>
              <w:rPr>
                <w:rFonts w:ascii="Arial" w:cs="Arial" w:eastAsia="Arial" w:hAnsi="Arial"/>
                <w:sz w:val="16"/>
                <w:szCs w:val="16"/>
                <w:color w:val="auto"/>
              </w:rPr>
              <w:t>3.59 %</w:t>
            </w:r>
          </w:p>
        </w:tc>
        <w:tc>
          <w:tcPr>
            <w:tcW w:w="1100" w:type="dxa"/>
            <w:vAlign w:val="bottom"/>
          </w:tcPr>
          <w:p>
            <w:pPr>
              <w:jc w:val="center"/>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549,445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274,722</w:t>
            </w:r>
          </w:p>
        </w:tc>
        <w:tc>
          <w:tcPr>
            <w:tcW w:w="660" w:type="dxa"/>
            <w:vAlign w:val="bottom"/>
          </w:tcPr>
          <w:p>
            <w:pPr>
              <w:ind w:left="100"/>
              <w:spacing w:after="0"/>
              <w:rPr>
                <w:sz w:val="20"/>
                <w:szCs w:val="20"/>
                <w:color w:val="auto"/>
              </w:rPr>
            </w:pPr>
            <w:r>
              <w:rPr>
                <w:rFonts w:ascii="Arial" w:cs="Arial" w:eastAsia="Arial" w:hAnsi="Arial"/>
                <w:sz w:val="16"/>
                <w:szCs w:val="16"/>
                <w:color w:val="auto"/>
              </w:rPr>
              <w:t>(2)</w:t>
            </w:r>
          </w:p>
        </w:tc>
        <w:tc>
          <w:tcPr>
            <w:tcW w:w="1220" w:type="dxa"/>
            <w:vAlign w:val="bottom"/>
          </w:tcPr>
          <w:p>
            <w:pPr>
              <w:ind w:left="80"/>
              <w:spacing w:after="0"/>
              <w:rPr>
                <w:sz w:val="20"/>
                <w:szCs w:val="20"/>
                <w:color w:val="auto"/>
              </w:rPr>
            </w:pPr>
            <w:r>
              <w:rPr>
                <w:rFonts w:ascii="Arial" w:cs="Arial" w:eastAsia="Arial" w:hAnsi="Arial"/>
                <w:sz w:val="16"/>
                <w:szCs w:val="16"/>
                <w:color w:val="auto"/>
              </w:rPr>
              <w:t>August 9, 2027</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Dock 72</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7.84 %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8.11 %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8"/>
              </w:rPr>
              <w:t>SOFR</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198,383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197,689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98,845</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(2)(6)</w:t>
            </w:r>
          </w:p>
        </w:tc>
        <w:tc>
          <w:tcPr>
            <w:tcW w:w="1220" w:type="dxa"/>
            <w:vAlign w:val="bottom"/>
            <w:shd w:val="clear" w:color="auto" w:fill="CCEEFF"/>
          </w:tcPr>
          <w:p>
            <w:pPr>
              <w:ind w:left="80"/>
              <w:spacing w:after="0" w:line="163" w:lineRule="exact"/>
              <w:rPr>
                <w:sz w:val="20"/>
                <w:szCs w:val="20"/>
                <w:color w:val="auto"/>
              </w:rPr>
            </w:pPr>
            <w:r>
              <w:rPr>
                <w:rFonts w:ascii="Arial" w:cs="Arial" w:eastAsia="Arial" w:hAnsi="Arial"/>
                <w:sz w:val="16"/>
                <w:szCs w:val="16"/>
                <w:color w:val="auto"/>
              </w:rPr>
              <w:t>December 18,</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The Hub on</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Daily Simple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(2)(3)</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September 8,</w:t>
            </w:r>
          </w:p>
        </w:tc>
        <w:tc>
          <w:tcPr>
            <w:tcW w:w="0" w:type="dxa"/>
            <w:vAlign w:val="bottom"/>
          </w:tcPr>
          <w:p>
            <w:pPr>
              <w:spacing w:after="0"/>
              <w:rPr>
                <w:sz w:val="1"/>
                <w:szCs w:val="1"/>
                <w:color w:val="auto"/>
              </w:rPr>
            </w:pPr>
          </w:p>
        </w:tc>
      </w:tr>
      <w:tr>
        <w:trPr>
          <w:trHeight w:val="162"/>
        </w:trPr>
        <w:tc>
          <w:tcPr>
            <w:tcW w:w="1660" w:type="dxa"/>
            <w:vAlign w:val="bottom"/>
            <w:gridSpan w:val="2"/>
          </w:tcPr>
          <w:p>
            <w:pPr>
              <w:ind w:left="100"/>
              <w:spacing w:after="0" w:line="162" w:lineRule="exact"/>
              <w:rPr>
                <w:sz w:val="20"/>
                <w:szCs w:val="20"/>
                <w:color w:val="auto"/>
              </w:rPr>
            </w:pPr>
            <w:r>
              <w:rPr>
                <w:rFonts w:ascii="Arial" w:cs="Arial" w:eastAsia="Arial" w:hAnsi="Arial"/>
                <w:sz w:val="16"/>
                <w:szCs w:val="16"/>
                <w:color w:val="auto"/>
              </w:rPr>
              <w:t>Causeway -</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7.35 %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7.75 %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154,329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153,596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76,798</w:t>
            </w:r>
          </w:p>
        </w:tc>
        <w:tc>
          <w:tcPr>
            <w:tcW w:w="6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60" w:type="dxa"/>
            <w:vAlign w:val="bottom"/>
            <w:gridSpan w:val="2"/>
          </w:tcPr>
          <w:p>
            <w:pPr>
              <w:ind w:left="100"/>
              <w:spacing w:after="0"/>
              <w:rPr>
                <w:sz w:val="20"/>
                <w:szCs w:val="20"/>
                <w:color w:val="auto"/>
              </w:rPr>
            </w:pPr>
            <w:r>
              <w:rPr>
                <w:rFonts w:ascii="Arial" w:cs="Arial" w:eastAsia="Arial" w:hAnsi="Arial"/>
                <w:sz w:val="16"/>
                <w:szCs w:val="16"/>
                <w:color w:val="auto"/>
              </w:rPr>
              <w:t>Podium</w:t>
            </w: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(7)</w:t>
            </w:r>
          </w:p>
        </w:tc>
        <w:tc>
          <w:tcPr>
            <w:tcW w:w="1220" w:type="dxa"/>
            <w:vAlign w:val="bottom"/>
          </w:tcPr>
          <w:p>
            <w:pPr>
              <w:ind w:left="80"/>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Hub50House</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4.43 %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SOFR +</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185,000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183,914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91,957</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(2)(8)</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June 17, 2032</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100 Causeway</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6.80 %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6.95 %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333,579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333,494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166,747</w:t>
            </w:r>
          </w:p>
        </w:tc>
        <w:tc>
          <w:tcPr>
            <w:tcW w:w="660" w:type="dxa"/>
            <w:vAlign w:val="bottom"/>
          </w:tcPr>
          <w:p>
            <w:pPr>
              <w:ind w:left="100"/>
              <w:spacing w:after="0" w:line="162" w:lineRule="exact"/>
              <w:rPr>
                <w:sz w:val="20"/>
                <w:szCs w:val="20"/>
                <w:color w:val="auto"/>
              </w:rPr>
            </w:pPr>
            <w:r>
              <w:rPr>
                <w:rFonts w:ascii="Arial" w:cs="Arial" w:eastAsia="Arial" w:hAnsi="Arial"/>
                <w:sz w:val="16"/>
                <w:szCs w:val="16"/>
                <w:color w:val="auto"/>
              </w:rPr>
              <w:t>(2)(3)</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September 5,</w:t>
            </w:r>
          </w:p>
        </w:tc>
        <w:tc>
          <w:tcPr>
            <w:tcW w:w="0" w:type="dxa"/>
            <w:vAlign w:val="bottom"/>
          </w:tcPr>
          <w:p>
            <w:pPr>
              <w:spacing w:after="0"/>
              <w:rPr>
                <w:sz w:val="1"/>
                <w:szCs w:val="1"/>
                <w:color w:val="auto"/>
              </w:rPr>
            </w:pPr>
          </w:p>
        </w:tc>
      </w:tr>
      <w:tr>
        <w:trPr>
          <w:trHeight w:val="215"/>
        </w:trPr>
        <w:tc>
          <w:tcPr>
            <w:tcW w:w="1660" w:type="dxa"/>
            <w:vAlign w:val="bottom"/>
            <w:gridSpan w:val="2"/>
          </w:tcPr>
          <w:p>
            <w:pPr>
              <w:ind w:left="100"/>
              <w:spacing w:after="0"/>
              <w:rPr>
                <w:sz w:val="20"/>
                <w:szCs w:val="20"/>
                <w:color w:val="auto"/>
              </w:rPr>
            </w:pPr>
            <w:r>
              <w:rPr>
                <w:rFonts w:ascii="Arial" w:cs="Arial" w:eastAsia="Arial" w:hAnsi="Arial"/>
                <w:sz w:val="16"/>
                <w:szCs w:val="16"/>
                <w:color w:val="auto"/>
              </w:rPr>
              <w:t>Street</w:t>
            </w: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+ 1.48%</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(9)</w:t>
            </w:r>
          </w:p>
        </w:tc>
        <w:tc>
          <w:tcPr>
            <w:tcW w:w="1220" w:type="dxa"/>
            <w:vAlign w:val="bottom"/>
          </w:tcPr>
          <w:p>
            <w:pPr>
              <w:ind w:left="8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163"/>
        </w:trPr>
        <w:tc>
          <w:tcPr>
            <w:tcW w:w="16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7750 Wisconsin</w:t>
            </w: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6"/>
                <w:szCs w:val="16"/>
                <w:color w:val="auto"/>
              </w:rPr>
              <w:t>Avenue (Marriott</w:t>
            </w:r>
          </w:p>
        </w:tc>
        <w:tc>
          <w:tcPr>
            <w:tcW w:w="10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SOFR +</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gridSpan w:val="2"/>
            <w:shd w:val="clear" w:color="auto" w:fill="CCEEFF"/>
          </w:tcPr>
          <w:p>
            <w:pPr>
              <w:ind w:left="100"/>
              <w:spacing w:after="0" w:line="162" w:lineRule="exact"/>
              <w:rPr>
                <w:sz w:val="20"/>
                <w:szCs w:val="20"/>
                <w:color w:val="auto"/>
              </w:rPr>
            </w:pPr>
            <w:r>
              <w:rPr>
                <w:rFonts w:ascii="Arial" w:cs="Arial" w:eastAsia="Arial" w:hAnsi="Arial"/>
                <w:sz w:val="16"/>
                <w:szCs w:val="16"/>
                <w:color w:val="auto"/>
              </w:rPr>
              <w:t>International</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50.00 %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6.68 %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6.83 %</w:t>
            </w:r>
          </w:p>
        </w:tc>
        <w:tc>
          <w:tcPr>
            <w:tcW w:w="11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251,542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251,231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125,616</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April 26, 2025</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Headquarters)</w:t>
            </w: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vMerge w:val="restart"/>
          </w:tcPr>
          <w:p>
            <w:pPr>
              <w:ind w:left="20"/>
              <w:spacing w:after="0"/>
              <w:rPr>
                <w:sz w:val="20"/>
                <w:szCs w:val="20"/>
                <w:color w:val="auto"/>
              </w:rPr>
            </w:pPr>
            <w:r>
              <w:rPr>
                <w:rFonts w:ascii="Arial" w:cs="Arial" w:eastAsia="Arial" w:hAnsi="Arial"/>
                <w:sz w:val="16"/>
                <w:szCs w:val="16"/>
                <w:color w:val="auto"/>
              </w:rPr>
              <w:t>Safeco Plaza</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33.67 %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4.82 %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7.73 %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249,263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83,927</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(2)(10)</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September 1,</w:t>
            </w:r>
          </w:p>
        </w:tc>
        <w:tc>
          <w:tcPr>
            <w:tcW w:w="0" w:type="dxa"/>
            <w:vAlign w:val="bottom"/>
          </w:tcPr>
          <w:p>
            <w:pPr>
              <w:spacing w:after="0"/>
              <w:rPr>
                <w:sz w:val="1"/>
                <w:szCs w:val="1"/>
                <w:color w:val="auto"/>
              </w:rPr>
            </w:pPr>
          </w:p>
        </w:tc>
      </w:tr>
      <w:tr>
        <w:trPr>
          <w:trHeight w:val="215"/>
        </w:trPr>
        <w:tc>
          <w:tcPr>
            <w:tcW w:w="16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63"/>
        </w:trPr>
        <w:tc>
          <w:tcPr>
            <w:tcW w:w="166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500 North Capitol</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30.00 %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6.83 %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7.16 %</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104,456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31,215</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(2)(11)</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June 5, 2026</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Street, NW</w:t>
            </w: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vMerge w:val="restart"/>
          </w:tcPr>
          <w:p>
            <w:pPr>
              <w:ind w:left="20"/>
              <w:spacing w:after="0"/>
              <w:rPr>
                <w:sz w:val="20"/>
                <w:szCs w:val="20"/>
                <w:color w:val="auto"/>
              </w:rPr>
            </w:pPr>
            <w:r>
              <w:rPr>
                <w:rFonts w:ascii="Arial" w:cs="Arial" w:eastAsia="Arial" w:hAnsi="Arial"/>
                <w:sz w:val="16"/>
                <w:szCs w:val="16"/>
                <w:color w:val="auto"/>
              </w:rPr>
              <w:t>200 Fifth Avenue</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26.69 %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4.34 %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5.60 %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w w:val="99"/>
              </w:rPr>
              <w:t>Term SOFR</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600,000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(7,347)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592,653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151,689</w:t>
            </w:r>
          </w:p>
        </w:tc>
        <w:tc>
          <w:tcPr>
            <w:tcW w:w="660" w:type="dxa"/>
            <w:vAlign w:val="bottom"/>
            <w:vMerge w:val="restart"/>
          </w:tcPr>
          <w:p>
            <w:pPr>
              <w:ind w:left="100"/>
              <w:spacing w:after="0"/>
              <w:rPr>
                <w:sz w:val="20"/>
                <w:szCs w:val="20"/>
                <w:color w:val="auto"/>
              </w:rPr>
            </w:pPr>
            <w:r>
              <w:rPr>
                <w:rFonts w:ascii="Arial" w:cs="Arial" w:eastAsia="Arial" w:hAnsi="Arial"/>
                <w:sz w:val="16"/>
                <w:szCs w:val="16"/>
                <w:color w:val="auto"/>
              </w:rPr>
              <w:t>(2)(12)</w:t>
            </w:r>
          </w:p>
        </w:tc>
        <w:tc>
          <w:tcPr>
            <w:tcW w:w="1220" w:type="dxa"/>
            <w:vAlign w:val="bottom"/>
          </w:tcPr>
          <w:p>
            <w:pPr>
              <w:ind w:left="80"/>
              <w:spacing w:after="0" w:line="162" w:lineRule="exact"/>
              <w:rPr>
                <w:sz w:val="20"/>
                <w:szCs w:val="20"/>
                <w:color w:val="auto"/>
              </w:rPr>
            </w:pPr>
            <w:r>
              <w:rPr>
                <w:rFonts w:ascii="Arial" w:cs="Arial" w:eastAsia="Arial" w:hAnsi="Arial"/>
                <w:sz w:val="16"/>
                <w:szCs w:val="16"/>
                <w:color w:val="auto"/>
              </w:rPr>
              <w:t>November 24,</w:t>
            </w:r>
          </w:p>
        </w:tc>
        <w:tc>
          <w:tcPr>
            <w:tcW w:w="0" w:type="dxa"/>
            <w:vAlign w:val="bottom"/>
          </w:tcPr>
          <w:p>
            <w:pPr>
              <w:spacing w:after="0"/>
              <w:rPr>
                <w:sz w:val="1"/>
                <w:szCs w:val="1"/>
                <w:color w:val="auto"/>
              </w:rPr>
            </w:pPr>
          </w:p>
        </w:tc>
      </w:tr>
      <w:tr>
        <w:trPr>
          <w:trHeight w:val="215"/>
        </w:trPr>
        <w:tc>
          <w:tcPr>
            <w:tcW w:w="16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+ 1.41%</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63"/>
        </w:trPr>
        <w:tc>
          <w:tcPr>
            <w:tcW w:w="16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3 Hudson Boulevard</w:t>
            </w:r>
          </w:p>
        </w:tc>
        <w:tc>
          <w:tcPr>
            <w:tcW w:w="10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25.00 %</w:t>
            </w: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8.94 %</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8.94 %</w:t>
            </w:r>
          </w:p>
        </w:tc>
        <w:tc>
          <w:tcPr>
            <w:tcW w:w="110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w w:val="99"/>
              </w:rPr>
              <w:t>Term SOFR</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6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(2)(13)</w:t>
            </w:r>
          </w:p>
        </w:tc>
        <w:tc>
          <w:tcPr>
            <w:tcW w:w="12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August 7, 2024</w:t>
            </w:r>
          </w:p>
        </w:tc>
        <w:tc>
          <w:tcPr>
            <w:tcW w:w="0" w:type="dxa"/>
            <w:vAlign w:val="bottom"/>
          </w:tcPr>
          <w:p>
            <w:pPr>
              <w:spacing w:after="0"/>
              <w:rPr>
                <w:sz w:val="1"/>
                <w:szCs w:val="1"/>
                <w:color w:val="auto"/>
              </w:rPr>
            </w:pPr>
          </w:p>
        </w:tc>
      </w:tr>
      <w:tr>
        <w:trPr>
          <w:trHeight w:val="216"/>
        </w:trPr>
        <w:tc>
          <w:tcPr>
            <w:tcW w:w="166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+ 3.61%</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Skymark - Reston</w:t>
            </w: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color w:val="auto"/>
              </w:rPr>
              <w:t>20.00 %</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color w:val="auto"/>
              </w:rPr>
              <w:t>7.33 %</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7.65 %</w:t>
            </w:r>
          </w:p>
        </w:tc>
        <w:tc>
          <w:tcPr>
            <w:tcW w:w="1100" w:type="dxa"/>
            <w:vAlign w:val="bottom"/>
          </w:tcPr>
          <w:p>
            <w:pPr>
              <w:jc w:val="center"/>
              <w:spacing w:after="0" w:line="162" w:lineRule="exact"/>
              <w:rPr>
                <w:sz w:val="20"/>
                <w:szCs w:val="20"/>
                <w:color w:val="auto"/>
              </w:rPr>
            </w:pPr>
            <w:r>
              <w:rPr>
                <w:rFonts w:ascii="Arial" w:cs="Arial" w:eastAsia="Arial" w:hAnsi="Arial"/>
                <w:sz w:val="16"/>
                <w:szCs w:val="16"/>
                <w:color w:val="auto"/>
              </w:rPr>
              <w:t>SOFR +</w:t>
            </w:r>
          </w:p>
        </w:tc>
        <w:tc>
          <w:tcPr>
            <w:tcW w:w="12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111,658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110,822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22,164</w:t>
            </w:r>
          </w:p>
        </w:tc>
        <w:tc>
          <w:tcPr>
            <w:tcW w:w="660" w:type="dxa"/>
            <w:vAlign w:val="bottom"/>
          </w:tcPr>
          <w:p>
            <w:pPr>
              <w:ind w:left="100"/>
              <w:spacing w:after="0" w:line="162" w:lineRule="exact"/>
              <w:rPr>
                <w:sz w:val="20"/>
                <w:szCs w:val="20"/>
                <w:color w:val="auto"/>
              </w:rPr>
            </w:pPr>
            <w:r>
              <w:rPr>
                <w:rFonts w:ascii="Arial" w:cs="Arial" w:eastAsia="Arial" w:hAnsi="Arial"/>
                <w:sz w:val="16"/>
                <w:szCs w:val="16"/>
                <w:color w:val="auto"/>
              </w:rPr>
              <w:t>(2)(3)</w:t>
            </w:r>
          </w:p>
        </w:tc>
        <w:tc>
          <w:tcPr>
            <w:tcW w:w="1220" w:type="dxa"/>
            <w:vAlign w:val="bottom"/>
            <w:vMerge w:val="restart"/>
          </w:tcPr>
          <w:p>
            <w:pPr>
              <w:ind w:left="80"/>
              <w:spacing w:after="0"/>
              <w:rPr>
                <w:sz w:val="20"/>
                <w:szCs w:val="20"/>
                <w:color w:val="auto"/>
              </w:rPr>
            </w:pPr>
            <w:r>
              <w:rPr>
                <w:rFonts w:ascii="Arial" w:cs="Arial" w:eastAsia="Arial" w:hAnsi="Arial"/>
                <w:sz w:val="16"/>
                <w:szCs w:val="16"/>
                <w:color w:val="auto"/>
              </w:rPr>
              <w:t>May 13, 2026</w:t>
            </w:r>
          </w:p>
        </w:tc>
        <w:tc>
          <w:tcPr>
            <w:tcW w:w="0" w:type="dxa"/>
            <w:vAlign w:val="bottom"/>
          </w:tcPr>
          <w:p>
            <w:pPr>
              <w:spacing w:after="0"/>
              <w:rPr>
                <w:sz w:val="1"/>
                <w:szCs w:val="1"/>
                <w:color w:val="auto"/>
              </w:rPr>
            </w:pPr>
          </w:p>
        </w:tc>
      </w:tr>
      <w:tr>
        <w:trPr>
          <w:trHeight w:val="215"/>
        </w:trPr>
        <w:tc>
          <w:tcPr>
            <w:tcW w:w="16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Next Residential</w:t>
            </w:r>
          </w:p>
        </w:tc>
        <w:tc>
          <w:tcPr>
            <w:tcW w:w="1020" w:type="dxa"/>
            <w:vAlign w:val="bottom"/>
            <w:tcBorders>
              <w:bottom w:val="single" w:sz="8" w:color="CCEEFF"/>
            </w:tcBorders>
            <w:vMerge w:val="continue"/>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CCEEFF"/>
            </w:tcBorders>
            <w:vMerge w:val="continue"/>
          </w:tcPr>
          <w:p>
            <w:pPr>
              <w:spacing w:after="0"/>
              <w:rPr>
                <w:sz w:val="18"/>
                <w:szCs w:val="18"/>
                <w:color w:val="auto"/>
              </w:rPr>
            </w:pP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(14)</w:t>
            </w:r>
          </w:p>
        </w:tc>
        <w:tc>
          <w:tcPr>
            <w:tcW w:w="12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3,198,676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3,184,773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1,379,131</w:t>
            </w:r>
          </w:p>
        </w:tc>
        <w:tc>
          <w:tcPr>
            <w:tcW w:w="6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660" w:right="880" w:hanging="328"/>
        <w:spacing w:after="0" w:line="250"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GAAP interest rate differs from the stated interest rate due to the inclusion of the amortization of financing costs, which includes mortgage recording fees, the effects of hedging transactions (if any) and adjustments required under Accounting Standards Codification 805 “Business Combinations” to reflect loans at their fair values (if any).</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loan includes certain extension options, subject to certain conditions.</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spread on the variable rate may be reduced, subject to certain conditions.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(1) the sum of (x) SOFR and (y) 2.41% or (2) 2.80% per annum.</w:t>
      </w:r>
    </w:p>
    <w:p>
      <w:pPr>
        <w:spacing w:after="0" w:line="21"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(1) the greater of (x) SOFR or (y) 0.25%, plus (2) 2.50% per annum.</w:t>
      </w:r>
    </w:p>
    <w:p>
      <w:pPr>
        <w:spacing w:after="0" w:line="14" w:lineRule="exact"/>
        <w:rPr>
          <w:rFonts w:ascii="Arial" w:cs="Arial" w:eastAsia="Arial" w:hAnsi="Arial"/>
          <w:sz w:val="16"/>
          <w:szCs w:val="16"/>
          <w:color w:val="auto"/>
        </w:rPr>
      </w:pPr>
    </w:p>
    <w:p>
      <w:pPr>
        <w:ind w:left="660" w:right="160" w:hanging="328"/>
        <w:spacing w:after="0" w:line="255"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$154.3 million through September 2, 2025, resulting in a fixed rate of approximately 7.35% per annum through the expiration of the interest rate swap contracts.</w:t>
      </w:r>
    </w:p>
    <w:p>
      <w:pPr>
        <w:ind w:left="660" w:right="540" w:hanging="328"/>
        <w:spacing w:after="0" w:line="249"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$185.0 million through April 10, 2032, resulting in a fixed rate of approximately 4.432% per annum through the expiration of the interest rate swap contracts.</w:t>
      </w: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See Note 14 to the Consolidated Financial Statements.</w:t>
      </w:r>
    </w:p>
    <w:p>
      <w:pPr>
        <w:spacing w:after="0" w:line="14" w:lineRule="exact"/>
        <w:rPr>
          <w:rFonts w:ascii="Arial" w:cs="Arial" w:eastAsia="Arial" w:hAnsi="Arial"/>
          <w:sz w:val="16"/>
          <w:szCs w:val="16"/>
          <w:color w:val="auto"/>
        </w:rPr>
      </w:pPr>
    </w:p>
    <w:p>
      <w:pPr>
        <w:ind w:left="660" w:right="160" w:hanging="328"/>
        <w:spacing w:after="0" w:line="254" w:lineRule="auto"/>
        <w:tabs>
          <w:tab w:leader="none" w:pos="65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(x) 2.35% or (y) SOFR plus 2.32% per annum. The joint venture entered into an interest rate cap agreement with a financial institution to limit its exposure to increases in the SOFR rate at a cap of 2.50% per annum on a notional amount of $250.0 million through September 1, 2024.</w:t>
      </w:r>
    </w:p>
    <w:p>
      <w:pPr>
        <w:ind w:left="660" w:hanging="328"/>
        <w:spacing w:after="0" w:line="250" w:lineRule="auto"/>
        <w:tabs>
          <w:tab w:leader="none" w:pos="63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indebtedness consists of (x) a $70.0 million mortgage loan payable (Note A) which bears interest at a fixed rate of 6.23% per annum, and (y) a $35.0 million mortgage loan payable (Note B) which bears interest at a fixed rate of 8.03% per annum. We provided $10.5 million of the Note B mortgage financing to the joint venture. Our portion of the loan is reflected as Related Party Note Receivables, Net on our Consolidated Balance Sheets.</w:t>
      </w:r>
    </w:p>
    <w:p>
      <w:pPr>
        <w:spacing w:after="0" w:line="2" w:lineRule="exact"/>
        <w:rPr>
          <w:rFonts w:ascii="Arial" w:cs="Arial" w:eastAsia="Arial" w:hAnsi="Arial"/>
          <w:sz w:val="16"/>
          <w:szCs w:val="16"/>
          <w:color w:val="auto"/>
        </w:rPr>
      </w:pPr>
    </w:p>
    <w:p>
      <w:pPr>
        <w:jc w:val="both"/>
        <w:ind w:left="660" w:right="100" w:hanging="328"/>
        <w:spacing w:after="0" w:line="256" w:lineRule="auto"/>
        <w:tabs>
          <w:tab w:leader="none" w:pos="65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joint venture entered into interest rate swap contracts with notional amounts aggregating $600.0 million through June 2028, resulting in a fixed rate of approximately 4.34% per annum through the expiration of the interest rate swap contracts. The deferred financing costs, net include the adjustment required to reflect the loan and interest rate swap at fair value upon acquisition.</w:t>
      </w:r>
    </w:p>
    <w:p>
      <w:pPr>
        <w:spacing w:after="0" w:line="1" w:lineRule="exact"/>
        <w:rPr>
          <w:rFonts w:ascii="Arial" w:cs="Arial" w:eastAsia="Arial" w:hAnsi="Arial"/>
          <w:sz w:val="16"/>
          <w:szCs w:val="16"/>
          <w:color w:val="auto"/>
        </w:rPr>
      </w:pPr>
    </w:p>
    <w:p>
      <w:pPr>
        <w:jc w:val="both"/>
        <w:ind w:left="660" w:right="100" w:hanging="328"/>
        <w:spacing w:after="0" w:line="249" w:lineRule="auto"/>
        <w:tabs>
          <w:tab w:leader="none" w:pos="651"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provided $80.0 million of mortgage financing to the joint venture. The loan is reflected as Related Party Note Receivables, Net on our Consolidated Balance Sheets. As of June 30, 2024, the loan has approximately $32.8 million of accrued interest due at the maturity date.</w:t>
      </w:r>
    </w:p>
    <w:p>
      <w:pPr>
        <w:ind w:left="640" w:hanging="308"/>
        <w:spacing w:after="0"/>
        <w:tabs>
          <w:tab w:leader="none" w:pos="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$140.0 million.</w:t>
      </w:r>
    </w:p>
    <w:p>
      <w:pPr>
        <w:spacing w:after="0" w:line="200" w:lineRule="exact"/>
        <w:rPr>
          <w:sz w:val="20"/>
          <w:szCs w:val="20"/>
          <w:color w:val="auto"/>
        </w:rPr>
      </w:pPr>
    </w:p>
    <w:p>
      <w:pPr>
        <w:spacing w:after="0" w:line="2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283" w:right="101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State and Local Tax Matters</w:t>
      </w:r>
    </w:p>
    <w:p>
      <w:pPr>
        <w:spacing w:after="0" w:line="88"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Insurance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concerning our insurance program, see Note 8 to the Consolidated Financial Statements.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Funds from Operations</w:t>
      </w:r>
    </w:p>
    <w:p>
      <w:pPr>
        <w:spacing w:after="0" w:line="1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Pursuant to the revised definition of Funds from Operations adopted by the Board of Governors of the National Association of Real Estate Investment Trusts (“Nareit”), we calculate Funds from Operations, or “FFO,” for each of BXP and BPLP by adjusting net income attributable to BXP, Inc. and net income attributable to Boston Properties Limited Partnership (computed in accordance with GAAP), respectively,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a useful measure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33"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Our computation of FFO may not be comparable to FFO reported by other REITs or real estate companies that do not define the term in accordance with the current Nareit definition or that interpret the current Nareit definition differently. We believe that in order to facilitate a clear understanding of our operating results, FFO should be examined in conjunction with net income attributable to BXP, Inc. and net income attributable to Boston Properties Limited Partnership as presented in our Consolidated Financial Statements. FFO should not be considered as a substitute for net income attributable to BXP,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102" w:lineRule="exact"/>
        <w:rPr>
          <w:sz w:val="20"/>
          <w:szCs w:val="20"/>
          <w:color w:val="auto"/>
        </w:rPr>
      </w:pPr>
    </w:p>
    <w:p>
      <w:pPr>
        <w:ind w:right="60" w:firstLine="445"/>
        <w:spacing w:after="0" w:line="287" w:lineRule="auto"/>
        <w:rPr>
          <w:sz w:val="20"/>
          <w:szCs w:val="20"/>
          <w:color w:val="auto"/>
        </w:rPr>
      </w:pPr>
      <w:r>
        <w:rPr>
          <w:rFonts w:ascii="Arial" w:cs="Arial" w:eastAsia="Arial" w:hAnsi="Arial"/>
          <w:sz w:val="18"/>
          <w:szCs w:val="18"/>
          <w:color w:val="auto"/>
        </w:rPr>
        <w:t>The following table presents a reconciliation of net income attributable to BXP, Inc. to FFO attributable to BXP, Inc. for the three months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BXP, Inc.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79,615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104,299</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9,509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12,117</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17,825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19,768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106,949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136,184</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Add:</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219,542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202,577</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6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(19,203)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(17,858)</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19,827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25,756</w:t>
            </w:r>
          </w:p>
        </w:tc>
        <w:tc>
          <w:tcPr>
            <w:tcW w:w="0" w:type="dxa"/>
            <w:vAlign w:val="bottom"/>
          </w:tcPr>
          <w:p>
            <w:pPr>
              <w:spacing w:after="0"/>
              <w:rPr>
                <w:sz w:val="1"/>
                <w:szCs w:val="1"/>
                <w:color w:val="auto"/>
              </w:rPr>
            </w:pPr>
          </w:p>
        </w:tc>
      </w:tr>
      <w:tr>
        <w:trPr>
          <w:trHeight w:val="215"/>
        </w:trPr>
        <w:tc>
          <w:tcPr>
            <w:tcW w:w="7780" w:type="dxa"/>
            <w:vAlign w:val="bottom"/>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36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(406)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Less: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17,825</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19,768</w:t>
            </w:r>
          </w:p>
        </w:tc>
        <w:tc>
          <w:tcPr>
            <w:tcW w:w="0" w:type="dxa"/>
            <w:vAlign w:val="bottom"/>
          </w:tcPr>
          <w:p>
            <w:pPr>
              <w:spacing w:after="0"/>
              <w:rPr>
                <w:sz w:val="1"/>
                <w:szCs w:val="1"/>
                <w:color w:val="auto"/>
              </w:rPr>
            </w:pPr>
          </w:p>
        </w:tc>
      </w:tr>
      <w:tr>
        <w:trPr>
          <w:trHeight w:val="143"/>
        </w:trPr>
        <w:tc>
          <w:tcPr>
            <w:tcW w:w="778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Funds from Operations (FFO) attributable to the Operating Partnership common unitholders (including</w:t>
            </w:r>
          </w:p>
        </w:tc>
        <w:tc>
          <w:tcPr>
            <w:tcW w:w="3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310,956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326,325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 Inc.)</w:t>
            </w:r>
          </w:p>
        </w:tc>
        <w:tc>
          <w:tcPr>
            <w:tcW w:w="3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Less:</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Partnership’s share of funds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32,557</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33,481</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Funds from Operations attributable to BXP, Inc.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278,399</w:t>
            </w:r>
          </w:p>
        </w:tc>
        <w:tc>
          <w:tcPr>
            <w:tcW w:w="16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292,844</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Our percentage share of Funds from Operations—basic</w:t>
            </w: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89.53 %</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89.74 %</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157,039</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156,826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The following tables presents a reconciliation of net income attributable to BXP, Inc. to Diluted FFO attributable to BXP, Inc. for income (numerator) and shares/units (denominator) for the three months ended June 30,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98"/>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BXP, Inc.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104,299</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interest—common units of the Operating Partnership</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w:t>
            </w: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17,825</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106,949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136,184</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219,542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202,577</w:t>
            </w:r>
          </w:p>
        </w:tc>
        <w:tc>
          <w:tcPr>
            <w:tcW w:w="0" w:type="dxa"/>
            <w:vAlign w:val="bottom"/>
          </w:tcPr>
          <w:p>
            <w:pPr>
              <w:spacing w:after="0"/>
              <w:rPr>
                <w:sz w:val="1"/>
                <w:szCs w:val="1"/>
                <w:color w:val="auto"/>
              </w:rPr>
            </w:pPr>
          </w:p>
        </w:tc>
      </w:tr>
      <w:tr>
        <w:trPr>
          <w:trHeight w:val="215"/>
        </w:trPr>
        <w:tc>
          <w:tcPr>
            <w:tcW w:w="8000" w:type="dxa"/>
            <w:vAlign w:val="bottom"/>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(19,203)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(17,858)</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0" w:type="dxa"/>
            <w:vAlign w:val="bottom"/>
          </w:tcPr>
          <w:p>
            <w:pPr>
              <w:spacing w:after="0"/>
              <w:rPr>
                <w:sz w:val="1"/>
                <w:szCs w:val="1"/>
                <w:color w:val="auto"/>
              </w:rPr>
            </w:pPr>
          </w:p>
        </w:tc>
      </w:tr>
      <w:tr>
        <w:trPr>
          <w:trHeight w:val="215"/>
        </w:trPr>
        <w:tc>
          <w:tcPr>
            <w:tcW w:w="8000" w:type="dxa"/>
            <w:vAlign w:val="bottom"/>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(406)</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17,825</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19,768</w:t>
            </w:r>
          </w:p>
        </w:tc>
        <w:tc>
          <w:tcPr>
            <w:tcW w:w="0" w:type="dxa"/>
            <w:vAlign w:val="bottom"/>
          </w:tcPr>
          <w:p>
            <w:pPr>
              <w:spacing w:after="0"/>
              <w:rPr>
                <w:sz w:val="1"/>
                <w:szCs w:val="1"/>
                <w:color w:val="auto"/>
              </w:rPr>
            </w:pPr>
          </w:p>
        </w:tc>
      </w:tr>
      <w:tr>
        <w:trPr>
          <w:trHeight w:val="143"/>
        </w:trPr>
        <w:tc>
          <w:tcPr>
            <w:tcW w:w="800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Funds from Operations (FFO) attributable to the Operating Partnership common unitholders (including BXP,</w:t>
            </w:r>
          </w:p>
        </w:tc>
        <w:tc>
          <w:tcPr>
            <w:tcW w:w="3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310,956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326,325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w:t>
            </w:r>
          </w:p>
        </w:tc>
        <w:tc>
          <w:tcPr>
            <w:tcW w:w="3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Diluted FFO</w:t>
            </w: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310,956</w:t>
            </w: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326,325</w:t>
            </w: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interest—common units of the Operating Partnership’s share of diluted FFO</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32,526</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33,383</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FFO attributable to BXP, Inc. (1)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278,430</w:t>
            </w:r>
          </w:p>
        </w:tc>
        <w:tc>
          <w:tcPr>
            <w:tcW w:w="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292,942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BXP’s share of diluted Funds from Operations was 89.54% and 89.77% for the three months ended June 30, 2024 and 2023,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32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shares/units (in thousands)</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175,408</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174,748</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540" w:type="dxa"/>
            <w:vAlign w:val="bottom"/>
          </w:tcPr>
          <w:p>
            <w:pPr>
              <w:jc w:val="right"/>
              <w:spacing w:after="0"/>
              <w:rPr>
                <w:sz w:val="20"/>
                <w:szCs w:val="20"/>
                <w:color w:val="auto"/>
              </w:rPr>
            </w:pPr>
            <w:r>
              <w:rPr>
                <w:rFonts w:ascii="Arial" w:cs="Arial" w:eastAsia="Arial" w:hAnsi="Arial"/>
                <w:sz w:val="16"/>
                <w:szCs w:val="16"/>
                <w:color w:val="auto"/>
              </w:rPr>
              <w:t>175,660</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175,140</w:t>
            </w:r>
          </w:p>
        </w:tc>
        <w:tc>
          <w:tcPr>
            <w:tcW w:w="0" w:type="dxa"/>
            <w:vAlign w:val="bottom"/>
          </w:tcPr>
          <w:p>
            <w:pPr>
              <w:spacing w:after="0"/>
              <w:rPr>
                <w:sz w:val="1"/>
                <w:szCs w:val="1"/>
                <w:color w:val="auto"/>
              </w:rPr>
            </w:pP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360"/>
              <w:spacing w:after="0" w:line="162" w:lineRule="exact"/>
              <w:rPr>
                <w:sz w:val="20"/>
                <w:szCs w:val="20"/>
                <w:color w:val="auto"/>
              </w:rPr>
            </w:pPr>
            <w:r>
              <w:rPr>
                <w:rFonts w:ascii="Arial" w:cs="Arial" w:eastAsia="Arial" w:hAnsi="Arial"/>
                <w:sz w:val="16"/>
                <w:szCs w:val="16"/>
                <w:color w:val="auto"/>
              </w:rPr>
              <w:t>Noncontrolling interest—common units of the Operating Partnership’s share of diluted Funds from</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18,369</w:t>
            </w:r>
          </w:p>
        </w:tc>
        <w:tc>
          <w:tcPr>
            <w:tcW w:w="1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17,922</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Operations</w:t>
            </w:r>
          </w:p>
        </w:tc>
        <w:tc>
          <w:tcPr>
            <w:tcW w:w="1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Funds from Operations attributable to BXP, Inc. (1)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157,291</w:t>
            </w: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BXP’s share of diluted Funds from Operations was 89.54% and 89.77% for the three months ended June 30, 2024 and 2023, respectively.</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reconciliation of net income attributable to Boston Properties Limited Partnership to FFO attributable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Boston Properties Limited Partnership for the three months ended June 30, 2024 and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8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90,827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118,098</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Add: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17,825</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108,652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137,866</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217,839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200,895</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(17,858)</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19,827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25,756</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17,825</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(1)</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310,956</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326,325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175,408</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174,748</w:t>
            </w: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80" w:hanging="329"/>
        <w:spacing w:after="0"/>
        <w:tabs>
          <w:tab w:leader="none" w:pos="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calculation includes OP Units and vested LTIP Units (including vested 2012 OPP Units and vested 2013 - 2021 MYLTIP Units).</w:t>
      </w:r>
    </w:p>
    <w:p>
      <w:pPr>
        <w:spacing w:after="0" w:line="200" w:lineRule="exact"/>
        <w:rPr>
          <w:rFonts w:ascii="Arial" w:cs="Arial" w:eastAsia="Arial" w:hAnsi="Arial"/>
          <w:sz w:val="16"/>
          <w:szCs w:val="16"/>
          <w:color w:val="auto"/>
        </w:rPr>
      </w:pPr>
    </w:p>
    <w:p>
      <w:pPr>
        <w:spacing w:after="0" w:line="337"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445"/>
        <w:spacing w:after="0" w:line="268" w:lineRule="auto"/>
        <w:rPr>
          <w:sz w:val="20"/>
          <w:szCs w:val="20"/>
          <w:color w:val="auto"/>
        </w:rPr>
      </w:pPr>
      <w:r>
        <w:rPr>
          <w:rFonts w:ascii="Arial" w:cs="Arial" w:eastAsia="Arial" w:hAnsi="Arial"/>
          <w:sz w:val="18"/>
          <w:szCs w:val="18"/>
          <w:color w:val="auto"/>
        </w:rPr>
        <w:t>The following tables presents a reconciliation of net income attributable to Boston Properties Limited Partnership to Diluted FFO attributable to Boston Properties Limited Partnership for income (numerator) and shares/units (denominator) for the three months ended June 30,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8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18"/>
                <w:szCs w:val="18"/>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90,827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118,098</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Add: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17,825</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108,652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137,866</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217,839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200,895</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(17,858)</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19,827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25,756</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Corporate-related 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Non-real estate depreciation and amortization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2,130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Unrealized gain on non-real estate investment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Noncontrolling interests in property partnerships</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17,825</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310,956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326,325</w:t>
            </w:r>
          </w:p>
        </w:tc>
      </w:tr>
      <w:tr>
        <w:trPr>
          <w:trHeight w:val="21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8020" w:type="dxa"/>
            <w:vAlign w:val="bottom"/>
          </w:tcPr>
          <w:p>
            <w:pPr>
              <w:ind w:left="360"/>
              <w:spacing w:after="0"/>
              <w:rPr>
                <w:sz w:val="20"/>
                <w:szCs w:val="20"/>
                <w:color w:val="auto"/>
              </w:rPr>
            </w:pPr>
            <w:r>
              <w:rPr>
                <w:rFonts w:ascii="Arial" w:cs="Arial" w:eastAsia="Arial" w:hAnsi="Arial"/>
                <w:sz w:val="16"/>
                <w:szCs w:val="16"/>
                <w:color w:val="auto"/>
              </w:rPr>
              <w:t>Stock based compensation</w:t>
            </w:r>
          </w:p>
        </w:tc>
        <w:tc>
          <w:tcPr>
            <w:tcW w:w="3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Funds from Operations attributable to Boston Properties Limited Partnership</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310,956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326,325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  Our calculation includes OP Units and vested LTIP Units (including vested 2012 OPP Units and vested 2013 - 2021 MYLTIP Units).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8020" w:type="dxa"/>
            <w:vAlign w:val="bottom"/>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10"/>
        </w:trPr>
        <w:tc>
          <w:tcPr>
            <w:tcW w:w="8020" w:type="dxa"/>
            <w:vAlign w:val="bottom"/>
          </w:tcPr>
          <w:p>
            <w:pPr>
              <w:spacing w:after="0"/>
              <w:rPr>
                <w:sz w:val="18"/>
                <w:szCs w:val="18"/>
                <w:color w:val="auto"/>
              </w:rPr>
            </w:pPr>
          </w:p>
        </w:tc>
        <w:tc>
          <w:tcPr>
            <w:tcW w:w="32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shares/units (in thousands)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175,408</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174,748</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175,660</w:t>
            </w:r>
          </w:p>
        </w:tc>
        <w:tc>
          <w:tcPr>
            <w:tcW w:w="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175,140</w:t>
            </w:r>
          </w:p>
        </w:tc>
      </w:tr>
      <w:tr>
        <w:trPr>
          <w:trHeight w:val="20"/>
        </w:trPr>
        <w:tc>
          <w:tcPr>
            <w:tcW w:w="80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Commitments</w:t>
      </w:r>
    </w:p>
    <w:p>
      <w:pPr>
        <w:spacing w:after="0" w:line="90" w:lineRule="exact"/>
        <w:rPr>
          <w:sz w:val="20"/>
          <w:szCs w:val="20"/>
          <w:color w:val="auto"/>
        </w:rPr>
      </w:pPr>
    </w:p>
    <w:p>
      <w:pPr>
        <w:jc w:val="both"/>
        <w:ind w:right="260" w:firstLine="445"/>
        <w:spacing w:after="0" w:line="268" w:lineRule="auto"/>
        <w:rPr>
          <w:sz w:val="20"/>
          <w:szCs w:val="20"/>
          <w:color w:val="auto"/>
        </w:rPr>
      </w:pPr>
      <w:r>
        <w:rPr>
          <w:rFonts w:ascii="Arial" w:cs="Arial" w:eastAsia="Arial" w:hAnsi="Arial"/>
          <w:sz w:val="18"/>
          <w:szCs w:val="18"/>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17" w:lineRule="exact"/>
        <w:rPr>
          <w:sz w:val="20"/>
          <w:szCs w:val="20"/>
          <w:color w:val="auto"/>
        </w:rPr>
      </w:pPr>
    </w:p>
    <w:p>
      <w:pPr>
        <w:ind w:right="140" w:firstLine="445"/>
        <w:spacing w:after="0" w:line="287" w:lineRule="auto"/>
        <w:rPr>
          <w:sz w:val="20"/>
          <w:szCs w:val="20"/>
          <w:color w:val="auto"/>
        </w:rPr>
      </w:pPr>
      <w:r>
        <w:rPr>
          <w:rFonts w:ascii="Arial" w:cs="Arial" w:eastAsia="Arial" w:hAnsi="Arial"/>
          <w:sz w:val="18"/>
          <w:szCs w:val="18"/>
          <w:color w:val="auto"/>
        </w:rPr>
        <w:t>During the three months ended June 30, 2024, we paid approximately $77.3 million to fund tenant-related obligations, including tenant improvements and leasing commissions.</w:t>
      </w:r>
    </w:p>
    <w:p>
      <w:pPr>
        <w:spacing w:after="0" w:line="99"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 xml:space="preserve">In addition, during the three months ended June 30, 2024, we and our unconsolidated joint venture partners incurred approximately $99.8 million of new tenant-related obligations associated with approximately 1,295,600 square feet of second generation leases, or approximately $77 per square foot. We signed approximately 27,100 square feet of first generation leases. The tenant-related obligations for the development properties are included within the projects’ “Estimated Total Investment” referred to in </w:t>
      </w:r>
      <w:r>
        <w:rPr>
          <w:rFonts w:ascii="Arial" w:cs="Arial" w:eastAsia="Arial" w:hAnsi="Arial"/>
          <w:sz w:val="18"/>
          <w:szCs w:val="18"/>
          <w:i w:val="1"/>
          <w:iCs w:val="1"/>
          <w:color w:val="auto"/>
        </w:rPr>
        <w:t>“Item 2—Management’s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Operations—Liquidity and Capital Resources.” </w:t>
      </w:r>
      <w:r>
        <w:rPr>
          <w:rFonts w:ascii="Arial" w:cs="Arial" w:eastAsia="Arial" w:hAnsi="Arial"/>
          <w:sz w:val="18"/>
          <w:szCs w:val="18"/>
          <w:color w:val="auto"/>
        </w:rPr>
        <w:t>In aggregate during the second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quarter of 2024, we signed leases for approximately 1,322,700 square feet of space and incurred aggregate tenant-related obligations of approximately $105.1 million, or approximately $79 per square foot.</w:t>
      </w:r>
    </w:p>
    <w:p>
      <w:pPr>
        <w:spacing w:after="0" w:line="200" w:lineRule="exact"/>
        <w:rPr>
          <w:sz w:val="20"/>
          <w:szCs w:val="20"/>
          <w:color w:val="auto"/>
        </w:rPr>
      </w:pPr>
    </w:p>
    <w:p>
      <w:pPr>
        <w:spacing w:after="0" w:line="2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83" w:right="7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are exposed to certain market risks, one of the most predominant of which is a change in interest rates. Unless we have entered into interest rate swaps or other derivatives to fix the interest rate, increases in interest rates can result in increased interest expense under our 2021 Credit Facility, 2023 Unsecured Term Loan, unsecured commercial paper, certain mortgage loans and other debt that bears interest at variable rates. Increases in interest rates can also result in increased interest expense when our fixed rate debt matures and needs to be refinanced.</w:t>
      </w:r>
    </w:p>
    <w:p>
      <w:pPr>
        <w:spacing w:after="0" w:line="58"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of June 30, 2024, approximately $13.3 billion of our indebtedness bore interest at fixed rates and therefore the fair value of these instruments is not affected by changes in the market interest rates. The remaining $2.1 billion of outstanding indebtedness bore interest at variable rates, including $ 700.0 million under the 2023 Unsecured Term Loan, $500.0 million of unsecured commercial paper borrowings and $900.0 million of secured debt. However, we entered into interest rate swaps with notional amounts aggregating $900.0 million for our secured debt, thus fixing the interest rates for all, or a portion of the applicable debt term (See Note 7 to the Consolidated Financial Statements for information pertaining to interest rate swap contracts in place as of June 30, 2024 and their respective fair values). Therefore, as of June 30, 2024, we have $1.2 billion of variable rate debt outstanding.</w:t>
      </w:r>
    </w:p>
    <w:p>
      <w:pPr>
        <w:spacing w:after="0" w:line="129" w:lineRule="exact"/>
        <w:rPr>
          <w:sz w:val="20"/>
          <w:szCs w:val="20"/>
          <w:color w:val="auto"/>
        </w:rPr>
      </w:pPr>
    </w:p>
    <w:p>
      <w:pPr>
        <w:ind w:right="1100" w:firstLine="445"/>
        <w:spacing w:after="0" w:line="287" w:lineRule="auto"/>
        <w:rPr>
          <w:sz w:val="20"/>
          <w:szCs w:val="20"/>
          <w:color w:val="auto"/>
        </w:rPr>
      </w:pPr>
      <w:r>
        <w:rPr>
          <w:rFonts w:ascii="Arial" w:cs="Arial" w:eastAsia="Arial" w:hAnsi="Arial"/>
          <w:sz w:val="18"/>
          <w:szCs w:val="18"/>
          <w:color w:val="auto"/>
        </w:rPr>
        <w:t>The following table presents our aggregate debt obligations carrying value, estimated fair value and where applicable, the corresponding weighted-average GAAP interest rates sorted by maturity date as of June 30, 2024.</w:t>
      </w:r>
    </w:p>
    <w:p>
      <w:pPr>
        <w:spacing w:after="0" w:line="99" w:lineRule="exact"/>
        <w:rPr>
          <w:sz w:val="20"/>
          <w:szCs w:val="20"/>
          <w:color w:val="auto"/>
        </w:rPr>
      </w:pPr>
    </w:p>
    <w:p>
      <w:pPr>
        <w:ind w:right="60" w:firstLine="445"/>
        <w:spacing w:after="0" w:line="262" w:lineRule="auto"/>
        <w:rPr>
          <w:sz w:val="20"/>
          <w:szCs w:val="20"/>
          <w:color w:val="auto"/>
        </w:rPr>
      </w:pPr>
      <w:r>
        <w:rPr>
          <w:rFonts w:ascii="Arial" w:cs="Arial" w:eastAsia="Arial" w:hAnsi="Arial"/>
          <w:sz w:val="18"/>
          <w:szCs w:val="18"/>
          <w:color w:val="auto"/>
        </w:rPr>
        <w:t>The table below does not include our unconsolidated joint venture debt. For a discussion concerning our unconsolidated joint venture debt, including interest rate swaps, see Note 5 to the Consolidated Financial Statements and “</w:t>
      </w:r>
      <w:r>
        <w:rPr>
          <w:rFonts w:ascii="Arial" w:cs="Arial" w:eastAsia="Arial" w:hAnsi="Arial"/>
          <w:sz w:val="18"/>
          <w:szCs w:val="18"/>
          <w:i w:val="1"/>
          <w:iCs w:val="1"/>
          <w:color w:val="auto"/>
        </w:rPr>
        <w:t>Item 2</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Resources—Investment in Unconsolidated Joint Ventures - Secured Debt.</w:t>
      </w:r>
      <w:r>
        <w:rPr>
          <w:rFonts w:ascii="Arial" w:cs="Arial" w:eastAsia="Arial" w:hAnsi="Arial"/>
          <w:sz w:val="18"/>
          <w:szCs w:val="18"/>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tcPr>
          <w:p>
            <w:pPr>
              <w:jc w:val="center"/>
              <w:ind w:right="3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Mortgage debt, net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(4,202)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197,631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2,297,114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995,922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3,480,228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2,997,909</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6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7.69 %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4"/>
                <w:szCs w:val="14"/>
                <w:color w:val="auto"/>
              </w:rPr>
              <w:t>— %</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3.67 %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0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297,113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598,901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891,250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896,697</w:t>
            </w:r>
          </w:p>
        </w:tc>
        <w:tc>
          <w:tcPr>
            <w:tcW w:w="0" w:type="dxa"/>
            <w:vAlign w:val="bottom"/>
          </w:tcPr>
          <w:p>
            <w:pPr>
              <w:spacing w:after="0"/>
              <w:rPr>
                <w:sz w:val="1"/>
                <w:szCs w:val="1"/>
                <w:color w:val="auto"/>
              </w:rPr>
            </w:pPr>
          </w:p>
        </w:tc>
      </w:tr>
      <w:tr>
        <w:trPr>
          <w:trHeight w:val="192"/>
        </w:trPr>
        <w:tc>
          <w:tcPr>
            <w:tcW w:w="1200" w:type="dxa"/>
            <w:vAlign w:val="bottom"/>
          </w:tcPr>
          <w:p>
            <w:pPr>
              <w:ind w:left="180"/>
              <w:spacing w:after="0"/>
              <w:rPr>
                <w:sz w:val="20"/>
                <w:szCs w:val="20"/>
                <w:color w:val="auto"/>
              </w:rPr>
            </w:pPr>
            <w:r>
              <w:rPr>
                <w:rFonts w:ascii="Arial" w:cs="Arial" w:eastAsia="Arial" w:hAnsi="Arial"/>
                <w:sz w:val="14"/>
                <w:szCs w:val="14"/>
                <w:color w:val="auto"/>
              </w:rPr>
              <w:t>Subtotal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rPr>
              <w:t>(6,278)</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494,744</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(6,209)</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2,295,770</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597,529</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995,922</w:t>
            </w:r>
          </w:p>
        </w:tc>
        <w:tc>
          <w:tcPr>
            <w:tcW w:w="1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4,371,478</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3,894,606</w:t>
            </w:r>
          </w:p>
        </w:tc>
        <w:tc>
          <w:tcPr>
            <w:tcW w:w="0" w:type="dxa"/>
            <w:vAlign w:val="bottom"/>
          </w:tcPr>
          <w:p>
            <w:pPr>
              <w:spacing w:after="0"/>
              <w:rPr>
                <w:sz w:val="1"/>
                <w:szCs w:val="1"/>
                <w:color w:val="auto"/>
              </w:rPr>
            </w:pPr>
          </w:p>
        </w:tc>
      </w:tr>
      <w:tr>
        <w:trPr>
          <w:trHeight w:val="199"/>
        </w:trPr>
        <w:tc>
          <w:tcPr>
            <w:tcW w:w="1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Unsecured debt, net</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(5,854)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839,763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1,991,153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742,524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993,755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5,235,879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9,797,220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8,903,772</w:t>
            </w:r>
          </w:p>
        </w:tc>
        <w:tc>
          <w:tcPr>
            <w:tcW w:w="0" w:type="dxa"/>
            <w:vAlign w:val="bottom"/>
          </w:tcPr>
          <w:p>
            <w:pPr>
              <w:spacing w:after="0"/>
              <w:rPr>
                <w:sz w:val="1"/>
                <w:szCs w:val="1"/>
                <w:color w:val="auto"/>
              </w:rPr>
            </w:pPr>
          </w:p>
        </w:tc>
      </w:tr>
      <w:tr>
        <w:trPr>
          <w:trHeight w:val="153"/>
        </w:trPr>
        <w:tc>
          <w:tcPr>
            <w:tcW w:w="1200" w:type="dxa"/>
            <w:vAlign w:val="bottom"/>
          </w:tcPr>
          <w:p>
            <w:pPr>
              <w:ind w:left="20"/>
              <w:spacing w:after="0" w:line="153" w:lineRule="exact"/>
              <w:rPr>
                <w:sz w:val="20"/>
                <w:szCs w:val="20"/>
                <w:color w:val="auto"/>
              </w:rPr>
            </w:pPr>
            <w:r>
              <w:rPr>
                <w:rFonts w:ascii="Arial" w:cs="Arial" w:eastAsia="Arial" w:hAnsi="Arial"/>
                <w:sz w:val="14"/>
                <w:szCs w:val="14"/>
                <w:color w:val="auto"/>
              </w:rPr>
              <w:t>GAAP Average</w:t>
            </w:r>
          </w:p>
        </w:tc>
        <w:tc>
          <w:tcPr>
            <w:tcW w:w="260" w:type="dxa"/>
            <w:vAlign w:val="bottom"/>
          </w:tcPr>
          <w:p>
            <w:pPr>
              <w:spacing w:after="0"/>
              <w:rPr>
                <w:sz w:val="13"/>
                <w:szCs w:val="13"/>
                <w:color w:val="auto"/>
              </w:rPr>
            </w:pPr>
          </w:p>
        </w:tc>
        <w:tc>
          <w:tcPr>
            <w:tcW w:w="960" w:type="dxa"/>
            <w:vAlign w:val="bottom"/>
            <w:gridSpan w:val="2"/>
            <w:vMerge w:val="restart"/>
          </w:tcPr>
          <w:p>
            <w:pPr>
              <w:ind w:left="5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6.92 %</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3.55 %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3.91 %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20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499,301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699,475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1,198,776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w:t>
            </w: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Subtotal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493,447</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1,539,238</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1,991,153</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742,524</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993,755</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5,235,879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10,995,996</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10,103,772</w:t>
            </w:r>
          </w:p>
        </w:tc>
        <w:tc>
          <w:tcPr>
            <w:tcW w:w="0" w:type="dxa"/>
            <w:vAlign w:val="bottom"/>
          </w:tcPr>
          <w:p>
            <w:pPr>
              <w:spacing w:after="0"/>
              <w:rPr>
                <w:sz w:val="1"/>
                <w:szCs w:val="1"/>
                <w:color w:val="auto"/>
              </w:rPr>
            </w:pPr>
          </w:p>
        </w:tc>
      </w:tr>
      <w:tr>
        <w:trPr>
          <w:trHeight w:val="221"/>
        </w:trPr>
        <w:tc>
          <w:tcPr>
            <w:tcW w:w="1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Debt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487,169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2,033,982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1,984,944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3,038,294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1,591,284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6,231,801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15,367,474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13,998,378</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At June 30, 2024, the weighted-average stated interest rates on the fixed rate debt stated above was 3.68% per annum. At June 30, 2024, our outstanding variable rate debt totaled $2.1 billion, of which $900.0 million was subject to interest rate swaps. At June 30, 2024, the weighted-average stated interest rate on our variable rate debt, including the effect of the interest rate swaps, was 4.49% per annum. If market interest rates on our variable rate debt had been 100 basis points greater, total interest expense would have increased approximately $5.3 million and $10.5 million for the three and six months ended June 30, 2024.</w:t>
      </w:r>
    </w:p>
    <w:p>
      <w:pPr>
        <w:spacing w:after="0" w:line="125"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their obligations and we minimize our exposure by limiting counterparties to major banks who meet established credit and capital guidelines. There can be no assurance that we will adequately protect against the foregoing risks.</w:t>
      </w:r>
    </w:p>
    <w:p>
      <w:pPr>
        <w:spacing w:after="0" w:line="125" w:lineRule="exact"/>
        <w:rPr>
          <w:sz w:val="20"/>
          <w:szCs w:val="20"/>
          <w:color w:val="auto"/>
        </w:rPr>
      </w:pPr>
    </w:p>
    <w:p>
      <w:pPr>
        <w:ind w:right="320" w:firstLine="445"/>
        <w:spacing w:after="0" w:line="268" w:lineRule="auto"/>
        <w:rPr>
          <w:sz w:val="20"/>
          <w:szCs w:val="20"/>
          <w:color w:val="auto"/>
        </w:rPr>
      </w:pPr>
      <w:r>
        <w:rPr>
          <w:rFonts w:ascii="Arial" w:cs="Arial" w:eastAsia="Arial" w:hAnsi="Arial"/>
          <w:sz w:val="18"/>
          <w:szCs w:val="18"/>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ectPr>
          <w:pgSz w:w="11900" w:h="16838" w:orient="portrait"/>
          <w:cols w:equalWidth="0" w:num="1">
            <w:col w:w="11200"/>
          </w:cols>
          <w:pgMar w:left="320" w:top="283"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BXP, Inc.</w:t>
      </w:r>
    </w:p>
    <w:p>
      <w:pPr>
        <w:spacing w:after="0" w:line="102" w:lineRule="exact"/>
        <w:rPr>
          <w:sz w:val="20"/>
          <w:szCs w:val="20"/>
          <w:color w:val="auto"/>
        </w:rPr>
      </w:pPr>
    </w:p>
    <w:p>
      <w:pPr>
        <w:ind w:right="300" w:firstLine="453"/>
        <w:spacing w:after="0" w:line="259" w:lineRule="auto"/>
        <w:tabs>
          <w:tab w:leader="none" w:pos="7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our management, with the participation of BXP,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BXP, Inc.’s Chief Executive Officer and Chief Financial Officer concluded that these disclosure controls and procedures were effective as of the end of the period covered by this report.</w:t>
      </w:r>
    </w:p>
    <w:p>
      <w:pPr>
        <w:spacing w:after="0" w:line="125" w:lineRule="exact"/>
        <w:rPr>
          <w:rFonts w:ascii="Arial" w:cs="Arial" w:eastAsia="Arial" w:hAnsi="Arial"/>
          <w:sz w:val="18"/>
          <w:szCs w:val="18"/>
          <w:color w:val="auto"/>
        </w:rPr>
      </w:pPr>
    </w:p>
    <w:p>
      <w:pPr>
        <w:ind w:firstLine="453"/>
        <w:spacing w:after="0" w:line="291" w:lineRule="auto"/>
        <w:tabs>
          <w:tab w:leader="none" w:pos="715"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No change in BXP, Inc.’s internal control over financial reporting (as defined in Rule 13a-15(f) under the Securities Exchange Act of 1934, as amended) occurred during the second quarter of our fiscal year ending December 31, 2024 that has materially affected, or is reasonably likely to materially affect, BXP, Inc.’s internal control over financial reporting.</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88" w:lineRule="exact"/>
        <w:rPr>
          <w:sz w:val="20"/>
          <w:szCs w:val="20"/>
          <w:color w:val="auto"/>
        </w:rPr>
      </w:pPr>
    </w:p>
    <w:p>
      <w:pPr>
        <w:ind w:right="60" w:firstLine="453"/>
        <w:spacing w:after="0" w:line="257" w:lineRule="auto"/>
        <w:tabs>
          <w:tab w:leader="none" w:pos="715"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management of BXP,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BXP, Inc. concluded that these disclosure controls and procedures were effective as of the end of the period covered by this report.</w:t>
      </w:r>
    </w:p>
    <w:p>
      <w:pPr>
        <w:spacing w:after="0" w:line="128" w:lineRule="exact"/>
        <w:rPr>
          <w:rFonts w:ascii="Arial" w:cs="Arial" w:eastAsia="Arial" w:hAnsi="Arial"/>
          <w:sz w:val="18"/>
          <w:szCs w:val="18"/>
          <w:color w:val="auto"/>
        </w:rPr>
      </w:pPr>
    </w:p>
    <w:p>
      <w:pPr>
        <w:ind w:left="720" w:hanging="267"/>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its internal control over financial reporting (as defined in</w:t>
      </w:r>
    </w:p>
    <w:p>
      <w:pPr>
        <w:spacing w:after="0" w:line="27" w:lineRule="exact"/>
        <w:rPr>
          <w:sz w:val="20"/>
          <w:szCs w:val="20"/>
          <w:color w:val="auto"/>
        </w:rPr>
      </w:pPr>
    </w:p>
    <w:p>
      <w:pPr>
        <w:jc w:val="both"/>
        <w:ind w:right="640"/>
        <w:spacing w:after="0" w:line="266" w:lineRule="auto"/>
        <w:rPr>
          <w:sz w:val="20"/>
          <w:szCs w:val="20"/>
          <w:color w:val="auto"/>
        </w:rPr>
      </w:pPr>
      <w:r>
        <w:rPr>
          <w:rFonts w:ascii="Arial" w:cs="Arial" w:eastAsia="Arial" w:hAnsi="Arial"/>
          <w:sz w:val="18"/>
          <w:szCs w:val="18"/>
          <w:color w:val="auto"/>
        </w:rPr>
        <w:t>Rule 13a-15(f) under the Securities Exchange Act of 1934, as amended) occurred during the second quarter of our fiscal year ending December 31, 2024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104" w:lineRule="exact"/>
        <w:rPr>
          <w:sz w:val="20"/>
          <w:szCs w:val="20"/>
          <w:color w:val="auto"/>
        </w:rPr>
      </w:pPr>
    </w:p>
    <w:p>
      <w:pPr>
        <w:ind w:right="200" w:firstLine="445"/>
        <w:spacing w:after="0" w:line="268" w:lineRule="auto"/>
        <w:rPr>
          <w:sz w:val="20"/>
          <w:szCs w:val="20"/>
          <w:color w:val="auto"/>
        </w:rPr>
      </w:pPr>
      <w:r>
        <w:rPr>
          <w:rFonts w:ascii="Arial" w:cs="Arial" w:eastAsia="Arial" w:hAnsi="Arial"/>
          <w:sz w:val="18"/>
          <w:szCs w:val="18"/>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04" w:lineRule="exact"/>
        <w:rPr>
          <w:sz w:val="20"/>
          <w:szCs w:val="20"/>
          <w:color w:val="auto"/>
        </w:rPr>
      </w:pPr>
    </w:p>
    <w:p>
      <w:pPr>
        <w:ind w:right="200" w:firstLine="445"/>
        <w:spacing w:after="0" w:line="262" w:lineRule="auto"/>
        <w:rPr>
          <w:sz w:val="20"/>
          <w:szCs w:val="20"/>
          <w:color w:val="auto"/>
        </w:rPr>
      </w:pPr>
      <w:r>
        <w:rPr>
          <w:rFonts w:ascii="Arial" w:cs="Arial" w:eastAsia="Arial" w:hAnsi="Arial"/>
          <w:sz w:val="18"/>
          <w:szCs w:val="18"/>
          <w:color w:val="auto"/>
        </w:rPr>
        <w:t>Except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BXP, Inc.</w:t>
      </w:r>
    </w:p>
    <w:p>
      <w:pPr>
        <w:spacing w:after="0" w:line="102" w:lineRule="exact"/>
        <w:rPr>
          <w:sz w:val="20"/>
          <w:szCs w:val="20"/>
          <w:color w:val="auto"/>
        </w:rPr>
      </w:pPr>
    </w:p>
    <w:p>
      <w:pPr>
        <w:ind w:left="980" w:right="20" w:hanging="486"/>
        <w:spacing w:after="0" w:line="247" w:lineRule="auto"/>
        <w:tabs>
          <w:tab w:leader="none" w:pos="9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the three months ended June 30, 2024, BXP issued an aggregate of 40,601 shares of common stock in exchange for 40,601 common units of limited partnership held by certain limited partners of BPLP. Of these shares, 2,000 shares were issued in reliance on an exemption from registration under Section 4(a)(2) of the Securities Act of 1933, as amended. We relied on the exemption under Section 4(a)(2) based upon factual representations received from the limited partner who received the common shares.</w:t>
      </w:r>
    </w:p>
    <w:p>
      <w:pPr>
        <w:spacing w:after="0" w:line="95"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80" w:hanging="486"/>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2220" w:type="dxa"/>
            <w:vAlign w:val="bottom"/>
            <w:vMerge w:val="restart"/>
          </w:tcPr>
          <w:p>
            <w:pPr>
              <w:jc w:val="center"/>
              <w:ind w:left="800"/>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53"/>
        </w:trPr>
        <w:tc>
          <w:tcPr>
            <w:tcW w:w="3280" w:type="dxa"/>
            <w:vAlign w:val="bottom"/>
          </w:tcPr>
          <w:p>
            <w:pPr>
              <w:spacing w:after="0"/>
              <w:rPr>
                <w:sz w:val="13"/>
                <w:szCs w:val="13"/>
                <w:color w:val="auto"/>
              </w:rPr>
            </w:pPr>
          </w:p>
        </w:tc>
        <w:tc>
          <w:tcPr>
            <w:tcW w:w="22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Total Number of</w:t>
            </w:r>
          </w:p>
        </w:tc>
        <w:tc>
          <w:tcPr>
            <w:tcW w:w="1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20" w:type="dxa"/>
            <w:vAlign w:val="bottom"/>
          </w:tcPr>
          <w:p>
            <w:pPr>
              <w:jc w:val="center"/>
              <w:ind w:left="800"/>
              <w:spacing w:after="0" w:line="149" w:lineRule="exact"/>
              <w:rPr>
                <w:sz w:val="20"/>
                <w:szCs w:val="20"/>
                <w:color w:val="auto"/>
              </w:rPr>
            </w:pPr>
            <w:r>
              <w:rPr>
                <w:rFonts w:ascii="Arial" w:cs="Arial" w:eastAsia="Arial" w:hAnsi="Arial"/>
                <w:sz w:val="14"/>
                <w:szCs w:val="14"/>
                <w:b w:val="1"/>
                <w:bCs w:val="1"/>
                <w:color w:val="auto"/>
              </w:rPr>
              <w:t>Total Number of</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 as</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700" w:type="dxa"/>
            <w:vAlign w:val="bottom"/>
            <w:gridSpan w:val="2"/>
          </w:tcPr>
          <w:p>
            <w:pPr>
              <w:jc w:val="center"/>
              <w:ind w:left="320"/>
              <w:spacing w:after="0"/>
              <w:rPr>
                <w:sz w:val="20"/>
                <w:szCs w:val="20"/>
                <w:color w:val="auto"/>
              </w:rPr>
            </w:pPr>
            <w:r>
              <w:rPr>
                <w:rFonts w:ascii="Arial" w:cs="Arial" w:eastAsia="Arial" w:hAnsi="Arial"/>
                <w:sz w:val="14"/>
                <w:szCs w:val="14"/>
                <w:b w:val="1"/>
                <w:bCs w:val="1"/>
                <w:color w:val="auto"/>
              </w:rPr>
              <w:t>Shares of Common</w:t>
            </w:r>
          </w:p>
        </w:tc>
        <w:tc>
          <w:tcPr>
            <w:tcW w:w="580" w:type="dxa"/>
            <w:vAlign w:val="bottom"/>
          </w:tcPr>
          <w:p>
            <w:pPr>
              <w:spacing w:after="0"/>
              <w:rPr>
                <w:sz w:val="14"/>
                <w:szCs w:val="14"/>
                <w:color w:val="auto"/>
              </w:rPr>
            </w:pPr>
          </w:p>
        </w:tc>
        <w:tc>
          <w:tcPr>
            <w:tcW w:w="1060" w:type="dxa"/>
            <w:vAlign w:val="bottom"/>
          </w:tcPr>
          <w:p>
            <w:pPr>
              <w:jc w:val="right"/>
              <w:ind w:right="554"/>
              <w:spacing w:after="0"/>
              <w:rPr>
                <w:sz w:val="20"/>
                <w:szCs w:val="20"/>
                <w:color w:val="auto"/>
              </w:rPr>
            </w:pPr>
            <w:r>
              <w:rPr>
                <w:rFonts w:ascii="Arial" w:cs="Arial" w:eastAsia="Arial" w:hAnsi="Arial"/>
                <w:sz w:val="14"/>
                <w:szCs w:val="14"/>
                <w:b w:val="1"/>
                <w:bCs w:val="1"/>
                <w:color w:val="auto"/>
              </w:rPr>
              <w:t>(b)</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220" w:type="dxa"/>
            <w:vAlign w:val="bottom"/>
          </w:tcPr>
          <w:p>
            <w:pPr>
              <w:jc w:val="center"/>
              <w:ind w:left="800"/>
              <w:spacing w:after="0" w:line="149" w:lineRule="exact"/>
              <w:rPr>
                <w:sz w:val="20"/>
                <w:szCs w:val="20"/>
                <w:color w:val="auto"/>
              </w:rPr>
            </w:pPr>
            <w:r>
              <w:rPr>
                <w:rFonts w:ascii="Arial" w:cs="Arial" w:eastAsia="Arial" w:hAnsi="Arial"/>
                <w:sz w:val="14"/>
                <w:szCs w:val="14"/>
                <w:b w:val="1"/>
                <w:bCs w:val="1"/>
                <w:color w:val="auto"/>
                <w:w w:val="99"/>
              </w:rPr>
              <w:t>Stock</w:t>
            </w:r>
          </w:p>
        </w:tc>
        <w:tc>
          <w:tcPr>
            <w:tcW w:w="480" w:type="dxa"/>
            <w:vAlign w:val="bottom"/>
          </w:tcPr>
          <w:p>
            <w:pPr>
              <w:spacing w:after="0"/>
              <w:rPr>
                <w:sz w:val="12"/>
                <w:szCs w:val="12"/>
                <w:color w:val="auto"/>
              </w:rPr>
            </w:pPr>
          </w:p>
        </w:tc>
        <w:tc>
          <w:tcPr>
            <w:tcW w:w="16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Average Price Paid</w:t>
            </w:r>
          </w:p>
        </w:tc>
        <w:tc>
          <w:tcPr>
            <w:tcW w:w="16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rPr>
              <w:t>Announced Plans or</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211"/>
        </w:trPr>
        <w:tc>
          <w:tcPr>
            <w:tcW w:w="328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Period</w:t>
            </w:r>
          </w:p>
        </w:tc>
        <w:tc>
          <w:tcPr>
            <w:tcW w:w="2220" w:type="dxa"/>
            <w:vAlign w:val="bottom"/>
            <w:tcBorders>
              <w:bottom w:val="single" w:sz="8" w:color="auto"/>
            </w:tcBorders>
          </w:tcPr>
          <w:p>
            <w:pPr>
              <w:jc w:val="center"/>
              <w:ind w:left="800"/>
              <w:spacing w:after="0"/>
              <w:rPr>
                <w:sz w:val="20"/>
                <w:szCs w:val="20"/>
                <w:color w:val="auto"/>
              </w:rPr>
            </w:pPr>
            <w:r>
              <w:rPr>
                <w:rFonts w:ascii="Arial" w:cs="Arial" w:eastAsia="Arial" w:hAnsi="Arial"/>
                <w:sz w:val="14"/>
                <w:szCs w:val="14"/>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per Common Share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2024 – April 30, 2024</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6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1"/>
        </w:trPr>
        <w:tc>
          <w:tcPr>
            <w:tcW w:w="3280" w:type="dxa"/>
            <w:vAlign w:val="bottom"/>
          </w:tcPr>
          <w:p>
            <w:pPr>
              <w:ind w:left="20"/>
              <w:spacing w:after="0"/>
              <w:rPr>
                <w:sz w:val="20"/>
                <w:szCs w:val="20"/>
                <w:color w:val="auto"/>
              </w:rPr>
            </w:pPr>
            <w:r>
              <w:rPr>
                <w:rFonts w:ascii="Arial" w:cs="Arial" w:eastAsia="Arial" w:hAnsi="Arial"/>
                <w:sz w:val="18"/>
                <w:szCs w:val="18"/>
                <w:color w:val="auto"/>
              </w:rPr>
              <w:t>May 1, 2024 – May 31, 2024</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640" w:type="dxa"/>
            <w:vAlign w:val="bottom"/>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2024 – June 30, 2024</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164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4"/>
        </w:trPr>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2220" w:type="dxa"/>
            <w:vAlign w:val="bottom"/>
          </w:tcPr>
          <w:p>
            <w:pPr>
              <w:jc w:val="right"/>
              <w:spacing w:after="0"/>
              <w:rPr>
                <w:sz w:val="20"/>
                <w:szCs w:val="20"/>
                <w:color w:val="auto"/>
              </w:rPr>
            </w:pPr>
            <w:r>
              <w:rPr>
                <w:rFonts w:ascii="Arial" w:cs="Arial" w:eastAsia="Arial" w:hAnsi="Arial"/>
                <w:sz w:val="18"/>
                <w:szCs w:val="18"/>
                <w:color w:val="auto"/>
              </w:rPr>
              <w:t>549</w:t>
            </w:r>
          </w:p>
        </w:tc>
        <w:tc>
          <w:tcPr>
            <w:tcW w:w="480" w:type="dxa"/>
            <w:vAlign w:val="bottom"/>
          </w:tcPr>
          <w:p>
            <w:pPr>
              <w:spacing w:after="0"/>
              <w:rPr>
                <w:sz w:val="20"/>
                <w:szCs w:val="20"/>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1640" w:type="dxa"/>
            <w:vAlign w:val="bottom"/>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00"/>
        </w:trPr>
        <w:tc>
          <w:tcPr>
            <w:tcW w:w="328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2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258" w:lineRule="auto"/>
        <w:tabs>
          <w:tab w:leader="none" w:pos="6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shares of restricted common stock of BXP repurchased in connection with the termination of certain employees’ employment with BXP. Under the terms of the applicable restricted stock award agreements, the shares were repurchased by BXP at a price of $0.01 per share, which was the amount originally paid by such employees for such shares.</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29" w:lineRule="exact"/>
        <w:rPr>
          <w:sz w:val="20"/>
          <w:szCs w:val="20"/>
          <w:color w:val="auto"/>
        </w:rPr>
      </w:pPr>
    </w:p>
    <w:p>
      <w:pPr>
        <w:ind w:left="980" w:right="60" w:hanging="486"/>
        <w:spacing w:after="0" w:line="255" w:lineRule="auto"/>
        <w:tabs>
          <w:tab w:leader="none" w:pos="9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June 30, 2024, in connection with issuances of common stock by BXP pursuant to issuances of restricted common stock to non-employee directors and the settlement of deferred stock awards under the Boston Properties, Inc. 2021 Stock Incentive Plan, BPLP issued an aggregate of 8,618 common units to BXP in exchange for approximately $70.88, the aggregate proceeds of such common stock issuances to BXP. Such units were issued in reliance on an exemption from registration under Section 4(a)(2) of the Securities Act of 1933, as amended.</w:t>
      </w:r>
    </w:p>
    <w:p>
      <w:pPr>
        <w:spacing w:after="0" w:line="103" w:lineRule="exact"/>
        <w:rPr>
          <w:rFonts w:ascii="Arial" w:cs="Arial" w:eastAsia="Arial" w:hAnsi="Arial"/>
          <w:sz w:val="18"/>
          <w:szCs w:val="18"/>
          <w:color w:val="auto"/>
        </w:rPr>
      </w:pPr>
    </w:p>
    <w:p>
      <w:pPr>
        <w:ind w:left="980" w:hanging="486"/>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80" w:hanging="486"/>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39"/>
        </w:trPr>
        <w:tc>
          <w:tcPr>
            <w:tcW w:w="3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200" w:type="dxa"/>
            <w:vAlign w:val="bottom"/>
            <w:vMerge w:val="restart"/>
          </w:tcPr>
          <w:p>
            <w:pPr>
              <w:jc w:val="center"/>
              <w:ind w:left="738"/>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(b)</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Total Number of Units</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Value) of Units that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2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336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Period</w:t>
            </w:r>
          </w:p>
        </w:tc>
        <w:tc>
          <w:tcPr>
            <w:tcW w:w="2200" w:type="dxa"/>
            <w:vAlign w:val="bottom"/>
          </w:tcPr>
          <w:p>
            <w:pPr>
              <w:jc w:val="center"/>
              <w:ind w:left="798"/>
              <w:spacing w:after="0" w:line="149" w:lineRule="exact"/>
              <w:rPr>
                <w:sz w:val="20"/>
                <w:szCs w:val="20"/>
                <w:color w:val="auto"/>
              </w:rPr>
            </w:pPr>
            <w:r>
              <w:rPr>
                <w:rFonts w:ascii="Arial" w:cs="Arial" w:eastAsia="Arial" w:hAnsi="Arial"/>
                <w:sz w:val="14"/>
                <w:szCs w:val="14"/>
                <w:b w:val="1"/>
                <w:bCs w:val="1"/>
                <w:color w:val="auto"/>
              </w:rPr>
              <w:t>Total Number of</w:t>
            </w:r>
          </w:p>
        </w:tc>
        <w:tc>
          <w:tcPr>
            <w:tcW w:w="480" w:type="dxa"/>
            <w:vAlign w:val="bottom"/>
          </w:tcPr>
          <w:p>
            <w:pPr>
              <w:spacing w:after="0"/>
              <w:rPr>
                <w:sz w:val="12"/>
                <w:szCs w:val="12"/>
                <w:color w:val="auto"/>
              </w:rPr>
            </w:pPr>
          </w:p>
        </w:tc>
        <w:tc>
          <w:tcPr>
            <w:tcW w:w="15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Average Price Paid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Publicly Announced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auto"/>
            </w:tcBorders>
            <w:vMerge w:val="continue"/>
          </w:tcPr>
          <w:p>
            <w:pPr>
              <w:spacing w:after="0"/>
              <w:rPr>
                <w:sz w:val="16"/>
                <w:szCs w:val="16"/>
                <w:color w:val="auto"/>
              </w:rPr>
            </w:pPr>
          </w:p>
        </w:tc>
        <w:tc>
          <w:tcPr>
            <w:tcW w:w="2200" w:type="dxa"/>
            <w:vAlign w:val="bottom"/>
            <w:tcBorders>
              <w:bottom w:val="single" w:sz="8" w:color="auto"/>
            </w:tcBorders>
          </w:tcPr>
          <w:p>
            <w:pPr>
              <w:jc w:val="center"/>
              <w:ind w:left="778"/>
              <w:spacing w:after="0"/>
              <w:rPr>
                <w:sz w:val="20"/>
                <w:szCs w:val="20"/>
                <w:color w:val="auto"/>
              </w:rPr>
            </w:pPr>
            <w:r>
              <w:rPr>
                <w:rFonts w:ascii="Arial" w:cs="Arial" w:eastAsia="Arial" w:hAnsi="Arial"/>
                <w:sz w:val="14"/>
                <w:szCs w:val="14"/>
                <w:b w:val="1"/>
                <w:bCs w:val="1"/>
                <w:color w:val="auto"/>
              </w:rPr>
              <w:t>Units Purchased</w:t>
            </w: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 Unit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2024 – April 30, 2024</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0.13</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1"/>
        </w:trPr>
        <w:tc>
          <w:tcPr>
            <w:tcW w:w="3360" w:type="dxa"/>
            <w:vAlign w:val="bottom"/>
          </w:tcPr>
          <w:p>
            <w:pPr>
              <w:ind w:left="20"/>
              <w:spacing w:after="0"/>
              <w:rPr>
                <w:sz w:val="20"/>
                <w:szCs w:val="20"/>
                <w:color w:val="auto"/>
              </w:rPr>
            </w:pPr>
            <w:r>
              <w:rPr>
                <w:rFonts w:ascii="Arial" w:cs="Arial" w:eastAsia="Arial" w:hAnsi="Arial"/>
                <w:sz w:val="18"/>
                <w:szCs w:val="18"/>
                <w:color w:val="auto"/>
              </w:rPr>
              <w:t>May 1, 2024 – May 31, 2024</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2024 – June 30, 2024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0.01</w:t>
            </w:r>
          </w:p>
        </w:tc>
        <w:tc>
          <w:tcPr>
            <w:tcW w:w="16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200" w:type="dxa"/>
            <w:vAlign w:val="bottom"/>
          </w:tcPr>
          <w:p>
            <w:pPr>
              <w:jc w:val="right"/>
              <w:spacing w:after="0"/>
              <w:rPr>
                <w:sz w:val="20"/>
                <w:szCs w:val="20"/>
                <w:color w:val="auto"/>
              </w:rPr>
            </w:pPr>
            <w:r>
              <w:rPr>
                <w:rFonts w:ascii="Arial" w:cs="Arial" w:eastAsia="Arial" w:hAnsi="Arial"/>
                <w:sz w:val="18"/>
                <w:szCs w:val="18"/>
                <w:color w:val="auto"/>
              </w:rPr>
              <w:t>890</w:t>
            </w:r>
          </w:p>
        </w:tc>
        <w:tc>
          <w:tcPr>
            <w:tcW w:w="48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0.10</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1600" w:type="dxa"/>
            <w:vAlign w:val="bottom"/>
          </w:tcPr>
          <w:p>
            <w:pPr>
              <w:ind w:left="12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92"/>
        </w:trPr>
        <w:tc>
          <w:tcPr>
            <w:tcW w:w="3360" w:type="dxa"/>
            <w:vAlign w:val="bottom"/>
          </w:tcPr>
          <w:p>
            <w:pPr>
              <w:ind w:left="20"/>
              <w:spacing w:after="0"/>
              <w:rPr>
                <w:sz w:val="20"/>
                <w:szCs w:val="20"/>
                <w:color w:val="auto"/>
              </w:rPr>
            </w:pPr>
            <w:r>
              <w:rPr>
                <w:rFonts w:ascii="Arial" w:cs="Arial" w:eastAsia="Arial" w:hAnsi="Arial"/>
                <w:sz w:val="18"/>
                <w:szCs w:val="18"/>
                <w:color w:val="auto"/>
              </w:rPr>
              <w:t>___________</w:t>
            </w:r>
          </w:p>
        </w:tc>
        <w:tc>
          <w:tcPr>
            <w:tcW w:w="2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254" w:lineRule="auto"/>
        <w:tabs>
          <w:tab w:leader="none" w:pos="6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314 common units previously held by BXP that were redeemed in connection with the repurchase of shares of restricted common stock of BXP and 341 LTIP units that were repurchased by BPLP in connection with the termination of a certain employee’s employment with BXP. Under the terms of the applicable restricted stock award agreements and LTIP unit vesting agreements, such shares were repurchased at a price of $0.01 per share and such LTIP units were repurchased at a price of $0.25 per unit, which were the amounts originally paid by such employee for such shares and units.</w:t>
      </w:r>
    </w:p>
    <w:p>
      <w:pPr>
        <w:spacing w:after="0" w:line="209" w:lineRule="exact"/>
        <w:rPr>
          <w:rFonts w:ascii="Arial" w:cs="Arial" w:eastAsia="Arial" w:hAnsi="Arial"/>
          <w:sz w:val="18"/>
          <w:szCs w:val="18"/>
          <w:color w:val="auto"/>
        </w:rPr>
      </w:pPr>
    </w:p>
    <w:p>
      <w:pPr>
        <w:ind w:left="660" w:right="140" w:hanging="328"/>
        <w:spacing w:after="0" w:line="262" w:lineRule="auto"/>
        <w:tabs>
          <w:tab w:leader="none" w:pos="65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common units previously held by BXP that were redeemed in connection with the repurchase of shares of restricted common stock of BXP that were repurchased by BPLP in connection with the termination of a certain employee’s employment with BXP. Under the terms of the applicable restricted stock award agreements, such shares were repurchased at a price of $0.01 per share, which was the amounts originally paid by such employee for such shares.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3—Defaults Upon Senior Securities.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131" w:lineRule="exact"/>
        <w:rPr>
          <w:sz w:val="20"/>
          <w:szCs w:val="20"/>
          <w:color w:val="auto"/>
        </w:rPr>
      </w:pPr>
    </w:p>
    <w:p>
      <w:pPr>
        <w:ind w:left="980" w:hanging="486"/>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980" w:right="240" w:hanging="486"/>
        <w:spacing w:after="0" w:line="268" w:lineRule="auto"/>
        <w:tabs>
          <w:tab w:leader="none" w:pos="9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the three months ended June 30, 2024,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90"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8"/>
          <w:szCs w:val="18"/>
          <w:color w:val="auto"/>
        </w:rPr>
        <w:t>(a)</w:t>
        <w:tab/>
        <w:t>Exhibits</w:t>
      </w:r>
    </w:p>
    <w:p>
      <w:pPr>
        <w:spacing w:after="0" w:line="131" w:lineRule="exact"/>
        <w:rPr>
          <w:sz w:val="20"/>
          <w:szCs w:val="20"/>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 xml:space="preserve">3.1 — </w:t>
      </w:r>
      <w:hyperlink r:id="rId157">
        <w:r>
          <w:rPr>
            <w:rFonts w:ascii="Arial" w:cs="Arial" w:eastAsia="Arial" w:hAnsi="Arial"/>
            <w:sz w:val="18"/>
            <w:szCs w:val="18"/>
            <w:u w:val="single" w:color="auto"/>
            <w:color w:val="0000FF"/>
          </w:rPr>
          <w:t>Form of Amended and Restated Certificate of Incorporation of Boston Properties, Inc. (Incorporated by reference to Exhibit</w:t>
        </w:r>
      </w:hyperlink>
    </w:p>
    <w:p>
      <w:pPr>
        <w:ind w:left="136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3.1 to Boston Properties, Inc.’s Registration Statement on Form S-11, File No. 333-25279.)</w:t>
        </w:r>
      </w:hyperlink>
    </w:p>
    <w:p>
      <w:pPr>
        <w:spacing w:after="0" w:line="221" w:lineRule="exact"/>
        <w:rPr>
          <w:sz w:val="20"/>
          <w:szCs w:val="20"/>
          <w:color w:val="auto"/>
        </w:rPr>
      </w:pPr>
    </w:p>
    <w:p>
      <w:pPr>
        <w:jc w:val="right"/>
        <w:ind w:left="780" w:right="18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 </w:t>
      </w:r>
      <w:hyperlink r:id="rId158">
        <w:r>
          <w:rPr>
            <w:rFonts w:ascii="Arial" w:cs="Arial" w:eastAsia="Arial" w:hAnsi="Arial"/>
            <w:sz w:val="18"/>
            <w:szCs w:val="18"/>
            <w:u w:val="single" w:color="auto"/>
            <w:color w:val="0000FF"/>
          </w:rPr>
          <w:t>Amended and Restated Certificate of Designations of Series E Junior Participating Cumulative Preferred Stock of Boston</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FF"/>
          </w:rPr>
          <w:t>Properties, Inc. (Incorporated by reference to Exhibit 3.1 to Boston Properties, Inc.’s Current Report on Form 8-K filed on</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June 18, 2007.)</w:t>
        </w:r>
      </w:hyperlink>
    </w:p>
    <w:p>
      <w:pPr>
        <w:spacing w:after="0" w:line="207" w:lineRule="exact"/>
        <w:rPr>
          <w:sz w:val="20"/>
          <w:szCs w:val="20"/>
          <w:color w:val="auto"/>
        </w:rPr>
      </w:pPr>
    </w:p>
    <w:p>
      <w:pPr>
        <w:ind w:left="1360" w:right="40" w:hanging="587"/>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3.3 — </w:t>
      </w:r>
      <w:hyperlink r:id="rId159">
        <w:r>
          <w:rPr>
            <w:rFonts w:ascii="Arial" w:cs="Arial" w:eastAsia="Arial" w:hAnsi="Arial"/>
            <w:sz w:val="18"/>
            <w:szCs w:val="18"/>
            <w:u w:val="single" w:color="auto"/>
            <w:color w:val="0000FF"/>
          </w:rPr>
          <w:t>Certificate of Amendment of Amended and Restated Certificate of Incorporation of Boston Properties, Inc. (Incorporated by</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FF"/>
          </w:rPr>
          <w:t>reference to Exhibit 3.1 to Boston Properties, Inc.’s Current Report on Form 8-K filed on May 20, 2010.)</w:t>
        </w:r>
      </w:hyperlink>
    </w:p>
    <w:p>
      <w:pPr>
        <w:spacing w:after="0" w:line="207" w:lineRule="exact"/>
        <w:rPr>
          <w:sz w:val="20"/>
          <w:szCs w:val="20"/>
          <w:color w:val="auto"/>
        </w:rPr>
      </w:pPr>
    </w:p>
    <w:p>
      <w:pPr>
        <w:ind w:left="1360" w:right="160" w:hanging="587"/>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3.4 — </w:t>
      </w:r>
      <w:hyperlink r:id="rId160">
        <w:r>
          <w:rPr>
            <w:rFonts w:ascii="Arial" w:cs="Arial" w:eastAsia="Arial" w:hAnsi="Arial"/>
            <w:sz w:val="18"/>
            <w:szCs w:val="18"/>
            <w:u w:val="single" w:color="auto"/>
            <w:color w:val="0000FF"/>
          </w:rPr>
          <w:t>Certificate of Designations of 92,000 shares of 5.25% Series B Cumulative Redeemable Preferred Stock of Boston</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FF"/>
          </w:rPr>
          <w:t>Properties, Inc. (Incorporated by reference to Exhibit 3.3 to the Registration Statement on Form 8-A of Boston Properties,</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Inc. filed on March 22, 2013.)</w:t>
        </w:r>
      </w:hyperlink>
    </w:p>
    <w:p>
      <w:pPr>
        <w:spacing w:after="0" w:line="207" w:lineRule="exact"/>
        <w:rPr>
          <w:sz w:val="20"/>
          <w:szCs w:val="20"/>
          <w:color w:val="auto"/>
        </w:rPr>
      </w:pPr>
    </w:p>
    <w:p>
      <w:pPr>
        <w:ind w:left="1360" w:right="100" w:hanging="587"/>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3.5 — </w:t>
      </w:r>
      <w:hyperlink r:id="rId161">
        <w:r>
          <w:rPr>
            <w:rFonts w:ascii="Arial" w:cs="Arial" w:eastAsia="Arial" w:hAnsi="Arial"/>
            <w:sz w:val="18"/>
            <w:szCs w:val="18"/>
            <w:u w:val="single" w:color="auto"/>
            <w:color w:val="0000FF"/>
          </w:rPr>
          <w:t>Certificate of Amendment to Boston Properties, Inc.’s Amended and Restated Certificate of Incorporation (Incorporated by</w:t>
        </w:r>
      </w:hyperlink>
      <w:r>
        <w:rPr>
          <w:rFonts w:ascii="Arial" w:cs="Arial" w:eastAsia="Arial" w:hAnsi="Arial"/>
          <w:sz w:val="18"/>
          <w:szCs w:val="18"/>
          <w:color w:val="auto"/>
        </w:rPr>
        <w:t xml:space="preserve"> </w:t>
      </w:r>
      <w:hyperlink r:id="rId161">
        <w:r>
          <w:rPr>
            <w:rFonts w:ascii="Arial" w:cs="Arial" w:eastAsia="Arial" w:hAnsi="Arial"/>
            <w:sz w:val="18"/>
            <w:szCs w:val="18"/>
            <w:u w:val="single" w:color="auto"/>
            <w:color w:val="0000FF"/>
          </w:rPr>
          <w:t>reference to Exhibit 3.1 to the Current Report on Form 8-K of Boston Properties, Inc. and Boston Properties Limited</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Partnership filed on June 20, 2024.)</w:t>
        </w:r>
      </w:hyperlink>
    </w:p>
    <w:p>
      <w:pPr>
        <w:spacing w:after="0" w:line="207" w:lineRule="exact"/>
        <w:rPr>
          <w:sz w:val="20"/>
          <w:szCs w:val="20"/>
          <w:color w:val="auto"/>
        </w:rPr>
      </w:pPr>
    </w:p>
    <w:p>
      <w:pPr>
        <w:ind w:left="1360" w:hanging="587"/>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3.6 — </w:t>
      </w:r>
      <w:hyperlink r:id="rId162">
        <w:r>
          <w:rPr>
            <w:rFonts w:ascii="Arial" w:cs="Arial" w:eastAsia="Arial" w:hAnsi="Arial"/>
            <w:sz w:val="18"/>
            <w:szCs w:val="18"/>
            <w:u w:val="single" w:color="auto"/>
            <w:color w:val="0000FF"/>
          </w:rPr>
          <w:t>Amended and Restated By-laws of BXP, Inc. (Incorporated by reference to Exhibit 3.1 to the Current Report on Form 8-K of</w:t>
        </w:r>
      </w:hyperlink>
      <w:r>
        <w:rPr>
          <w:rFonts w:ascii="Arial" w:cs="Arial" w:eastAsia="Arial" w:hAnsi="Arial"/>
          <w:sz w:val="18"/>
          <w:szCs w:val="18"/>
          <w:color w:val="auto"/>
        </w:rPr>
        <w:t xml:space="preserve"> </w:t>
      </w:r>
      <w:hyperlink r:id="rId162">
        <w:r>
          <w:rPr>
            <w:rFonts w:ascii="Arial" w:cs="Arial" w:eastAsia="Arial" w:hAnsi="Arial"/>
            <w:sz w:val="18"/>
            <w:szCs w:val="18"/>
            <w:u w:val="single" w:color="auto"/>
            <w:color w:val="0000FF"/>
          </w:rPr>
          <w:t>BXP, Inc. and Boston Properties Limited Partnership filed on July 25, 2024.)</w:t>
        </w:r>
      </w:hyperlink>
    </w:p>
    <w:p>
      <w:pPr>
        <w:spacing w:after="0" w:line="207" w:lineRule="exact"/>
        <w:rPr>
          <w:sz w:val="20"/>
          <w:szCs w:val="20"/>
          <w:color w:val="auto"/>
        </w:rPr>
      </w:pPr>
    </w:p>
    <w:p>
      <w:pPr>
        <w:jc w:val="right"/>
        <w:ind w:left="680" w:right="40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 </w:t>
      </w:r>
      <w:hyperlink r:id="rId163">
        <w:r>
          <w:rPr>
            <w:rFonts w:ascii="Arial" w:cs="Arial" w:eastAsia="Arial" w:hAnsi="Arial"/>
            <w:sz w:val="18"/>
            <w:szCs w:val="18"/>
            <w:u w:val="single" w:color="auto"/>
            <w:color w:val="0000FF"/>
          </w:rPr>
          <w:t>Two Hundred and Nineteenth Amendment to the Second Amended and Restated Agreement of Limited Partnership of</w:t>
        </w:r>
      </w:hyperlink>
      <w:r>
        <w:rPr>
          <w:rFonts w:ascii="Arial" w:cs="Arial" w:eastAsia="Arial" w:hAnsi="Arial"/>
          <w:sz w:val="18"/>
          <w:szCs w:val="18"/>
          <w:color w:val="auto"/>
        </w:rPr>
        <w:t xml:space="preserve"> </w:t>
      </w:r>
      <w:hyperlink r:id="rId163">
        <w:r>
          <w:rPr>
            <w:rFonts w:ascii="Arial" w:cs="Arial" w:eastAsia="Arial" w:hAnsi="Arial"/>
            <w:sz w:val="18"/>
            <w:szCs w:val="18"/>
            <w:u w:val="single" w:color="auto"/>
            <w:color w:val="0000FF"/>
          </w:rPr>
          <w:t>Boston Properties Limited Partnership (Incorporated by reference to Exhibit 10.1 to the Current Report on Form 8-K of</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Boston Properties, Inc. and Boston Properties Limited Partnership filed on June 20, 2024.)</w:t>
        </w:r>
      </w:hyperlink>
    </w:p>
    <w:p>
      <w:pPr>
        <w:spacing w:after="0" w:line="207" w:lineRule="exact"/>
        <w:rPr>
          <w:sz w:val="20"/>
          <w:szCs w:val="20"/>
          <w:color w:val="auto"/>
        </w:rPr>
      </w:pPr>
    </w:p>
    <w:p>
      <w:pPr>
        <w:ind w:left="1360" w:right="360" w:hanging="698"/>
        <w:spacing w:after="0" w:line="234"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 — </w:t>
      </w:r>
      <w:hyperlink r:id="rId164">
        <w:r>
          <w:rPr>
            <w:rFonts w:ascii="Arial" w:cs="Arial" w:eastAsia="Arial" w:hAnsi="Arial"/>
            <w:sz w:val="17"/>
            <w:szCs w:val="17"/>
            <w:u w:val="single" w:color="auto"/>
            <w:color w:val="0000FF"/>
          </w:rPr>
          <w:t>Fourth Amendment to the Boston Properties, Inc. 1999 Non-Qualified Employee Stock Purchase Plan (Incorporated by</w:t>
        </w:r>
      </w:hyperlink>
      <w:r>
        <w:rPr>
          <w:rFonts w:ascii="Arial" w:cs="Arial" w:eastAsia="Arial" w:hAnsi="Arial"/>
          <w:sz w:val="17"/>
          <w:szCs w:val="17"/>
          <w:color w:val="auto"/>
        </w:rPr>
        <w:t xml:space="preserve"> </w:t>
      </w:r>
      <w:hyperlink r:id="rId164">
        <w:r>
          <w:rPr>
            <w:rFonts w:ascii="Arial" w:cs="Arial" w:eastAsia="Arial" w:hAnsi="Arial"/>
            <w:sz w:val="17"/>
            <w:szCs w:val="17"/>
            <w:u w:val="single" w:color="auto"/>
            <w:color w:val="0000FF"/>
          </w:rPr>
          <w:t>reference to Exhibit 10.1 to the Current Report on Form 8-K of Boston Properties, Inc. and Boston Properties Limited</w:t>
        </w:r>
      </w:hyperlink>
    </w:p>
    <w:p>
      <w:pPr>
        <w:spacing w:after="0" w:line="1" w:lineRule="exact"/>
        <w:rPr>
          <w:sz w:val="20"/>
          <w:szCs w:val="20"/>
          <w:color w:val="auto"/>
        </w:rPr>
      </w:pPr>
    </w:p>
    <w:p>
      <w:pPr>
        <w:ind w:left="1360"/>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Partnership filed on May 24, 2024.)</w:t>
        </w:r>
      </w:hyperlink>
    </w:p>
    <w:p>
      <w:pPr>
        <w:spacing w:after="0" w:line="207" w:lineRule="exact"/>
        <w:rPr>
          <w:sz w:val="20"/>
          <w:szCs w:val="20"/>
          <w:color w:val="auto"/>
        </w:rPr>
      </w:pPr>
    </w:p>
    <w:p>
      <w:pPr>
        <w:ind w:left="1360" w:right="460" w:hanging="687"/>
        <w:spacing w:after="0"/>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FF"/>
        </w:rPr>
        <w:t>Certification of Chief Executive Officer pursuant to Section 302 of the Sarbanes-Oxley Act of 2002 for BXP, Inc. (Filed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520" w:hanging="687"/>
        <w:spacing w:after="0"/>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FF"/>
        </w:rPr>
        <w:t>Certification of Chief Financial Officer pursuant to Section 302 of the Sarbanes-Oxley Act of 2002 for BXP, Inc. (Filed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280" w:hanging="687"/>
        <w:spacing w:after="0"/>
        <w:rPr>
          <w:sz w:val="20"/>
          <w:szCs w:val="20"/>
          <w:color w:val="auto"/>
        </w:rPr>
      </w:pPr>
      <w:r>
        <w:rPr>
          <w:rFonts w:ascii="Arial" w:cs="Arial" w:eastAsia="Arial" w:hAnsi="Arial"/>
          <w:sz w:val="18"/>
          <w:szCs w:val="18"/>
          <w:color w:val="auto"/>
        </w:rPr>
        <w:t xml:space="preserve">31.3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340" w:hanging="687"/>
        <w:spacing w:after="0"/>
        <w:rPr>
          <w:sz w:val="20"/>
          <w:szCs w:val="20"/>
          <w:color w:val="auto"/>
        </w:rPr>
      </w:pPr>
      <w:r>
        <w:rPr>
          <w:rFonts w:ascii="Arial" w:cs="Arial" w:eastAsia="Arial" w:hAnsi="Arial"/>
          <w:sz w:val="18"/>
          <w:szCs w:val="18"/>
          <w:color w:val="auto"/>
        </w:rPr>
        <w:t xml:space="preserve">31.4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7" w:lineRule="exact"/>
        <w:rPr>
          <w:sz w:val="20"/>
          <w:szCs w:val="20"/>
          <w:color w:val="auto"/>
        </w:rPr>
      </w:pPr>
    </w:p>
    <w:p>
      <w:pPr>
        <w:ind w:left="1360" w:right="80" w:hanging="687"/>
        <w:spacing w:after="0"/>
        <w:rPr>
          <w:sz w:val="20"/>
          <w:szCs w:val="20"/>
          <w:color w:val="auto"/>
        </w:rPr>
      </w:pPr>
      <w:r>
        <w:rPr>
          <w:rFonts w:ascii="Arial" w:cs="Arial" w:eastAsia="Arial" w:hAnsi="Arial"/>
          <w:sz w:val="18"/>
          <w:szCs w:val="18"/>
          <w:color w:val="auto"/>
        </w:rPr>
        <w:t xml:space="preserve">32.1 — </w:t>
      </w:r>
      <w:r>
        <w:rPr>
          <w:rFonts w:ascii="Arial" w:cs="Arial" w:eastAsia="Arial" w:hAnsi="Arial"/>
          <w:sz w:val="18"/>
          <w:szCs w:val="18"/>
          <w:u w:val="single" w:color="auto"/>
          <w:color w:val="0000FF"/>
        </w:rPr>
        <w:t>Certification of Chief Executive Officer pursuant to Section 906 of the Sarbanes Oxley Act of 2002 for BXP, Inc. (Furnished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120" w:hanging="687"/>
        <w:spacing w:after="0"/>
        <w:rPr>
          <w:sz w:val="20"/>
          <w:szCs w:val="20"/>
          <w:color w:val="auto"/>
        </w:rPr>
      </w:pPr>
      <w:r>
        <w:rPr>
          <w:rFonts w:ascii="Arial" w:cs="Arial" w:eastAsia="Arial" w:hAnsi="Arial"/>
          <w:sz w:val="18"/>
          <w:szCs w:val="18"/>
          <w:color w:val="auto"/>
        </w:rPr>
        <w:t xml:space="preserve">32.2 — </w:t>
      </w:r>
      <w:r>
        <w:rPr>
          <w:rFonts w:ascii="Arial" w:cs="Arial" w:eastAsia="Arial" w:hAnsi="Arial"/>
          <w:sz w:val="18"/>
          <w:szCs w:val="18"/>
          <w:u w:val="single" w:color="auto"/>
          <w:color w:val="0000FF"/>
        </w:rPr>
        <w:t>Certification of Chief Financial Officer pursuant to Section 906 of the Sarbanes Oxley Act of 2002 for BXP, Inc. (Furnished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herewith.)</w:t>
      </w:r>
    </w:p>
    <w:p>
      <w:pPr>
        <w:spacing w:after="0" w:line="207" w:lineRule="exact"/>
        <w:rPr>
          <w:sz w:val="20"/>
          <w:szCs w:val="20"/>
          <w:color w:val="auto"/>
        </w:rPr>
      </w:pPr>
    </w:p>
    <w:p>
      <w:pPr>
        <w:ind w:left="1360" w:right="280" w:hanging="687"/>
        <w:spacing w:after="0"/>
        <w:rPr>
          <w:sz w:val="20"/>
          <w:szCs w:val="20"/>
          <w:color w:val="auto"/>
        </w:rPr>
      </w:pPr>
      <w:r>
        <w:rPr>
          <w:rFonts w:ascii="Arial" w:cs="Arial" w:eastAsia="Arial" w:hAnsi="Arial"/>
          <w:sz w:val="18"/>
          <w:szCs w:val="18"/>
          <w:color w:val="auto"/>
        </w:rPr>
        <w:t xml:space="preserve">32.3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7" w:lineRule="exact"/>
        <w:rPr>
          <w:sz w:val="20"/>
          <w:szCs w:val="20"/>
          <w:color w:val="auto"/>
        </w:rPr>
      </w:pPr>
    </w:p>
    <w:p>
      <w:pPr>
        <w:ind w:left="1360" w:right="340" w:hanging="687"/>
        <w:spacing w:after="0"/>
        <w:rPr>
          <w:sz w:val="20"/>
          <w:szCs w:val="20"/>
          <w:color w:val="auto"/>
        </w:rPr>
      </w:pPr>
      <w:r>
        <w:rPr>
          <w:rFonts w:ascii="Arial" w:cs="Arial" w:eastAsia="Arial" w:hAnsi="Arial"/>
          <w:sz w:val="18"/>
          <w:szCs w:val="18"/>
          <w:color w:val="auto"/>
        </w:rPr>
        <w:t xml:space="preserve">32.4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ectPr>
          <w:pgSz w:w="11900" w:h="16838" w:orient="portrait"/>
          <w:cols w:equalWidth="0" w:num="1">
            <w:col w:w="11160"/>
          </w:cols>
          <w:pgMar w:left="320" w:top="28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101.SCH — Inline XBRL Taxonomy Extension Schema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101.CAL — Inline XBRL Taxonomy Extension Calculation Linkbase Document. (Filed herewith.)</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101.LAB — Inline XBRL Taxonomy Extension Label Linkbase Document. (Filed herewith.)</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101.PRE — Inline XBRL Taxonomy Extension Presentation Linkbase Document. (Filed herewith.)</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101.DEF — Inline XBRL Taxonomy Extension Definition Linkbase Document. (Filed herewith.)</w:t>
      </w:r>
    </w:p>
    <w:p>
      <w:pPr>
        <w:spacing w:after="0" w:line="77" w:lineRule="exact"/>
        <w:rPr>
          <w:sz w:val="20"/>
          <w:szCs w:val="20"/>
          <w:color w:val="auto"/>
        </w:rPr>
      </w:pPr>
    </w:p>
    <w:p>
      <w:pPr>
        <w:ind w:left="1360" w:right="220" w:hanging="636"/>
        <w:spacing w:after="0"/>
        <w:tabs>
          <w:tab w:leader="none" w:pos="11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 (Filed herewith.)</w:t>
      </w:r>
    </w:p>
    <w:p>
      <w:pPr>
        <w:spacing w:after="0" w:line="5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 required to be filed or incorporated by reference as an exhibit to this Form 10-Q pursuant to Item 6 of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83" w:right="4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BXP, INC.</w:t>
      </w:r>
    </w:p>
    <w:p>
      <w:pPr>
        <w:spacing w:after="0" w:line="320" w:lineRule="exact"/>
        <w:rPr>
          <w:sz w:val="20"/>
          <w:szCs w:val="20"/>
          <w:color w:val="auto"/>
        </w:rPr>
      </w:pPr>
    </w:p>
    <w:p>
      <w:pPr>
        <w:ind w:left="1140"/>
        <w:spacing w:after="0"/>
        <w:tabs>
          <w:tab w:leader="none" w:pos="6900" w:val="left"/>
          <w:tab w:leader="none" w:pos="7280" w:val="left"/>
        </w:tabs>
        <w:rPr>
          <w:sz w:val="20"/>
          <w:szCs w:val="20"/>
          <w:color w:val="auto"/>
        </w:rPr>
      </w:pPr>
      <w:r>
        <w:rPr>
          <w:rFonts w:ascii="Arial" w:cs="Arial" w:eastAsia="Arial" w:hAnsi="Arial"/>
          <w:sz w:val="18"/>
          <w:szCs w:val="18"/>
          <w:color w:val="auto"/>
        </w:rPr>
        <w:t>August 5, 2024</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34925</wp:posOffset>
            </wp:positionV>
            <wp:extent cx="26746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3"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Michael R. Walsh</w:t>
      </w:r>
    </w:p>
    <w:p>
      <w:pPr>
        <w:spacing w:after="0" w:line="8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Chief Accounting Officer</w:t>
      </w:r>
    </w:p>
    <w:p>
      <w:pPr>
        <w:spacing w:after="0" w:line="2"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83" w:right="7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4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2740" w:type="dxa"/>
            <w:vAlign w:val="bottom"/>
          </w:tcPr>
          <w:p>
            <w:pPr>
              <w:spacing w:after="0"/>
              <w:rPr>
                <w:sz w:val="20"/>
                <w:szCs w:val="20"/>
                <w:color w:val="auto"/>
              </w:rPr>
            </w:pPr>
          </w:p>
        </w:tc>
        <w:tc>
          <w:tcPr>
            <w:tcW w:w="6240" w:type="dxa"/>
            <w:vAlign w:val="bottom"/>
            <w:gridSpan w:val="2"/>
          </w:tcPr>
          <w:p>
            <w:pPr>
              <w:ind w:left="1540"/>
              <w:spacing w:after="0"/>
              <w:rPr>
                <w:sz w:val="20"/>
                <w:szCs w:val="20"/>
                <w:color w:val="auto"/>
              </w:rPr>
            </w:pPr>
            <w:r>
              <w:rPr>
                <w:rFonts w:ascii="Arial" w:cs="Arial" w:eastAsia="Arial" w:hAnsi="Arial"/>
                <w:sz w:val="18"/>
                <w:szCs w:val="18"/>
                <w:color w:val="auto"/>
              </w:rPr>
              <w:t>BOSTON PROPERTIES LIMITED PARTNERSHIP</w:t>
            </w:r>
          </w:p>
        </w:tc>
      </w:tr>
      <w:tr>
        <w:trPr>
          <w:trHeight w:val="270"/>
        </w:trPr>
        <w:tc>
          <w:tcPr>
            <w:tcW w:w="2740" w:type="dxa"/>
            <w:vAlign w:val="bottom"/>
          </w:tcPr>
          <w:p>
            <w:pPr>
              <w:spacing w:after="0"/>
              <w:rPr>
                <w:sz w:val="23"/>
                <w:szCs w:val="23"/>
                <w:color w:val="auto"/>
              </w:rPr>
            </w:pPr>
          </w:p>
        </w:tc>
        <w:tc>
          <w:tcPr>
            <w:tcW w:w="6240" w:type="dxa"/>
            <w:vAlign w:val="bottom"/>
            <w:gridSpan w:val="2"/>
          </w:tcPr>
          <w:p>
            <w:pPr>
              <w:ind w:left="1540"/>
              <w:spacing w:after="0"/>
              <w:rPr>
                <w:sz w:val="20"/>
                <w:szCs w:val="20"/>
                <w:color w:val="auto"/>
              </w:rPr>
            </w:pPr>
            <w:r>
              <w:rPr>
                <w:rFonts w:ascii="Arial" w:cs="Arial" w:eastAsia="Arial" w:hAnsi="Arial"/>
                <w:sz w:val="18"/>
                <w:szCs w:val="18"/>
                <w:color w:val="auto"/>
              </w:rPr>
              <w:t>By: BXP, Inc., its General Partner</w:t>
            </w:r>
          </w:p>
        </w:tc>
      </w:tr>
      <w:tr>
        <w:trPr>
          <w:trHeight w:val="536"/>
        </w:trPr>
        <w:tc>
          <w:tcPr>
            <w:tcW w:w="2740" w:type="dxa"/>
            <w:vAlign w:val="bottom"/>
          </w:tcPr>
          <w:p>
            <w:pPr>
              <w:spacing w:after="0"/>
              <w:rPr>
                <w:sz w:val="20"/>
                <w:szCs w:val="20"/>
                <w:color w:val="auto"/>
              </w:rPr>
            </w:pPr>
            <w:r>
              <w:rPr>
                <w:rFonts w:ascii="Arial" w:cs="Arial" w:eastAsia="Arial" w:hAnsi="Arial"/>
                <w:sz w:val="18"/>
                <w:szCs w:val="18"/>
                <w:color w:val="auto"/>
              </w:rPr>
              <w:t>August 5, 2024</w:t>
            </w:r>
          </w:p>
        </w:tc>
        <w:tc>
          <w:tcPr>
            <w:tcW w:w="2020" w:type="dxa"/>
            <w:vAlign w:val="bottom"/>
          </w:tcPr>
          <w:p>
            <w:pPr>
              <w:spacing w:after="0"/>
              <w:rPr>
                <w:sz w:val="24"/>
                <w:szCs w:val="24"/>
                <w:color w:val="auto"/>
              </w:rPr>
            </w:pPr>
          </w:p>
        </w:tc>
        <w:tc>
          <w:tcPr>
            <w:tcW w:w="4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tc>
      </w:tr>
      <w:tr>
        <w:trPr>
          <w:trHeight w:val="234"/>
        </w:trPr>
        <w:tc>
          <w:tcPr>
            <w:tcW w:w="2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Michael R. Walsh</w:t>
            </w:r>
          </w:p>
        </w:tc>
      </w:tr>
      <w:tr>
        <w:trPr>
          <w:trHeight w:val="155"/>
        </w:trPr>
        <w:tc>
          <w:tcPr>
            <w:tcW w:w="2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2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Chief Accounting Officer</w:t>
            </w:r>
          </w:p>
        </w:tc>
      </w:tr>
      <w:tr>
        <w:trPr>
          <w:trHeight w:val="196"/>
        </w:trPr>
        <w:tc>
          <w:tcPr>
            <w:tcW w:w="2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rPr>
              <w:t>(duly authorized officer and principal accounting officer)</w:t>
            </w:r>
          </w:p>
        </w:tc>
      </w:tr>
      <w:tr>
        <w:trPr>
          <w:trHeight w:val="857"/>
        </w:trPr>
        <w:tc>
          <w:tcPr>
            <w:tcW w:w="2740" w:type="dxa"/>
            <w:vAlign w:val="bottom"/>
          </w:tcPr>
          <w:p>
            <w:pPr>
              <w:spacing w:after="0"/>
              <w:rPr>
                <w:sz w:val="24"/>
                <w:szCs w:val="24"/>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4220" w:type="dxa"/>
            <w:vAlign w:val="bottom"/>
          </w:tcPr>
          <w:p>
            <w:pPr>
              <w:spacing w:after="0"/>
              <w:rPr>
                <w:sz w:val="24"/>
                <w:szCs w:val="24"/>
                <w:color w:val="auto"/>
              </w:rPr>
            </w:pPr>
          </w:p>
        </w:tc>
      </w:tr>
    </w:tbl>
    <w:p>
      <w:pPr>
        <w:sectPr>
          <w:pgSz w:w="11900" w:h="16838" w:orient="portrait"/>
          <w:cols w:equalWidth="0" w:num="1">
            <w:col w:w="10860"/>
          </w:cols>
          <w:pgMar w:left="320" w:top="283" w:right="7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BXP,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33"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BXP, Inc.;</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52"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90" w:lineRule="exact"/>
        <w:rPr>
          <w:sz w:val="20"/>
          <w:szCs w:val="20"/>
          <w:color w:val="auto"/>
        </w:rPr>
      </w:pPr>
    </w:p>
    <w:p>
      <w:pPr>
        <w:ind w:left="400" w:hanging="352"/>
        <w:spacing w:after="0"/>
        <w:tabs>
          <w:tab w:leader="none" w:pos="4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11" w:lineRule="auto"/>
        <w:rPr>
          <w:sz w:val="20"/>
          <w:szCs w:val="20"/>
          <w:color w:val="auto"/>
        </w:rPr>
      </w:pPr>
      <w:r>
        <w:rPr>
          <w:rFonts w:ascii="Arial" w:cs="Arial" w:eastAsia="Arial" w:hAnsi="Arial"/>
          <w:sz w:val="16"/>
          <w:szCs w:val="16"/>
          <w:b w:val="1"/>
          <w:bCs w:val="1"/>
          <w:color w:val="auto"/>
        </w:rPr>
        <w:t>Chief Executive Officer of BXP,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90" w:lineRule="exact"/>
        <w:rPr>
          <w:sz w:val="20"/>
          <w:szCs w:val="20"/>
          <w:color w:val="auto"/>
        </w:rPr>
      </w:pPr>
    </w:p>
    <w:p>
      <w:pPr>
        <w:ind w:left="400" w:hanging="352"/>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90" w:lineRule="exact"/>
        <w:rPr>
          <w:rFonts w:ascii="Arial" w:cs="Arial" w:eastAsia="Arial" w:hAnsi="Arial"/>
          <w:sz w:val="18"/>
          <w:szCs w:val="18"/>
          <w:color w:val="auto"/>
        </w:rPr>
      </w:pPr>
    </w:p>
    <w:p>
      <w:pPr>
        <w:ind w:left="460" w:hanging="412"/>
        <w:spacing w:after="0" w:line="268" w:lineRule="auto"/>
        <w:tabs>
          <w:tab w:leader="none" w:pos="4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460" w:right="40" w:hanging="412"/>
        <w:spacing w:after="0" w:line="314" w:lineRule="auto"/>
        <w:tabs>
          <w:tab w:leader="none" w:pos="405"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460" w:right="20" w:hanging="412"/>
        <w:spacing w:after="0" w:line="276" w:lineRule="auto"/>
        <w:tabs>
          <w:tab w:leader="none" w:pos="40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2" w:lineRule="exact"/>
        <w:rPr>
          <w:rFonts w:ascii="Arial" w:cs="Arial" w:eastAsia="Arial" w:hAnsi="Arial"/>
          <w:sz w:val="17"/>
          <w:szCs w:val="17"/>
          <w:color w:val="auto"/>
        </w:rPr>
      </w:pPr>
    </w:p>
    <w:p>
      <w:pPr>
        <w:jc w:val="both"/>
        <w:ind w:left="860" w:right="100" w:hanging="407"/>
        <w:spacing w:after="0" w:line="268" w:lineRule="auto"/>
        <w:tabs>
          <w:tab w:leader="none" w:pos="8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860" w:right="420" w:hanging="407"/>
        <w:spacing w:after="0" w:line="268" w:lineRule="auto"/>
        <w:tabs>
          <w:tab w:leader="none" w:pos="8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860" w:hanging="407"/>
        <w:spacing w:after="0" w:line="268" w:lineRule="auto"/>
        <w:tabs>
          <w:tab w:leader="none" w:pos="865"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860" w:right="180" w:hanging="407"/>
        <w:spacing w:after="0" w:line="268" w:lineRule="auto"/>
        <w:tabs>
          <w:tab w:leader="none" w:pos="875"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Arial" w:cs="Arial" w:eastAsia="Arial" w:hAnsi="Arial"/>
          <w:sz w:val="18"/>
          <w:szCs w:val="18"/>
          <w:color w:val="auto"/>
        </w:rPr>
      </w:pPr>
    </w:p>
    <w:p>
      <w:pPr>
        <w:ind w:left="460" w:right="20" w:hanging="412"/>
        <w:spacing w:after="0" w:line="268" w:lineRule="auto"/>
        <w:tabs>
          <w:tab w:leader="none" w:pos="4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860" w:right="60" w:hanging="407"/>
        <w:spacing w:after="0" w:line="287" w:lineRule="auto"/>
        <w:tabs>
          <w:tab w:leader="none" w:pos="86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860" w:right="300" w:hanging="407"/>
        <w:spacing w:after="0" w:line="287" w:lineRule="auto"/>
        <w:tabs>
          <w:tab w:leader="none" w:pos="86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760"/>
        <w:spacing w:after="0"/>
        <w:tabs>
          <w:tab w:leader="none" w:pos="812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5" w:lineRule="exact"/>
        <w:rPr>
          <w:sz w:val="20"/>
          <w:szCs w:val="20"/>
          <w:color w:val="auto"/>
        </w:rPr>
      </w:pPr>
    </w:p>
    <w:p>
      <w:pPr>
        <w:jc w:val="center"/>
        <w:ind w:left="6160"/>
        <w:spacing w:after="0"/>
        <w:rPr>
          <w:sz w:val="20"/>
          <w:szCs w:val="20"/>
          <w:color w:val="auto"/>
        </w:rPr>
      </w:pPr>
      <w:r>
        <w:rPr>
          <w:rFonts w:ascii="Arial" w:cs="Arial" w:eastAsia="Arial" w:hAnsi="Arial"/>
          <w:sz w:val="16"/>
          <w:szCs w:val="16"/>
          <w:b w:val="1"/>
          <w:bCs w:val="1"/>
          <w:color w:val="auto"/>
        </w:rPr>
        <w:t>Michael E. LaBelle</w:t>
      </w:r>
    </w:p>
    <w:p>
      <w:pPr>
        <w:jc w:val="center"/>
        <w:ind w:left="6160"/>
        <w:spacing w:after="0" w:line="211" w:lineRule="auto"/>
        <w:rPr>
          <w:sz w:val="20"/>
          <w:szCs w:val="20"/>
          <w:color w:val="auto"/>
        </w:rPr>
      </w:pPr>
      <w:r>
        <w:rPr>
          <w:rFonts w:ascii="Arial" w:cs="Arial" w:eastAsia="Arial" w:hAnsi="Arial"/>
          <w:sz w:val="16"/>
          <w:szCs w:val="16"/>
          <w:b w:val="1"/>
          <w:bCs w:val="1"/>
          <w:color w:val="auto"/>
        </w:rPr>
        <w:t>Chief Financial Officer of BXP, Inc.</w:t>
      </w:r>
    </w:p>
    <w:p>
      <w:pPr>
        <w:jc w:val="center"/>
        <w:ind w:left="616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33"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undersigned officer of BXP, Inc. (the “Company”) hereby certifies to his knowledge that the Company’s Quarterly Report on Form 10-Q for the period ended June 30,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376"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undersigned officer of BXP, Inc. (the “Company”) hereby certifies to his knowledge that the Company's Quarterly Report on Form 10-Q for the period ended June 30,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980"/>
        <w:spacing w:after="0"/>
        <w:tabs>
          <w:tab w:leader="none" w:pos="834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0"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376"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undersigned officer of BXP, Inc., the sole general partner of Boston Properties Limited Partnership (the “Operating Partnership”), hereby certifies to his knowledge that the Operating Partnership's Quarterly Report on Form 10-Q for the period ended June 30,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40"/>
        <w:spacing w:after="0"/>
        <w:tabs>
          <w:tab w:leader="none" w:pos="802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10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11" w:lineRule="auto"/>
        <w:rPr>
          <w:sz w:val="20"/>
          <w:szCs w:val="20"/>
          <w:color w:val="auto"/>
        </w:rPr>
      </w:pPr>
      <w:r>
        <w:rPr>
          <w:rFonts w:ascii="Arial" w:cs="Arial" w:eastAsia="Arial" w:hAnsi="Arial"/>
          <w:sz w:val="16"/>
          <w:szCs w:val="16"/>
          <w:b w:val="1"/>
          <w:bCs w:val="1"/>
          <w:color w:val="auto"/>
        </w:rPr>
        <w:t>Chief Executive Officer of BXP,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322"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undersigned officer of BXP, Inc., the sole general partner of Boston Properties Limited Partnership (the “Operating Partnership”), hereby certifies to his knowledge that the Operating Partnership’s Quarterly Report on Form 10-Q for the period ended June 30, 2024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0"/>
        <w:spacing w:after="0"/>
        <w:tabs>
          <w:tab w:leader="none" w:pos="796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17780</wp:posOffset>
            </wp:positionV>
            <wp:extent cx="32575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5"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100"/>
        <w:spacing w:after="0" w:line="211" w:lineRule="auto"/>
        <w:rPr>
          <w:sz w:val="20"/>
          <w:szCs w:val="20"/>
          <w:color w:val="auto"/>
        </w:rPr>
      </w:pPr>
      <w:r>
        <w:rPr>
          <w:rFonts w:ascii="Arial" w:cs="Arial" w:eastAsia="Arial" w:hAnsi="Arial"/>
          <w:sz w:val="16"/>
          <w:szCs w:val="16"/>
          <w:b w:val="1"/>
          <w:bCs w:val="1"/>
          <w:color w:val="auto"/>
        </w:rPr>
        <w:t>Chief Financial Officer of BXP, Inc.</w:t>
      </w:r>
    </w:p>
    <w:p>
      <w:pPr>
        <w:jc w:val="center"/>
        <w:ind w:left="610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3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lvl w:ilvl="1">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1."/>
      <w:numFmt w:val="decimal"/>
      <w:start w:val="4"/>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1)"/>
      <w:numFmt w:val="decimal"/>
      <w:start w:val="3"/>
    </w:lvl>
  </w:abstractNum>
  <w:abstractNum w:abstractNumId="14">
    <w:nsid w:val="32FFF902"/>
    <w:multiLevelType w:val="hybridMultilevel"/>
    <w:lvl w:ilvl="0">
      <w:lvlJc w:val="left"/>
      <w:lvlText w:val="(%1)"/>
      <w:numFmt w:val="decimal"/>
      <w:start w:val="1"/>
    </w:lvl>
  </w:abstractNum>
  <w:abstractNum w:abstractNumId="15">
    <w:nsid w:val="684A481A"/>
    <w:multiLevelType w:val="hybridMultilevel"/>
    <w:lvl w:ilvl="0">
      <w:lvlJc w:val="left"/>
      <w:lvlText w:val="(%1)"/>
      <w:numFmt w:val="decimal"/>
      <w:start w:val="5"/>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6"/>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1"/>
    </w:lvl>
  </w:abstractNum>
  <w:abstractNum w:abstractNumId="20">
    <w:nsid w:val="79A1DEAA"/>
    <w:multiLevelType w:val="hybridMultilevel"/>
    <w:lvl w:ilvl="0">
      <w:lvlJc w:val="left"/>
      <w:lvlText w:val="%1."/>
      <w:numFmt w:val="decimal"/>
      <w:start w:val="8"/>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lvl w:ilvl="1">
      <w:lvlJc w:val="left"/>
      <w:lvlText w:val="(%2)"/>
      <w:numFmt w:val="decimal"/>
      <w:start w:val="1"/>
    </w:lvl>
  </w:abstractNum>
  <w:abstractNum w:abstractNumId="26">
    <w:nsid w:val="4F4EF005"/>
    <w:multiLevelType w:val="hybridMultilevel"/>
    <w:lvl w:ilvl="0">
      <w:lvlJc w:val="left"/>
      <w:lvlText w:val="%1."/>
      <w:numFmt w:val="decimal"/>
      <w:start w:val="12"/>
    </w:lvl>
    <w:lvl w:ilvl="1">
      <w:lvlJc w:val="left"/>
      <w:lvlText w:val="%2"/>
      <w:numFmt w:val="decimal"/>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8"/>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10"/>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decimal"/>
      <w:start w:val="4"/>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1"/>
    </w:lvl>
    <w:lvl w:ilvl="1">
      <w:lvlJc w:val="left"/>
      <w:lvlText w:val="(%2)"/>
      <w:numFmt w:val="lowerRoman"/>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5"/>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3"/>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decimal"/>
      <w:start w:val="104"/>
    </w:lvl>
    <w:lvl w:ilvl="1">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57" Type="http://schemas.openxmlformats.org/officeDocument/2006/relationships/hyperlink" Target="https://www.sec.gov/Archives/edgar/data/1037540/0000950109-97-004276.txt" TargetMode="External"/><Relationship Id="rId158" Type="http://schemas.openxmlformats.org/officeDocument/2006/relationships/hyperlink" Target="https://www.sec.gov/Archives/edgar/data/1037540/000119312507137703/dex31.htm" TargetMode="External"/><Relationship Id="rId159" Type="http://schemas.openxmlformats.org/officeDocument/2006/relationships/hyperlink" Target="https://www.sec.gov/Archives/edgar/data/1037540/000119312510124945/dex31.htm" TargetMode="External"/><Relationship Id="rId160" Type="http://schemas.openxmlformats.org/officeDocument/2006/relationships/hyperlink" Target="https://www.sec.gov/Archives/edgar/data/1037540/000119312513122026/d508283dex33.htm" TargetMode="External"/><Relationship Id="rId161" Type="http://schemas.openxmlformats.org/officeDocument/2006/relationships/hyperlink" Target="https://www.sec.gov/Archives/edgar/data/1037540/000165642324000036/exhibit31tonamechangechart.htm" TargetMode="External"/><Relationship Id="rId162" Type="http://schemas.openxmlformats.org/officeDocument/2006/relationships/hyperlink" Target="https://www.sec.gov/Archives/edgar/data/1037540/000165642324000040/arby-laws72024clean.htm" TargetMode="External"/><Relationship Id="rId163" Type="http://schemas.openxmlformats.org/officeDocument/2006/relationships/hyperlink" Target="https://www.sec.gov/Archives/edgar/data/1037540/000165642324000036/exhibit101tonamechangelpaa.htm" TargetMode="External"/><Relationship Id="rId164" Type="http://schemas.openxmlformats.org/officeDocument/2006/relationships/hyperlink" Target="https://www.sec.gov/Archives/edgar/data/1037540/000165642324000030/bxp1999espp-fourth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2024-08-05T16:20:36Z</dcterms:created>
  <dcterms:modified xsi:type="dcterms:W3CDTF">2024-08-05T16:20:36Z</dcterms:modified>
</cp:coreProperties>
</file>