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1999496.xml.htm"/>
      <w:bookmarkStart w:id="1" w:name="kswkform4_17119994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Einiger Carol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BOSTON PROPERTIES,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BOYLSTON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BOSTON PROPERTIES INC</w:t>
              </w:r>
            </w:hyperlink>
            <w:r>
              <w:rPr/>
              <w:t xml:space="preserve"> [ </w:t>
            </w:r>
            <w:r>
              <w:rPr>
                <w:rFonts w:ascii="Times;serif" w:hAnsi="Times;serif"/>
                <w:color w:val="0000FF"/>
                <w:sz w:val="24"/>
                <w:shd w:fill="FFFFFF" w:val="clear"/>
              </w:rPr>
              <w:t>BXP</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7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102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421.07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65.31</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29,200.04</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convert to Boston Properties, Inc.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are awarded under the Boston Properties, Inc. ("BXP")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397.34 Phantom Stock Units received pursuant to dividend equivalent rights which were credited to the Reporting Person on January 30,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A. DiLuglio,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89668" TargetMode="External"/><Relationship Id="rId4" Type="http://schemas.openxmlformats.org/officeDocument/2006/relationships/hyperlink" Target="http://www.sec.gov/cgi-bin/browse-edgar?action=getcompany&amp;CIK=000103754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768</Words>
  <Characters>4142</Characters>
  <CharactersWithSpaces>4845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