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418465</wp:posOffset>
            </wp:positionV>
            <wp:extent cx="7140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386080</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2249805</wp:posOffset>
            </wp:positionH>
            <wp:positionV relativeFrom="paragraph">
              <wp:posOffset>140335</wp:posOffset>
            </wp:positionV>
            <wp:extent cx="26435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3505" cy="8255"/>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2249805</wp:posOffset>
            </wp:positionH>
            <wp:positionV relativeFrom="paragraph">
              <wp:posOffset>97790</wp:posOffset>
            </wp:positionV>
            <wp:extent cx="26435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3505" cy="8255"/>
                    </a:xfrm>
                    <a:prstGeom prst="rect">
                      <a:avLst/>
                    </a:prstGeom>
                    <a:noFill/>
                  </pic:spPr>
                </pic:pic>
              </a:graphicData>
            </a:graphic>
          </wp:anchor>
        </w:drawing>
      </w:r>
    </w:p>
    <w:p>
      <w:pPr>
        <w:spacing w:after="0" w:line="299" w:lineRule="exact"/>
        <w:rPr>
          <w:sz w:val="24"/>
          <w:szCs w:val="24"/>
          <w:color w:val="auto"/>
        </w:rPr>
      </w:pPr>
    </w:p>
    <w:p>
      <w:pPr>
        <w:ind w:left="720" w:hanging="702"/>
        <w:spacing w:after="0"/>
        <w:tabs>
          <w:tab w:leader="none" w:pos="720" w:val="left"/>
        </w:tabs>
        <w:numPr>
          <w:ilvl w:val="0"/>
          <w:numId w:val="1"/>
        </w:numPr>
        <w:rPr>
          <w:rFonts w:ascii="MS PGothic" w:cs="MS PGothic" w:eastAsia="MS PGothic" w:hAnsi="MS PGothic"/>
          <w:sz w:val="17"/>
          <w:szCs w:val="17"/>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Quarterly Period Ended September 30, 2022</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118" w:lineRule="exact"/>
        <w:rPr>
          <w:sz w:val="24"/>
          <w:szCs w:val="24"/>
          <w:color w:val="auto"/>
        </w:rPr>
      </w:pPr>
    </w:p>
    <w:p>
      <w:pPr>
        <w:ind w:left="720" w:hanging="702"/>
        <w:spacing w:after="0"/>
        <w:tabs>
          <w:tab w:leader="none" w:pos="72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94" w:lineRule="exact"/>
        <w:rPr>
          <w:sz w:val="24"/>
          <w:szCs w:val="24"/>
          <w:color w:val="auto"/>
        </w:rPr>
      </w:pPr>
    </w:p>
    <w:p>
      <w:pPr>
        <w:ind w:left="3940"/>
        <w:spacing w:after="0"/>
        <w:tabs>
          <w:tab w:leader="none" w:pos="660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1-13087 (Boston Properties,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0-50209 (Boston Properties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2249805</wp:posOffset>
            </wp:positionH>
            <wp:positionV relativeFrom="paragraph">
              <wp:posOffset>130810</wp:posOffset>
            </wp:positionV>
            <wp:extent cx="26435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3505"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Arial" w:cs="Arial" w:eastAsia="Arial" w:hAnsi="Arial"/>
          <w:sz w:val="37"/>
          <w:szCs w:val="37"/>
          <w:b w:val="1"/>
          <w:bCs w:val="1"/>
          <w:color w:val="auto"/>
        </w:rPr>
        <w:t>BOSTON PROPERTIES, INC.</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37"/>
          <w:szCs w:val="37"/>
          <w:b w:val="1"/>
          <w:bCs w:val="1"/>
          <w:color w:val="auto"/>
        </w:rPr>
        <w:t>BOSTON PROPERTIES LIMITED PARTNERSHIP</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2249805</wp:posOffset>
            </wp:positionH>
            <wp:positionV relativeFrom="paragraph">
              <wp:posOffset>107950</wp:posOffset>
            </wp:positionV>
            <wp:extent cx="2643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3505" cy="8255"/>
                    </a:xfrm>
                    <a:prstGeom prst="rect">
                      <a:avLst/>
                    </a:prstGeom>
                    <a:noFill/>
                  </pic:spPr>
                </pic:pic>
              </a:graphicData>
            </a:graphic>
          </wp:anchor>
        </w:drawing>
      </w:r>
    </w:p>
    <w:p>
      <w:pPr>
        <w:spacing w:after="0" w:line="391" w:lineRule="exact"/>
        <w:rPr>
          <w:sz w:val="24"/>
          <w:szCs w:val="24"/>
          <w:color w:val="auto"/>
        </w:rPr>
      </w:pPr>
    </w:p>
    <w:tbl>
      <w:tblPr>
        <w:tblLayout w:type="fixed"/>
        <w:tblInd w:w="460" w:type="dxa"/>
        <w:tblCellMar>
          <w:top w:w="0" w:type="dxa"/>
          <w:left w:w="0" w:type="dxa"/>
          <w:bottom w:w="0" w:type="dxa"/>
          <w:right w:w="0" w:type="dxa"/>
        </w:tblCellMar>
      </w:tblPr>
      <w:tr>
        <w:trPr>
          <w:trHeight w:val="203"/>
        </w:trPr>
        <w:tc>
          <w:tcPr>
            <w:tcW w:w="3200" w:type="dxa"/>
            <w:vAlign w:val="bottom"/>
          </w:tcPr>
          <w:p>
            <w:pPr>
              <w:jc w:val="center"/>
              <w:ind w:right="344"/>
              <w:spacing w:after="0"/>
              <w:rPr>
                <w:sz w:val="20"/>
                <w:szCs w:val="20"/>
                <w:color w:val="auto"/>
              </w:rPr>
            </w:pPr>
            <w:r>
              <w:rPr>
                <w:rFonts w:ascii="Arial" w:cs="Arial" w:eastAsia="Arial" w:hAnsi="Arial"/>
                <w:sz w:val="15"/>
                <w:szCs w:val="15"/>
                <w:b w:val="1"/>
                <w:bCs w:val="1"/>
                <w:color w:val="auto"/>
              </w:rPr>
              <w:t>Boston Properties, Inc.</w:t>
            </w:r>
          </w:p>
        </w:tc>
        <w:tc>
          <w:tcPr>
            <w:tcW w:w="4600" w:type="dxa"/>
            <w:vAlign w:val="bottom"/>
          </w:tcPr>
          <w:p>
            <w:pPr>
              <w:jc w:val="center"/>
              <w:ind w:left="84"/>
              <w:spacing w:after="0"/>
              <w:rPr>
                <w:sz w:val="20"/>
                <w:szCs w:val="20"/>
                <w:color w:val="auto"/>
              </w:rPr>
            </w:pPr>
            <w:r>
              <w:rPr>
                <w:rFonts w:ascii="Arial" w:cs="Arial" w:eastAsia="Arial" w:hAnsi="Arial"/>
                <w:sz w:val="15"/>
                <w:szCs w:val="15"/>
                <w:b w:val="1"/>
                <w:bCs w:val="1"/>
                <w:color w:val="auto"/>
              </w:rPr>
              <w:t>Delaware</w:t>
            </w:r>
          </w:p>
        </w:tc>
        <w:tc>
          <w:tcPr>
            <w:tcW w:w="2880" w:type="dxa"/>
            <w:vAlign w:val="bottom"/>
          </w:tcPr>
          <w:p>
            <w:pPr>
              <w:jc w:val="center"/>
              <w:ind w:left="164"/>
              <w:spacing w:after="0"/>
              <w:rPr>
                <w:sz w:val="20"/>
                <w:szCs w:val="20"/>
                <w:color w:val="auto"/>
              </w:rPr>
            </w:pPr>
            <w:r>
              <w:rPr>
                <w:rFonts w:ascii="Arial" w:cs="Arial" w:eastAsia="Arial" w:hAnsi="Arial"/>
                <w:sz w:val="15"/>
                <w:szCs w:val="15"/>
                <w:b w:val="1"/>
                <w:bCs w:val="1"/>
                <w:color w:val="auto"/>
                <w:w w:val="99"/>
              </w:rPr>
              <w:t>04-2473675</w:t>
            </w:r>
          </w:p>
        </w:tc>
      </w:tr>
      <w:tr>
        <w:trPr>
          <w:trHeight w:val="200"/>
        </w:trPr>
        <w:tc>
          <w:tcPr>
            <w:tcW w:w="3200" w:type="dxa"/>
            <w:vAlign w:val="bottom"/>
          </w:tcPr>
          <w:p>
            <w:pPr>
              <w:spacing w:after="0"/>
              <w:rPr>
                <w:sz w:val="17"/>
                <w:szCs w:val="17"/>
                <w:color w:val="auto"/>
              </w:rPr>
            </w:pPr>
          </w:p>
        </w:tc>
        <w:tc>
          <w:tcPr>
            <w:tcW w:w="4600" w:type="dxa"/>
            <w:vAlign w:val="bottom"/>
          </w:tcPr>
          <w:p>
            <w:pPr>
              <w:jc w:val="center"/>
              <w:ind w:left="84"/>
              <w:spacing w:after="0"/>
              <w:rPr>
                <w:sz w:val="20"/>
                <w:szCs w:val="20"/>
                <w:color w:val="auto"/>
              </w:rPr>
            </w:pPr>
            <w:r>
              <w:rPr>
                <w:rFonts w:ascii="Arial" w:cs="Arial" w:eastAsia="Arial" w:hAnsi="Arial"/>
                <w:sz w:val="15"/>
                <w:szCs w:val="15"/>
                <w:color w:val="auto"/>
              </w:rPr>
              <w:t>(State or other jurisdiction of incorporation or organization)</w:t>
            </w:r>
          </w:p>
        </w:tc>
        <w:tc>
          <w:tcPr>
            <w:tcW w:w="2880" w:type="dxa"/>
            <w:vAlign w:val="bottom"/>
          </w:tcPr>
          <w:p>
            <w:pPr>
              <w:jc w:val="center"/>
              <w:ind w:left="164"/>
              <w:spacing w:after="0"/>
              <w:rPr>
                <w:sz w:val="20"/>
                <w:szCs w:val="20"/>
                <w:color w:val="auto"/>
              </w:rPr>
            </w:pPr>
            <w:r>
              <w:rPr>
                <w:rFonts w:ascii="Arial" w:cs="Arial" w:eastAsia="Arial" w:hAnsi="Arial"/>
                <w:sz w:val="15"/>
                <w:szCs w:val="15"/>
                <w:color w:val="auto"/>
              </w:rPr>
              <w:t>(I.R.S. Employer Identification Number)</w:t>
            </w:r>
          </w:p>
        </w:tc>
      </w:tr>
      <w:tr>
        <w:trPr>
          <w:trHeight w:val="295"/>
        </w:trPr>
        <w:tc>
          <w:tcPr>
            <w:tcW w:w="3200" w:type="dxa"/>
            <w:vAlign w:val="bottom"/>
          </w:tcPr>
          <w:p>
            <w:pPr>
              <w:jc w:val="center"/>
              <w:ind w:right="344"/>
              <w:spacing w:after="0"/>
              <w:rPr>
                <w:sz w:val="20"/>
                <w:szCs w:val="20"/>
                <w:color w:val="auto"/>
              </w:rPr>
            </w:pPr>
            <w:r>
              <w:rPr>
                <w:rFonts w:ascii="Arial" w:cs="Arial" w:eastAsia="Arial" w:hAnsi="Arial"/>
                <w:sz w:val="15"/>
                <w:szCs w:val="15"/>
                <w:b w:val="1"/>
                <w:bCs w:val="1"/>
                <w:color w:val="auto"/>
              </w:rPr>
              <w:t>Boston Properties Limited Partnership</w:t>
            </w:r>
          </w:p>
        </w:tc>
        <w:tc>
          <w:tcPr>
            <w:tcW w:w="4600" w:type="dxa"/>
            <w:vAlign w:val="bottom"/>
          </w:tcPr>
          <w:p>
            <w:pPr>
              <w:jc w:val="center"/>
              <w:ind w:left="84"/>
              <w:spacing w:after="0"/>
              <w:rPr>
                <w:sz w:val="20"/>
                <w:szCs w:val="20"/>
                <w:color w:val="auto"/>
              </w:rPr>
            </w:pPr>
            <w:r>
              <w:rPr>
                <w:rFonts w:ascii="Arial" w:cs="Arial" w:eastAsia="Arial" w:hAnsi="Arial"/>
                <w:sz w:val="15"/>
                <w:szCs w:val="15"/>
                <w:b w:val="1"/>
                <w:bCs w:val="1"/>
                <w:color w:val="auto"/>
              </w:rPr>
              <w:t>Delaware</w:t>
            </w:r>
          </w:p>
        </w:tc>
        <w:tc>
          <w:tcPr>
            <w:tcW w:w="2880" w:type="dxa"/>
            <w:vAlign w:val="bottom"/>
          </w:tcPr>
          <w:p>
            <w:pPr>
              <w:jc w:val="center"/>
              <w:ind w:left="164"/>
              <w:spacing w:after="0"/>
              <w:rPr>
                <w:sz w:val="20"/>
                <w:szCs w:val="20"/>
                <w:color w:val="auto"/>
              </w:rPr>
            </w:pPr>
            <w:r>
              <w:rPr>
                <w:rFonts w:ascii="Arial" w:cs="Arial" w:eastAsia="Arial" w:hAnsi="Arial"/>
                <w:sz w:val="15"/>
                <w:szCs w:val="15"/>
                <w:b w:val="1"/>
                <w:bCs w:val="1"/>
                <w:color w:val="auto"/>
                <w:w w:val="99"/>
              </w:rPr>
              <w:t>04-3372948</w:t>
            </w:r>
          </w:p>
        </w:tc>
      </w:tr>
      <w:tr>
        <w:trPr>
          <w:trHeight w:val="200"/>
        </w:trPr>
        <w:tc>
          <w:tcPr>
            <w:tcW w:w="3200" w:type="dxa"/>
            <w:vAlign w:val="bottom"/>
          </w:tcPr>
          <w:p>
            <w:pPr>
              <w:spacing w:after="0"/>
              <w:rPr>
                <w:sz w:val="17"/>
                <w:szCs w:val="17"/>
                <w:color w:val="auto"/>
              </w:rPr>
            </w:pPr>
          </w:p>
        </w:tc>
        <w:tc>
          <w:tcPr>
            <w:tcW w:w="4600" w:type="dxa"/>
            <w:vAlign w:val="bottom"/>
          </w:tcPr>
          <w:p>
            <w:pPr>
              <w:jc w:val="center"/>
              <w:ind w:left="84"/>
              <w:spacing w:after="0"/>
              <w:rPr>
                <w:sz w:val="20"/>
                <w:szCs w:val="20"/>
                <w:color w:val="auto"/>
              </w:rPr>
            </w:pPr>
            <w:r>
              <w:rPr>
                <w:rFonts w:ascii="Arial" w:cs="Arial" w:eastAsia="Arial" w:hAnsi="Arial"/>
                <w:sz w:val="15"/>
                <w:szCs w:val="15"/>
                <w:color w:val="auto"/>
              </w:rPr>
              <w:t>(State or other jurisdiction of incorporation or organization)</w:t>
            </w:r>
          </w:p>
        </w:tc>
        <w:tc>
          <w:tcPr>
            <w:tcW w:w="2880" w:type="dxa"/>
            <w:vAlign w:val="bottom"/>
          </w:tcPr>
          <w:p>
            <w:pPr>
              <w:jc w:val="center"/>
              <w:ind w:left="164"/>
              <w:spacing w:after="0"/>
              <w:rPr>
                <w:sz w:val="20"/>
                <w:szCs w:val="20"/>
                <w:color w:val="auto"/>
              </w:rPr>
            </w:pPr>
            <w:r>
              <w:rPr>
                <w:rFonts w:ascii="Arial" w:cs="Arial" w:eastAsia="Arial" w:hAnsi="Arial"/>
                <w:sz w:val="15"/>
                <w:szCs w:val="15"/>
                <w:color w:val="auto"/>
              </w:rPr>
              <w:t>(I.R.S. Employer Identification Number)</w:t>
            </w:r>
          </w:p>
        </w:tc>
      </w:tr>
    </w:tbl>
    <w:p>
      <w:pPr>
        <w:spacing w:after="0" w:line="24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Prudential Center, 800 Boylston Street, Suite 1900, Boston, Massachusetts 02199-8103</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(617) 236-3300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2249805</wp:posOffset>
            </wp:positionH>
            <wp:positionV relativeFrom="paragraph">
              <wp:posOffset>104775</wp:posOffset>
            </wp:positionV>
            <wp:extent cx="2643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4350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6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Registrant</w:t>
            </w:r>
          </w:p>
        </w:tc>
        <w:tc>
          <w:tcPr>
            <w:tcW w:w="160" w:type="dxa"/>
            <w:vAlign w:val="bottom"/>
            <w:vMerge w:val="restart"/>
          </w:tcPr>
          <w:p>
            <w:pPr>
              <w:spacing w:after="0"/>
              <w:rPr>
                <w:sz w:val="15"/>
                <w:szCs w:val="15"/>
                <w:color w:val="auto"/>
              </w:rPr>
            </w:pPr>
          </w:p>
        </w:tc>
        <w:tc>
          <w:tcPr>
            <w:tcW w:w="264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Title of each class</w:t>
            </w:r>
          </w:p>
        </w:tc>
        <w:tc>
          <w:tcPr>
            <w:tcW w:w="180" w:type="dxa"/>
            <w:vAlign w:val="bottom"/>
            <w:vMerge w:val="restart"/>
          </w:tcPr>
          <w:p>
            <w:pPr>
              <w:spacing w:after="0"/>
              <w:rPr>
                <w:sz w:val="15"/>
                <w:szCs w:val="15"/>
                <w:color w:val="auto"/>
              </w:rPr>
            </w:pPr>
          </w:p>
        </w:tc>
        <w:tc>
          <w:tcPr>
            <w:tcW w:w="264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Trading Symbol(s)</w:t>
            </w:r>
          </w:p>
        </w:tc>
        <w:tc>
          <w:tcPr>
            <w:tcW w:w="160" w:type="dxa"/>
            <w:vAlign w:val="bottom"/>
            <w:vMerge w:val="restart"/>
          </w:tcPr>
          <w:p>
            <w:pPr>
              <w:spacing w:after="0"/>
              <w:rPr>
                <w:sz w:val="15"/>
                <w:szCs w:val="15"/>
                <w:color w:val="auto"/>
              </w:rPr>
            </w:pPr>
          </w:p>
        </w:tc>
        <w:tc>
          <w:tcPr>
            <w:tcW w:w="2820" w:type="dxa"/>
            <w:vAlign w:val="bottom"/>
          </w:tcPr>
          <w:p>
            <w:pPr>
              <w:jc w:val="center"/>
              <w:spacing w:after="0"/>
              <w:rPr>
                <w:sz w:val="20"/>
                <w:szCs w:val="20"/>
                <w:color w:val="auto"/>
              </w:rPr>
            </w:pPr>
            <w:r>
              <w:rPr>
                <w:rFonts w:ascii="Arial" w:cs="Arial" w:eastAsia="Arial" w:hAnsi="Arial"/>
                <w:sz w:val="15"/>
                <w:szCs w:val="15"/>
                <w:b w:val="1"/>
                <w:bCs w:val="1"/>
                <w:color w:val="auto"/>
              </w:rPr>
              <w:t>Name of each</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640" w:type="dxa"/>
            <w:vAlign w:val="bottom"/>
            <w:tcBorders>
              <w:bottom w:val="single" w:sz="8" w:color="auto"/>
            </w:tcBorders>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64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exchange on which registered</w:t>
            </w:r>
          </w:p>
        </w:tc>
        <w:tc>
          <w:tcPr>
            <w:tcW w:w="0" w:type="dxa"/>
            <w:vAlign w:val="bottom"/>
          </w:tcPr>
          <w:p>
            <w:pPr>
              <w:spacing w:after="0"/>
              <w:rPr>
                <w:sz w:val="1"/>
                <w:szCs w:val="1"/>
                <w:color w:val="auto"/>
              </w:rPr>
            </w:pPr>
          </w:p>
        </w:tc>
      </w:tr>
      <w:tr>
        <w:trPr>
          <w:trHeight w:val="145"/>
        </w:trPr>
        <w:tc>
          <w:tcPr>
            <w:tcW w:w="2780" w:type="dxa"/>
            <w:vAlign w:val="bottom"/>
            <w:gridSpan w:val="2"/>
          </w:tcPr>
          <w:p>
            <w:pPr>
              <w:jc w:val="center"/>
              <w:ind w:right="160"/>
              <w:spacing w:after="0" w:line="146" w:lineRule="exact"/>
              <w:rPr>
                <w:sz w:val="20"/>
                <w:szCs w:val="20"/>
                <w:color w:val="auto"/>
              </w:rPr>
            </w:pPr>
            <w:r>
              <w:rPr>
                <w:rFonts w:ascii="Arial" w:cs="Arial" w:eastAsia="Arial" w:hAnsi="Arial"/>
                <w:sz w:val="15"/>
                <w:szCs w:val="15"/>
                <w:color w:val="auto"/>
              </w:rPr>
              <w:t>Boston Properties, Inc.</w:t>
            </w:r>
          </w:p>
        </w:tc>
        <w:tc>
          <w:tcPr>
            <w:tcW w:w="2820" w:type="dxa"/>
            <w:vAlign w:val="bottom"/>
            <w:gridSpan w:val="2"/>
          </w:tcPr>
          <w:p>
            <w:pPr>
              <w:jc w:val="center"/>
              <w:ind w:right="180"/>
              <w:spacing w:after="0" w:line="146" w:lineRule="exact"/>
              <w:rPr>
                <w:sz w:val="20"/>
                <w:szCs w:val="20"/>
                <w:color w:val="auto"/>
              </w:rPr>
            </w:pPr>
            <w:r>
              <w:rPr>
                <w:rFonts w:ascii="Arial" w:cs="Arial" w:eastAsia="Arial" w:hAnsi="Arial"/>
                <w:sz w:val="15"/>
                <w:szCs w:val="15"/>
                <w:color w:val="auto"/>
              </w:rPr>
              <w:t>Common Stock, par value $0.01 per</w:t>
            </w:r>
          </w:p>
        </w:tc>
        <w:tc>
          <w:tcPr>
            <w:tcW w:w="2800" w:type="dxa"/>
            <w:vAlign w:val="bottom"/>
            <w:gridSpan w:val="2"/>
          </w:tcPr>
          <w:p>
            <w:pPr>
              <w:jc w:val="center"/>
              <w:ind w:right="180"/>
              <w:spacing w:after="0" w:line="146" w:lineRule="exact"/>
              <w:rPr>
                <w:sz w:val="20"/>
                <w:szCs w:val="20"/>
                <w:color w:val="auto"/>
              </w:rPr>
            </w:pPr>
            <w:r>
              <w:rPr>
                <w:rFonts w:ascii="Arial" w:cs="Arial" w:eastAsia="Arial" w:hAnsi="Arial"/>
                <w:sz w:val="15"/>
                <w:szCs w:val="15"/>
                <w:color w:val="auto"/>
                <w:w w:val="99"/>
              </w:rPr>
              <w:t>BXP</w:t>
            </w:r>
          </w:p>
        </w:tc>
        <w:tc>
          <w:tcPr>
            <w:tcW w:w="2820" w:type="dxa"/>
            <w:vAlign w:val="bottom"/>
          </w:tcPr>
          <w:p>
            <w:pPr>
              <w:jc w:val="center"/>
              <w:spacing w:after="0" w:line="146" w:lineRule="exact"/>
              <w:rPr>
                <w:sz w:val="20"/>
                <w:szCs w:val="20"/>
                <w:color w:val="auto"/>
              </w:rPr>
            </w:pPr>
            <w:r>
              <w:rPr>
                <w:rFonts w:ascii="Arial" w:cs="Arial" w:eastAsia="Arial" w:hAnsi="Arial"/>
                <w:sz w:val="15"/>
                <w:szCs w:val="15"/>
                <w:color w:val="auto"/>
              </w:rPr>
              <w:t>New York Stock Exchange</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gridSpan w:val="2"/>
          </w:tcPr>
          <w:p>
            <w:pPr>
              <w:jc w:val="center"/>
              <w:ind w:right="180"/>
              <w:spacing w:after="0"/>
              <w:rPr>
                <w:sz w:val="20"/>
                <w:szCs w:val="20"/>
                <w:color w:val="auto"/>
              </w:rPr>
            </w:pPr>
            <w:r>
              <w:rPr>
                <w:rFonts w:ascii="Arial" w:cs="Arial" w:eastAsia="Arial" w:hAnsi="Arial"/>
                <w:sz w:val="15"/>
                <w:szCs w:val="15"/>
                <w:color w:val="auto"/>
              </w:rPr>
              <w:t>share</w:t>
            </w:r>
          </w:p>
        </w:tc>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4" w:lineRule="exact"/>
        <w:rPr>
          <w:sz w:val="24"/>
          <w:szCs w:val="24"/>
          <w:color w:val="auto"/>
        </w:rPr>
      </w:pPr>
    </w:p>
    <w:p>
      <w:pPr>
        <w:jc w:val="both"/>
        <w:ind w:right="220" w:firstLine="419"/>
        <w:spacing w:after="0" w:line="27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2" w:lineRule="exact"/>
        <w:rPr>
          <w:sz w:val="24"/>
          <w:szCs w:val="24"/>
          <w:color w:val="auto"/>
        </w:rPr>
      </w:pPr>
    </w:p>
    <w:p>
      <w:pPr>
        <w:ind w:left="380"/>
        <w:spacing w:after="0" w:line="184" w:lineRule="exact"/>
        <w:tabs>
          <w:tab w:leader="none" w:pos="2120" w:val="left"/>
          <w:tab w:leader="none" w:pos="2640" w:val="left"/>
          <w:tab w:leader="none" w:pos="3460" w:val="left"/>
          <w:tab w:leader="none" w:pos="6240" w:val="left"/>
          <w:tab w:leader="none" w:pos="6820" w:val="left"/>
        </w:tabs>
        <w:rPr>
          <w:sz w:val="20"/>
          <w:szCs w:val="20"/>
          <w:color w:val="auto"/>
        </w:rPr>
      </w:pPr>
      <w:r>
        <w:rPr>
          <w:rFonts w:ascii="Arial" w:cs="Arial" w:eastAsia="Arial" w:hAnsi="Arial"/>
          <w:sz w:val="15"/>
          <w:szCs w:val="15"/>
          <w:color w:val="auto"/>
        </w:rPr>
        <w:t>Boston Properties, Inc.:</w:t>
        <w:tab/>
        <w:t>Yes x</w:t>
        <w:tab/>
        <w:t xml:space="preserve">No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Boston Properties Limited Partnership:</w:t>
        <w:tab/>
        <w:t>Yes x</w:t>
        <w:tab/>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479425</wp:posOffset>
            </wp:positionV>
            <wp:extent cx="716597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720" w:firstLine="419"/>
        <w:spacing w:after="0" w:line="285"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7" w:lineRule="exact"/>
        <w:rPr>
          <w:sz w:val="20"/>
          <w:szCs w:val="20"/>
          <w:color w:val="auto"/>
        </w:rPr>
      </w:pPr>
    </w:p>
    <w:p>
      <w:pPr>
        <w:ind w:left="380"/>
        <w:spacing w:after="0" w:line="184" w:lineRule="exact"/>
        <w:tabs>
          <w:tab w:leader="none" w:pos="2120" w:val="left"/>
          <w:tab w:leader="none" w:pos="2700" w:val="left"/>
          <w:tab w:leader="none" w:pos="3500" w:val="left"/>
          <w:tab w:leader="none" w:pos="6280" w:val="left"/>
          <w:tab w:leader="none" w:pos="6860" w:val="left"/>
        </w:tabs>
        <w:rPr>
          <w:sz w:val="20"/>
          <w:szCs w:val="20"/>
          <w:color w:val="auto"/>
        </w:rPr>
      </w:pPr>
      <w:r>
        <w:rPr>
          <w:rFonts w:ascii="Arial" w:cs="Arial" w:eastAsia="Arial" w:hAnsi="Arial"/>
          <w:sz w:val="15"/>
          <w:szCs w:val="15"/>
          <w:color w:val="auto"/>
        </w:rPr>
        <w:t>Boston Properties, Inc.:</w:t>
        <w:tab/>
        <w:t>Yes x</w:t>
        <w:tab/>
        <w:t xml:space="preserve">No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Boston Properties Limited Partnership:</w:t>
        <w:tab/>
        <w:t>Yes x</w:t>
        <w:tab/>
        <w:t xml:space="preserve">No </w:t>
      </w:r>
      <w:r>
        <w:rPr>
          <w:rFonts w:ascii="MS PGothic" w:cs="MS PGothic" w:eastAsia="MS PGothic" w:hAnsi="MS PGothic"/>
          <w:sz w:val="16"/>
          <w:szCs w:val="16"/>
          <w:color w:val="auto"/>
        </w:rPr>
        <w:t>☐</w:t>
      </w:r>
    </w:p>
    <w:p>
      <w:pPr>
        <w:spacing w:after="0" w:line="204" w:lineRule="exact"/>
        <w:rPr>
          <w:sz w:val="20"/>
          <w:szCs w:val="20"/>
          <w:color w:val="auto"/>
        </w:rPr>
      </w:pPr>
    </w:p>
    <w:p>
      <w:pPr>
        <w:ind w:right="20" w:firstLine="419"/>
        <w:spacing w:after="0" w:line="27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0"/>
          <w:szCs w:val="20"/>
          <w:color w:val="auto"/>
        </w:rPr>
      </w:pPr>
    </w:p>
    <w:tbl>
      <w:tblPr>
        <w:tblLayout w:type="fixed"/>
        <w:tblInd w:w="380" w:type="dxa"/>
        <w:tblCellMar>
          <w:top w:w="0" w:type="dxa"/>
          <w:left w:w="0" w:type="dxa"/>
          <w:bottom w:w="0" w:type="dxa"/>
          <w:right w:w="0" w:type="dxa"/>
        </w:tblCellMar>
      </w:tblPr>
      <w:tr>
        <w:trPr>
          <w:trHeight w:val="190"/>
        </w:trPr>
        <w:tc>
          <w:tcPr>
            <w:tcW w:w="1580" w:type="dxa"/>
            <w:vAlign w:val="bottom"/>
          </w:tcPr>
          <w:p>
            <w:pPr>
              <w:spacing w:after="0"/>
              <w:rPr>
                <w:sz w:val="20"/>
                <w:szCs w:val="20"/>
                <w:color w:val="auto"/>
              </w:rPr>
            </w:pPr>
            <w:r>
              <w:rPr>
                <w:rFonts w:ascii="Arial" w:cs="Arial" w:eastAsia="Arial" w:hAnsi="Arial"/>
                <w:sz w:val="15"/>
                <w:szCs w:val="15"/>
                <w:color w:val="auto"/>
              </w:rPr>
              <w:t>Boston Properties, Inc.:</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vMerge w:val="restart"/>
          </w:tcPr>
          <w:p>
            <w:pPr>
              <w:ind w:left="20"/>
              <w:spacing w:after="0" w:line="171" w:lineRule="exact"/>
              <w:rPr>
                <w:sz w:val="20"/>
                <w:szCs w:val="20"/>
                <w:color w:val="auto"/>
              </w:rPr>
            </w:pPr>
            <w:r>
              <w:rPr>
                <w:rFonts w:ascii="MS PGothic" w:cs="MS PGothic" w:eastAsia="MS PGothic" w:hAnsi="MS PGothic"/>
                <w:sz w:val="17"/>
                <w:szCs w:val="17"/>
                <w:color w:val="auto"/>
              </w:rPr>
              <w:t>☐</w:t>
            </w:r>
          </w:p>
        </w:tc>
        <w:tc>
          <w:tcPr>
            <w:tcW w:w="1640" w:type="dxa"/>
            <w:vAlign w:val="bottom"/>
          </w:tcPr>
          <w:p>
            <w:pPr>
              <w:spacing w:after="0"/>
              <w:rPr>
                <w:sz w:val="16"/>
                <w:szCs w:val="16"/>
                <w:color w:val="auto"/>
              </w:rPr>
            </w:pPr>
          </w:p>
        </w:tc>
        <w:tc>
          <w:tcPr>
            <w:tcW w:w="360" w:type="dxa"/>
            <w:vAlign w:val="bottom"/>
            <w:vMerge w:val="restart"/>
          </w:tcPr>
          <w:p>
            <w:pPr>
              <w:jc w:val="center"/>
              <w:ind w:right="80"/>
              <w:spacing w:after="0" w:line="171" w:lineRule="exact"/>
              <w:rPr>
                <w:sz w:val="20"/>
                <w:szCs w:val="20"/>
                <w:color w:val="auto"/>
              </w:rPr>
            </w:pPr>
            <w:r>
              <w:rPr>
                <w:rFonts w:ascii="MS PGothic" w:cs="MS PGothic" w:eastAsia="MS PGothic" w:hAnsi="MS PGothic"/>
                <w:sz w:val="17"/>
                <w:szCs w:val="17"/>
                <w:color w:val="auto"/>
                <w:w w:val="93"/>
              </w:rPr>
              <w:t>☐</w:t>
            </w:r>
          </w:p>
        </w:tc>
        <w:tc>
          <w:tcPr>
            <w:tcW w:w="2080" w:type="dxa"/>
            <w:vAlign w:val="bottom"/>
          </w:tcPr>
          <w:p>
            <w:pPr>
              <w:spacing w:after="0"/>
              <w:rPr>
                <w:sz w:val="16"/>
                <w:szCs w:val="16"/>
                <w:color w:val="auto"/>
              </w:rPr>
            </w:pPr>
          </w:p>
        </w:tc>
        <w:tc>
          <w:tcPr>
            <w:tcW w:w="400" w:type="dxa"/>
            <w:vAlign w:val="bottom"/>
            <w:vMerge w:val="restart"/>
          </w:tcPr>
          <w:p>
            <w:pPr>
              <w:ind w:left="20"/>
              <w:spacing w:after="0" w:line="171" w:lineRule="exact"/>
              <w:rPr>
                <w:sz w:val="20"/>
                <w:szCs w:val="20"/>
                <w:color w:val="auto"/>
              </w:rPr>
            </w:pPr>
            <w:r>
              <w:rPr>
                <w:rFonts w:ascii="MS PGothic" w:cs="MS PGothic" w:eastAsia="MS PGothic" w:hAnsi="MS PGothic"/>
                <w:sz w:val="17"/>
                <w:szCs w:val="17"/>
                <w:color w:val="auto"/>
              </w:rPr>
              <w:t>☐</w:t>
            </w:r>
          </w:p>
        </w:tc>
        <w:tc>
          <w:tcPr>
            <w:tcW w:w="2340" w:type="dxa"/>
            <w:vAlign w:val="bottom"/>
            <w:vMerge w:val="restart"/>
          </w:tcPr>
          <w:p>
            <w:pPr>
              <w:ind w:left="160"/>
              <w:spacing w:after="0" w:line="184"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00" w:type="dxa"/>
            <w:vAlign w:val="bottom"/>
          </w:tcPr>
          <w:p>
            <w:pPr>
              <w:ind w:left="20"/>
              <w:spacing w:after="0"/>
              <w:rPr>
                <w:sz w:val="20"/>
                <w:szCs w:val="20"/>
                <w:color w:val="auto"/>
              </w:rPr>
            </w:pPr>
            <w:r>
              <w:rPr>
                <w:rFonts w:ascii="Arial" w:cs="Arial" w:eastAsia="Arial" w:hAnsi="Arial"/>
                <w:sz w:val="15"/>
                <w:szCs w:val="15"/>
                <w:color w:val="auto"/>
              </w:rPr>
              <w:t>x</w:t>
            </w:r>
          </w:p>
        </w:tc>
        <w:tc>
          <w:tcPr>
            <w:tcW w:w="1320" w:type="dxa"/>
            <w:vAlign w:val="bottom"/>
          </w:tcPr>
          <w:p>
            <w:pPr>
              <w:ind w:left="160"/>
              <w:spacing w:after="0"/>
              <w:rPr>
                <w:sz w:val="20"/>
                <w:szCs w:val="20"/>
                <w:color w:val="auto"/>
              </w:rPr>
            </w:pPr>
            <w:r>
              <w:rPr>
                <w:rFonts w:ascii="Arial" w:cs="Arial" w:eastAsia="Arial" w:hAnsi="Arial"/>
                <w:sz w:val="15"/>
                <w:szCs w:val="15"/>
                <w:color w:val="auto"/>
              </w:rPr>
              <w:t>Accelerated filer</w:t>
            </w:r>
          </w:p>
        </w:tc>
        <w:tc>
          <w:tcPr>
            <w:tcW w:w="380" w:type="dxa"/>
            <w:vAlign w:val="bottom"/>
            <w:vMerge w:val="continue"/>
          </w:tcPr>
          <w:p>
            <w:pPr>
              <w:spacing w:after="0"/>
              <w:rPr>
                <w:sz w:val="19"/>
                <w:szCs w:val="19"/>
                <w:color w:val="auto"/>
              </w:rPr>
            </w:pPr>
          </w:p>
        </w:tc>
        <w:tc>
          <w:tcPr>
            <w:tcW w:w="1640" w:type="dxa"/>
            <w:vAlign w:val="bottom"/>
          </w:tcPr>
          <w:p>
            <w:pPr>
              <w:ind w:left="180"/>
              <w:spacing w:after="0"/>
              <w:rPr>
                <w:sz w:val="20"/>
                <w:szCs w:val="20"/>
                <w:color w:val="auto"/>
              </w:rPr>
            </w:pPr>
            <w:r>
              <w:rPr>
                <w:rFonts w:ascii="Arial" w:cs="Arial" w:eastAsia="Arial" w:hAnsi="Arial"/>
                <w:sz w:val="15"/>
                <w:szCs w:val="15"/>
                <w:color w:val="auto"/>
              </w:rPr>
              <w:t>Non-accelerated filer</w:t>
            </w:r>
          </w:p>
        </w:tc>
        <w:tc>
          <w:tcPr>
            <w:tcW w:w="360" w:type="dxa"/>
            <w:vAlign w:val="bottom"/>
            <w:vMerge w:val="continue"/>
          </w:tcPr>
          <w:p>
            <w:pPr>
              <w:spacing w:after="0"/>
              <w:rPr>
                <w:sz w:val="19"/>
                <w:szCs w:val="19"/>
                <w:color w:val="auto"/>
              </w:rPr>
            </w:pPr>
          </w:p>
        </w:tc>
        <w:tc>
          <w:tcPr>
            <w:tcW w:w="2080" w:type="dxa"/>
            <w:vAlign w:val="bottom"/>
          </w:tcPr>
          <w:p>
            <w:pPr>
              <w:ind w:left="200"/>
              <w:spacing w:after="0"/>
              <w:rPr>
                <w:sz w:val="20"/>
                <w:szCs w:val="20"/>
                <w:color w:val="auto"/>
              </w:rPr>
            </w:pPr>
            <w:r>
              <w:rPr>
                <w:rFonts w:ascii="Arial" w:cs="Arial" w:eastAsia="Arial" w:hAnsi="Arial"/>
                <w:sz w:val="15"/>
                <w:szCs w:val="15"/>
                <w:color w:val="auto"/>
              </w:rPr>
              <w:t>Smaller reporting company</w:t>
            </w:r>
          </w:p>
        </w:tc>
        <w:tc>
          <w:tcPr>
            <w:tcW w:w="400" w:type="dxa"/>
            <w:vAlign w:val="bottom"/>
            <w:vMerge w:val="continue"/>
          </w:tcPr>
          <w:p>
            <w:pPr>
              <w:spacing w:after="0"/>
              <w:rPr>
                <w:sz w:val="19"/>
                <w:szCs w:val="19"/>
                <w:color w:val="auto"/>
              </w:rPr>
            </w:pPr>
          </w:p>
        </w:tc>
        <w:tc>
          <w:tcPr>
            <w:tcW w:w="2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76"/>
        </w:trPr>
        <w:tc>
          <w:tcPr>
            <w:tcW w:w="3200" w:type="dxa"/>
            <w:vAlign w:val="bottom"/>
            <w:gridSpan w:val="3"/>
          </w:tcPr>
          <w:p>
            <w:pPr>
              <w:spacing w:after="0"/>
              <w:rPr>
                <w:sz w:val="20"/>
                <w:szCs w:val="20"/>
                <w:color w:val="auto"/>
              </w:rPr>
            </w:pPr>
            <w:r>
              <w:rPr>
                <w:rFonts w:ascii="Arial" w:cs="Arial" w:eastAsia="Arial" w:hAnsi="Arial"/>
                <w:sz w:val="15"/>
                <w:szCs w:val="15"/>
                <w:color w:val="auto"/>
              </w:rPr>
              <w:t>Boston Properties Limited Partnership:</w:t>
            </w: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0" w:type="dxa"/>
            <w:vAlign w:val="bottom"/>
            <w:vMerge w:val="restart"/>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2340" w:type="dxa"/>
            <w:vAlign w:val="bottom"/>
            <w:vMerge w:val="restart"/>
          </w:tcPr>
          <w:p>
            <w:pPr>
              <w:ind w:left="300"/>
              <w:spacing w:after="0" w:line="184"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47"/>
        </w:trPr>
        <w:tc>
          <w:tcPr>
            <w:tcW w:w="15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00" w:type="dxa"/>
            <w:vAlign w:val="bottom"/>
          </w:tcPr>
          <w:p>
            <w:pPr>
              <w:ind w:left="20"/>
              <w:spacing w:after="0" w:line="151" w:lineRule="exact"/>
              <w:rPr>
                <w:sz w:val="20"/>
                <w:szCs w:val="20"/>
                <w:color w:val="auto"/>
              </w:rPr>
            </w:pPr>
            <w:r>
              <w:rPr>
                <w:rFonts w:ascii="MS PGothic" w:cs="MS PGothic" w:eastAsia="MS PGothic" w:hAnsi="MS PGothic"/>
                <w:sz w:val="15"/>
                <w:szCs w:val="15"/>
                <w:color w:val="auto"/>
              </w:rPr>
              <w:t>☐</w:t>
            </w:r>
          </w:p>
        </w:tc>
        <w:tc>
          <w:tcPr>
            <w:tcW w:w="1320" w:type="dxa"/>
            <w:vAlign w:val="bottom"/>
          </w:tcPr>
          <w:p>
            <w:pPr>
              <w:ind w:left="220"/>
              <w:spacing w:after="0"/>
              <w:rPr>
                <w:sz w:val="20"/>
                <w:szCs w:val="20"/>
                <w:color w:val="auto"/>
              </w:rPr>
            </w:pPr>
            <w:r>
              <w:rPr>
                <w:rFonts w:ascii="Arial" w:cs="Arial" w:eastAsia="Arial" w:hAnsi="Arial"/>
                <w:sz w:val="15"/>
                <w:szCs w:val="15"/>
                <w:color w:val="auto"/>
              </w:rPr>
              <w:t>Accelerated filer</w:t>
            </w:r>
          </w:p>
        </w:tc>
        <w:tc>
          <w:tcPr>
            <w:tcW w:w="380" w:type="dxa"/>
            <w:vAlign w:val="bottom"/>
          </w:tcPr>
          <w:p>
            <w:pPr>
              <w:ind w:left="80"/>
              <w:spacing w:after="0" w:line="151" w:lineRule="exact"/>
              <w:rPr>
                <w:sz w:val="20"/>
                <w:szCs w:val="20"/>
                <w:color w:val="auto"/>
              </w:rPr>
            </w:pPr>
            <w:r>
              <w:rPr>
                <w:rFonts w:ascii="MS PGothic" w:cs="MS PGothic" w:eastAsia="MS PGothic" w:hAnsi="MS PGothic"/>
                <w:sz w:val="15"/>
                <w:szCs w:val="15"/>
                <w:color w:val="auto"/>
              </w:rPr>
              <w:t>☐</w:t>
            </w:r>
          </w:p>
        </w:tc>
        <w:tc>
          <w:tcPr>
            <w:tcW w:w="1640" w:type="dxa"/>
            <w:vAlign w:val="bottom"/>
          </w:tcPr>
          <w:p>
            <w:pPr>
              <w:ind w:left="220"/>
              <w:spacing w:after="0"/>
              <w:rPr>
                <w:sz w:val="20"/>
                <w:szCs w:val="20"/>
                <w:color w:val="auto"/>
              </w:rPr>
            </w:pPr>
            <w:r>
              <w:rPr>
                <w:rFonts w:ascii="Arial" w:cs="Arial" w:eastAsia="Arial" w:hAnsi="Arial"/>
                <w:sz w:val="15"/>
                <w:szCs w:val="15"/>
                <w:color w:val="auto"/>
              </w:rPr>
              <w:t>Non-accelerated filer</w:t>
            </w:r>
          </w:p>
        </w:tc>
        <w:tc>
          <w:tcPr>
            <w:tcW w:w="360" w:type="dxa"/>
            <w:vAlign w:val="bottom"/>
          </w:tcPr>
          <w:p>
            <w:pPr>
              <w:jc w:val="center"/>
              <w:ind w:right="60"/>
              <w:spacing w:after="0"/>
              <w:rPr>
                <w:sz w:val="20"/>
                <w:szCs w:val="20"/>
                <w:color w:val="auto"/>
              </w:rPr>
            </w:pPr>
            <w:r>
              <w:rPr>
                <w:rFonts w:ascii="Arial" w:cs="Arial" w:eastAsia="Arial" w:hAnsi="Arial"/>
                <w:sz w:val="15"/>
                <w:szCs w:val="15"/>
                <w:color w:val="auto"/>
                <w:w w:val="79"/>
              </w:rPr>
              <w:t>x</w:t>
            </w:r>
          </w:p>
        </w:tc>
        <w:tc>
          <w:tcPr>
            <w:tcW w:w="2080" w:type="dxa"/>
            <w:vAlign w:val="bottom"/>
          </w:tcPr>
          <w:p>
            <w:pPr>
              <w:ind w:left="260"/>
              <w:spacing w:after="0"/>
              <w:rPr>
                <w:sz w:val="20"/>
                <w:szCs w:val="20"/>
                <w:color w:val="auto"/>
              </w:rPr>
            </w:pPr>
            <w:r>
              <w:rPr>
                <w:rFonts w:ascii="Arial" w:cs="Arial" w:eastAsia="Arial" w:hAnsi="Arial"/>
                <w:sz w:val="15"/>
                <w:szCs w:val="15"/>
                <w:color w:val="auto"/>
              </w:rPr>
              <w:t>Smaller reporting company</w:t>
            </w:r>
          </w:p>
        </w:tc>
        <w:tc>
          <w:tcPr>
            <w:tcW w:w="400" w:type="dxa"/>
            <w:vAlign w:val="bottom"/>
            <w:vMerge w:val="continue"/>
          </w:tcPr>
          <w:p>
            <w:pPr>
              <w:spacing w:after="0"/>
              <w:rPr>
                <w:sz w:val="21"/>
                <w:szCs w:val="21"/>
                <w:color w:val="auto"/>
              </w:rPr>
            </w:pPr>
          </w:p>
        </w:tc>
        <w:tc>
          <w:tcPr>
            <w:tcW w:w="2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20" w:firstLine="381"/>
        <w:spacing w:after="0" w:line="285"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34" w:lineRule="exact"/>
        <w:rPr>
          <w:sz w:val="20"/>
          <w:szCs w:val="20"/>
          <w:color w:val="auto"/>
        </w:rPr>
      </w:pPr>
    </w:p>
    <w:p>
      <w:pPr>
        <w:ind w:left="420"/>
        <w:spacing w:after="0" w:line="173" w:lineRule="exact"/>
        <w:tabs>
          <w:tab w:leader="none" w:pos="2840" w:val="left"/>
        </w:tabs>
        <w:rPr>
          <w:sz w:val="20"/>
          <w:szCs w:val="20"/>
          <w:color w:val="auto"/>
        </w:rPr>
      </w:pPr>
      <w:r>
        <w:rPr>
          <w:rFonts w:ascii="Arial" w:cs="Arial" w:eastAsia="Arial" w:hAnsi="Arial"/>
          <w:sz w:val="15"/>
          <w:szCs w:val="15"/>
          <w:color w:val="auto"/>
        </w:rPr>
        <w:t xml:space="preserve">Boston Properties, Inc.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Boston Properties Limited Partnership </w:t>
      </w:r>
      <w:r>
        <w:rPr>
          <w:rFonts w:ascii="MS PGothic" w:cs="MS PGothic" w:eastAsia="MS PGothic" w:hAnsi="MS PGothic"/>
          <w:sz w:val="15"/>
          <w:szCs w:val="15"/>
          <w:color w:val="auto"/>
        </w:rPr>
        <w:t>☐</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81" w:lineRule="exact"/>
        <w:rPr>
          <w:sz w:val="20"/>
          <w:szCs w:val="20"/>
          <w:color w:val="auto"/>
        </w:rPr>
      </w:pPr>
    </w:p>
    <w:p>
      <w:pPr>
        <w:ind w:left="380"/>
        <w:spacing w:after="0" w:line="173" w:lineRule="exact"/>
        <w:tabs>
          <w:tab w:leader="none" w:pos="2120" w:val="left"/>
          <w:tab w:leader="none" w:pos="2760" w:val="left"/>
          <w:tab w:leader="none" w:pos="3440" w:val="left"/>
          <w:tab w:leader="none" w:pos="6220" w:val="left"/>
          <w:tab w:leader="none" w:pos="6860" w:val="left"/>
        </w:tabs>
        <w:rPr>
          <w:sz w:val="20"/>
          <w:szCs w:val="20"/>
          <w:color w:val="auto"/>
        </w:rPr>
      </w:pPr>
      <w:r>
        <w:rPr>
          <w:rFonts w:ascii="Arial" w:cs="Arial" w:eastAsia="Arial" w:hAnsi="Arial"/>
          <w:sz w:val="15"/>
          <w:szCs w:val="15"/>
          <w:color w:val="auto"/>
        </w:rPr>
        <w:t>Boston Properties, Inc.:</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No x</w:t>
      </w:r>
      <w:r>
        <w:rPr>
          <w:sz w:val="20"/>
          <w:szCs w:val="20"/>
          <w:color w:val="auto"/>
        </w:rPr>
        <w:tab/>
      </w:r>
      <w:r>
        <w:rPr>
          <w:rFonts w:ascii="Arial" w:cs="Arial" w:eastAsia="Arial" w:hAnsi="Arial"/>
          <w:sz w:val="15"/>
          <w:szCs w:val="15"/>
          <w:color w:val="auto"/>
        </w:rPr>
        <w:t>Boston Properties Limited Partnership:</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No x</w:t>
      </w:r>
    </w:p>
    <w:p>
      <w:pPr>
        <w:spacing w:after="0" w:line="24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Indicate the number of shares outstanding of each of the issuer’s classes of common stock, as of the latest practicable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60" w:type="dxa"/>
            <w:vAlign w:val="bottom"/>
          </w:tcPr>
          <w:p>
            <w:pPr>
              <w:jc w:val="center"/>
              <w:ind w:left="624"/>
              <w:spacing w:after="0"/>
              <w:rPr>
                <w:sz w:val="20"/>
                <w:szCs w:val="20"/>
                <w:color w:val="auto"/>
              </w:rPr>
            </w:pPr>
            <w:r>
              <w:rPr>
                <w:rFonts w:ascii="Arial" w:cs="Arial" w:eastAsia="Arial" w:hAnsi="Arial"/>
                <w:sz w:val="15"/>
                <w:szCs w:val="15"/>
                <w:b w:val="1"/>
                <w:bCs w:val="1"/>
                <w:color w:val="auto"/>
              </w:rPr>
              <w:t>Boston Properties, Inc.</w:t>
            </w:r>
          </w:p>
        </w:tc>
        <w:tc>
          <w:tcPr>
            <w:tcW w:w="4020" w:type="dxa"/>
            <w:vAlign w:val="bottom"/>
          </w:tcPr>
          <w:p>
            <w:pPr>
              <w:jc w:val="center"/>
              <w:spacing w:after="0"/>
              <w:rPr>
                <w:sz w:val="20"/>
                <w:szCs w:val="20"/>
                <w:color w:val="auto"/>
              </w:rPr>
            </w:pPr>
            <w:r>
              <w:rPr>
                <w:rFonts w:ascii="Arial" w:cs="Arial" w:eastAsia="Arial" w:hAnsi="Arial"/>
                <w:sz w:val="15"/>
                <w:szCs w:val="15"/>
                <w:b w:val="1"/>
                <w:bCs w:val="1"/>
                <w:color w:val="auto"/>
              </w:rPr>
              <w:t>Common Stock, par value $0.01 per share</w:t>
            </w:r>
          </w:p>
        </w:tc>
        <w:tc>
          <w:tcPr>
            <w:tcW w:w="3860" w:type="dxa"/>
            <w:vAlign w:val="bottom"/>
          </w:tcPr>
          <w:p>
            <w:pPr>
              <w:jc w:val="right"/>
              <w:ind w:right="1584"/>
              <w:spacing w:after="0"/>
              <w:rPr>
                <w:sz w:val="20"/>
                <w:szCs w:val="20"/>
                <w:color w:val="auto"/>
              </w:rPr>
            </w:pPr>
            <w:r>
              <w:rPr>
                <w:rFonts w:ascii="Arial" w:cs="Arial" w:eastAsia="Arial" w:hAnsi="Arial"/>
                <w:sz w:val="15"/>
                <w:szCs w:val="15"/>
                <w:b w:val="1"/>
                <w:bCs w:val="1"/>
                <w:color w:val="auto"/>
              </w:rPr>
              <w:t>156,754,712</w:t>
            </w:r>
          </w:p>
        </w:tc>
      </w:tr>
      <w:tr>
        <w:trPr>
          <w:trHeight w:val="208"/>
        </w:trPr>
        <w:tc>
          <w:tcPr>
            <w:tcW w:w="3360" w:type="dxa"/>
            <w:vAlign w:val="bottom"/>
          </w:tcPr>
          <w:p>
            <w:pPr>
              <w:jc w:val="center"/>
              <w:ind w:left="624"/>
              <w:spacing w:after="0"/>
              <w:rPr>
                <w:sz w:val="20"/>
                <w:szCs w:val="20"/>
                <w:color w:val="auto"/>
              </w:rPr>
            </w:pPr>
            <w:r>
              <w:rPr>
                <w:rFonts w:ascii="Arial" w:cs="Arial" w:eastAsia="Arial" w:hAnsi="Arial"/>
                <w:sz w:val="15"/>
                <w:szCs w:val="15"/>
                <w:b w:val="1"/>
                <w:bCs w:val="1"/>
                <w:color w:val="auto"/>
              </w:rPr>
              <w:t>(Registrant)</w:t>
            </w:r>
          </w:p>
        </w:tc>
        <w:tc>
          <w:tcPr>
            <w:tcW w:w="4020" w:type="dxa"/>
            <w:vAlign w:val="bottom"/>
          </w:tcPr>
          <w:p>
            <w:pPr>
              <w:jc w:val="center"/>
              <w:spacing w:after="0"/>
              <w:rPr>
                <w:sz w:val="20"/>
                <w:szCs w:val="20"/>
                <w:color w:val="auto"/>
              </w:rPr>
            </w:pPr>
            <w:r>
              <w:rPr>
                <w:rFonts w:ascii="Arial" w:cs="Arial" w:eastAsia="Arial" w:hAnsi="Arial"/>
                <w:sz w:val="15"/>
                <w:szCs w:val="15"/>
                <w:b w:val="1"/>
                <w:bCs w:val="1"/>
                <w:color w:val="auto"/>
              </w:rPr>
              <w:t>(Class)</w:t>
            </w:r>
          </w:p>
        </w:tc>
        <w:tc>
          <w:tcPr>
            <w:tcW w:w="3860" w:type="dxa"/>
            <w:vAlign w:val="bottom"/>
          </w:tcPr>
          <w:p>
            <w:pPr>
              <w:jc w:val="center"/>
              <w:ind w:right="224"/>
              <w:spacing w:after="0"/>
              <w:rPr>
                <w:sz w:val="20"/>
                <w:szCs w:val="20"/>
                <w:color w:val="auto"/>
              </w:rPr>
            </w:pPr>
            <w:r>
              <w:rPr>
                <w:rFonts w:ascii="Arial" w:cs="Arial" w:eastAsia="Arial" w:hAnsi="Arial"/>
                <w:sz w:val="15"/>
                <w:szCs w:val="15"/>
                <w:b w:val="1"/>
                <w:bCs w:val="1"/>
                <w:color w:val="auto"/>
              </w:rPr>
              <w:t>(Outstanding on November 1, 2022)</w:t>
            </w:r>
          </w:p>
        </w:tc>
      </w:tr>
      <w:tr>
        <w:trPr>
          <w:trHeight w:val="147"/>
        </w:trPr>
        <w:tc>
          <w:tcPr>
            <w:tcW w:w="3360" w:type="dxa"/>
            <w:vAlign w:val="bottom"/>
            <w:tcBorders>
              <w:bottom w:val="single" w:sz="8" w:color="auto"/>
            </w:tcBorders>
          </w:tcPr>
          <w:p>
            <w:pPr>
              <w:spacing w:after="0"/>
              <w:rPr>
                <w:sz w:val="12"/>
                <w:szCs w:val="12"/>
                <w:color w:val="auto"/>
              </w:rPr>
            </w:pPr>
          </w:p>
        </w:tc>
        <w:tc>
          <w:tcPr>
            <w:tcW w:w="402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r>
      <w:tr>
        <w:trPr>
          <w:trHeight w:val="31"/>
        </w:trPr>
        <w:tc>
          <w:tcPr>
            <w:tcW w:w="33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798"/>
        </w:trPr>
        <w:tc>
          <w:tcPr>
            <w:tcW w:w="336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EXPLANATORY NOTE</w:t>
      </w:r>
    </w:p>
    <w:p>
      <w:pPr>
        <w:spacing w:after="0" w:line="261" w:lineRule="exact"/>
        <w:rPr>
          <w:sz w:val="20"/>
          <w:szCs w:val="20"/>
          <w:color w:val="auto"/>
        </w:rPr>
      </w:pPr>
    </w:p>
    <w:p>
      <w:pPr>
        <w:ind w:right="20" w:firstLine="419"/>
        <w:spacing w:after="0" w:line="254" w:lineRule="auto"/>
        <w:rPr>
          <w:sz w:val="20"/>
          <w:szCs w:val="20"/>
          <w:color w:val="auto"/>
        </w:rPr>
      </w:pPr>
      <w:r>
        <w:rPr>
          <w:rFonts w:ascii="Arial" w:cs="Arial" w:eastAsia="Arial" w:hAnsi="Arial"/>
          <w:sz w:val="17"/>
          <w:szCs w:val="17"/>
          <w:color w:val="auto"/>
        </w:rPr>
        <w:t>This report combines the Quarterly Reports on Form 10-Q for the period ended September 30, 2022 of Boston Properties, Inc. and Boston Properties Limited Partnership. Unless stated otherwise or the context otherwise requires, references to “BXP” mean Boston Properties, Inc., a Delaware corporation and real estate investment trust (“REIT”), and references to “BPLP” and the “Operating Partnership” mean Boston Properties Limited Partnership, a Delaware limited partnership. BPLP is the entity through which BXP conducts substantially all of its business and owns, either directly or through subsidiaries, substantially all of its assets. BXP is the sole general partner and also a limited partner of BPLP. As the sole general partner of BPLP, BXP has exclusive control of BPLP’s day-to-day management. Therefore, unless stated otherwise or the context requires, references to the “Company,” “we,” “us” and “our” mean collectively BXP, BPLP and those entities/subsidiaries consolidated by BXP.</w:t>
      </w:r>
    </w:p>
    <w:p>
      <w:pPr>
        <w:spacing w:after="0" w:line="126" w:lineRule="exact"/>
        <w:rPr>
          <w:sz w:val="20"/>
          <w:szCs w:val="20"/>
          <w:color w:val="auto"/>
        </w:rPr>
      </w:pPr>
    </w:p>
    <w:p>
      <w:pPr>
        <w:ind w:right="60" w:firstLine="419"/>
        <w:spacing w:after="0" w:line="252" w:lineRule="auto"/>
        <w:rPr>
          <w:sz w:val="20"/>
          <w:szCs w:val="20"/>
          <w:color w:val="auto"/>
        </w:rPr>
      </w:pPr>
      <w:r>
        <w:rPr>
          <w:rFonts w:ascii="Arial" w:cs="Arial" w:eastAsia="Arial" w:hAnsi="Arial"/>
          <w:sz w:val="17"/>
          <w:szCs w:val="17"/>
          <w:color w:val="auto"/>
        </w:rPr>
        <w:t>As of September 30, 2022, BXP owned an approximate 89.6% ownership interest in BPLP. The remaining approximate 10.4% interest was owned by limited partners. The other limited partners of BPLP either (1) contributed their direct or indirect interests in properties to BPLP in exchange for common units or preferred units of limited partnership interest in BPLP or (2) received long-term incentive plan units of BPLP pursuant to BXP’s Stock Option and Incentive Plans, or both. Under the limited partnership agreement of BPLP, unitholders may present their common units of BPLP for redemption at any time (subject to restrictions agreed upon at the time of issuance of the units that may restrict such right for a period of time, generally one year from issuance). Upon presentation of a common unit for redemption, BPLP must redeem the unit for cash equal to the then value of a share of BXP’s common stock. In lieu of a cash redemption by BPLP, however, BXP may elect to acquire any common units so tendered by issuing shares of BXP common stock in exchange for the common units. If BXP so elects, its common stock will be exchanged for common units on a one-for-one basis. This one-for-one exchange ratio is subject to specified adjustments to prevent dilution. BXP generally expects that it will elect to issue its common stock in connection with each such presentation for redemption rather than having BPLP pay cash. With each such exchange or redemption, BXP’s percentage ownership in BPLP will increase. In addition, whenever BXP issues shares of its common stock other than to acquire common units of BPLP, BXP must contribute any net proceeds it receives to BPLP and BPLP must issue to BXP an equivalent number of common units of BPLP. This structure is commonly referred to as an umbrella partnership REIT, or UPREIT.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believes that combining the Quarterly Reports on Form 10-Q of BXP and BPLP into this single report:</w:t>
      </w:r>
    </w:p>
    <w:p>
      <w:pPr>
        <w:spacing w:after="0" w:line="147" w:lineRule="exact"/>
        <w:rPr>
          <w:sz w:val="20"/>
          <w:szCs w:val="20"/>
          <w:color w:val="auto"/>
        </w:rPr>
      </w:pPr>
    </w:p>
    <w:p>
      <w:pPr>
        <w:ind w:left="680" w:hanging="298"/>
        <w:spacing w:after="0" w:line="283" w:lineRule="auto"/>
        <w:tabs>
          <w:tab w:leader="none" w:pos="676" w:val="left"/>
        </w:tabs>
        <w:numPr>
          <w:ilvl w:val="0"/>
          <w:numId w:val="3"/>
        </w:numPr>
        <w:rPr>
          <w:rFonts w:ascii="Arial" w:cs="Arial" w:eastAsia="Arial" w:hAnsi="Arial"/>
          <w:sz w:val="17"/>
          <w:szCs w:val="17"/>
          <w:color w:val="auto"/>
        </w:rPr>
      </w:pPr>
      <w:r>
        <w:rPr>
          <w:rFonts w:ascii="Arial" w:cs="Arial" w:eastAsia="Arial" w:hAnsi="Arial"/>
          <w:sz w:val="17"/>
          <w:szCs w:val="17"/>
          <w:color w:val="auto"/>
        </w:rPr>
        <w:t>enhances investors’ understanding of BXP and BPLP by enabling them to view the business as a whole in the same manner as management views and operates the business;</w:t>
      </w:r>
    </w:p>
    <w:p>
      <w:pPr>
        <w:spacing w:after="0" w:line="72" w:lineRule="exact"/>
        <w:rPr>
          <w:rFonts w:ascii="Arial" w:cs="Arial" w:eastAsia="Arial" w:hAnsi="Arial"/>
          <w:sz w:val="17"/>
          <w:szCs w:val="17"/>
          <w:color w:val="auto"/>
        </w:rPr>
      </w:pPr>
    </w:p>
    <w:p>
      <w:pPr>
        <w:ind w:left="680" w:right="400" w:hanging="298"/>
        <w:spacing w:after="0" w:line="283" w:lineRule="auto"/>
        <w:tabs>
          <w:tab w:leader="none" w:pos="676" w:val="left"/>
        </w:tabs>
        <w:numPr>
          <w:ilvl w:val="0"/>
          <w:numId w:val="3"/>
        </w:numPr>
        <w:rPr>
          <w:rFonts w:ascii="Arial" w:cs="Arial" w:eastAsia="Arial" w:hAnsi="Arial"/>
          <w:sz w:val="17"/>
          <w:szCs w:val="17"/>
          <w:color w:val="auto"/>
        </w:rPr>
      </w:pPr>
      <w:r>
        <w:rPr>
          <w:rFonts w:ascii="Arial" w:cs="Arial" w:eastAsia="Arial" w:hAnsi="Arial"/>
          <w:sz w:val="17"/>
          <w:szCs w:val="17"/>
          <w:color w:val="auto"/>
        </w:rPr>
        <w:t>eliminates duplicative disclosure and provides a more concise and readable presentation because a substantial portion of the disclosure applies to both BXP and BPLP; and</w:t>
      </w:r>
    </w:p>
    <w:p>
      <w:pPr>
        <w:spacing w:after="0" w:line="84" w:lineRule="exact"/>
        <w:rPr>
          <w:rFonts w:ascii="Arial" w:cs="Arial" w:eastAsia="Arial" w:hAnsi="Arial"/>
          <w:sz w:val="17"/>
          <w:szCs w:val="17"/>
          <w:color w:val="auto"/>
        </w:rPr>
      </w:pPr>
    </w:p>
    <w:p>
      <w:pPr>
        <w:ind w:left="680" w:hanging="298"/>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creates time and cost efficiencies through the preparation of one combined report instead of two separate reports.</w:t>
      </w:r>
    </w:p>
    <w:p>
      <w:pPr>
        <w:spacing w:after="0" w:line="160" w:lineRule="exact"/>
        <w:rPr>
          <w:sz w:val="20"/>
          <w:szCs w:val="20"/>
          <w:color w:val="auto"/>
        </w:rPr>
      </w:pPr>
    </w:p>
    <w:p>
      <w:pPr>
        <w:ind w:right="120" w:firstLine="419"/>
        <w:spacing w:after="0" w:line="253" w:lineRule="auto"/>
        <w:rPr>
          <w:sz w:val="20"/>
          <w:szCs w:val="20"/>
          <w:color w:val="auto"/>
        </w:rPr>
      </w:pPr>
      <w:r>
        <w:rPr>
          <w:rFonts w:ascii="Arial" w:cs="Arial" w:eastAsia="Arial" w:hAnsi="Arial"/>
          <w:sz w:val="17"/>
          <w:szCs w:val="17"/>
          <w:color w:val="auto"/>
        </w:rPr>
        <w:t>The Company believes it is important to understand the few differences between BXP and BPLP in the context of how BXP and BPLP operate as a consolidated company. The financial results of BPLP are consolidated into the financial statements of BXP. BXP does not have any other significant assets, liabilities or operations, other than its investment in BPLP, nor does it have employees of its own. BPLP, not BXP, generally executes all significant business relationships other than transactions involving the securities of BXP. BPLP holds substantially all of the assets of BXP, including ownership interests in joint ventures. BPLP conducts the operations of the business and is structured as a partnership with no publicly traded equity. Except for the net proceeds from equity issuances by BXP, which are contributed to the capital of BPLP in exchange for common or preferred units of partnership in BPLP, as applicable, BPLP generates all remaining capital required by the Company’s business. These sources include working capital, net cash provided by operating activities, borrowings under its credit facilities, the issuance of secured and unsecured debt and equity securities and proceeds received from the disposition of certain properties and interests in joint ventures.</w:t>
      </w:r>
    </w:p>
    <w:p>
      <w:pPr>
        <w:spacing w:after="0" w:line="125" w:lineRule="exact"/>
        <w:rPr>
          <w:sz w:val="20"/>
          <w:szCs w:val="20"/>
          <w:color w:val="auto"/>
        </w:rPr>
      </w:pPr>
    </w:p>
    <w:p>
      <w:pPr>
        <w:ind w:right="180" w:firstLine="419"/>
        <w:spacing w:after="0" w:line="260" w:lineRule="auto"/>
        <w:rPr>
          <w:sz w:val="20"/>
          <w:szCs w:val="20"/>
          <w:color w:val="auto"/>
        </w:rPr>
      </w:pPr>
      <w:r>
        <w:rPr>
          <w:rFonts w:ascii="Arial" w:cs="Arial" w:eastAsia="Arial" w:hAnsi="Arial"/>
          <w:sz w:val="17"/>
          <w:szCs w:val="17"/>
          <w:color w:val="auto"/>
        </w:rPr>
        <w:t>Shareholders’ equity, partners’ capital and noncontrolling interests are the main areas of difference between the consolidated financial statements of BXP and BPLP. The limited partners of BPLP are accounted for as partners’ capital in BPLP’s financial statements and as noncontrolling interests in BXP’s financial statements. The noncontrolling interests in BPLP’s financial statements include the interests of unaffiliated partners in various consolidated partnerships. The noncontrolling interests in BXP’s financial statements include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499745</wp:posOffset>
            </wp:positionV>
            <wp:extent cx="716597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740"/>
        <w:spacing w:after="0" w:line="283" w:lineRule="auto"/>
        <w:rPr>
          <w:sz w:val="20"/>
          <w:szCs w:val="20"/>
          <w:color w:val="auto"/>
        </w:rPr>
      </w:pPr>
      <w:r>
        <w:rPr>
          <w:rFonts w:ascii="Arial" w:cs="Arial" w:eastAsia="Arial" w:hAnsi="Arial"/>
          <w:sz w:val="17"/>
          <w:szCs w:val="17"/>
          <w:color w:val="auto"/>
        </w:rPr>
        <w:t>noncontrolling interests in BPLP and limited partners of BPLP. The differences between shareholders’ equity and partners’ capital result from differences in the equity issued by each of BXP and BPLP.</w:t>
      </w:r>
    </w:p>
    <w:p>
      <w:pPr>
        <w:spacing w:after="0" w:line="97" w:lineRule="exact"/>
        <w:rPr>
          <w:sz w:val="20"/>
          <w:szCs w:val="20"/>
          <w:color w:val="auto"/>
        </w:rPr>
      </w:pPr>
    </w:p>
    <w:p>
      <w:pPr>
        <w:ind w:firstLine="419"/>
        <w:spacing w:after="0" w:line="254" w:lineRule="auto"/>
        <w:rPr>
          <w:sz w:val="20"/>
          <w:szCs w:val="20"/>
          <w:color w:val="auto"/>
        </w:rPr>
      </w:pPr>
      <w:r>
        <w:rPr>
          <w:rFonts w:ascii="Arial" w:cs="Arial" w:eastAsia="Arial" w:hAnsi="Arial"/>
          <w:sz w:val="17"/>
          <w:szCs w:val="17"/>
          <w:color w:val="auto"/>
        </w:rPr>
        <w:t>In addition, the consolidated financial statements of BXP and BPLP differ in total real estate assets resulting from previously applied acquisition accounting by BXP for the issuance of common stock in connection with non-sponsor redemptions of common units of BPLP. This accounting resulted in a step-up of the real estate assets of BXP at the time of such redemptions, resulting in a difference between the net real estate of BXP as compared to BPLP of approximately $252.2 million, or 1.3% at September 30, 2022, and a corresponding difference in depreciation expense, impairment losses and gains on sales of real estate upon the sale of these properties having an allocation of the real estate step-up. The acquisition accounting was nullified on a prospective basis beginning in 2009 as a result of the Company’s adoption of a new accounting standard requiring any subsequent redemptions to be accounted for solely as an equity transaction.</w:t>
      </w:r>
    </w:p>
    <w:p>
      <w:pPr>
        <w:spacing w:after="0" w:line="126" w:lineRule="exact"/>
        <w:rPr>
          <w:sz w:val="20"/>
          <w:szCs w:val="20"/>
          <w:color w:val="auto"/>
        </w:rPr>
      </w:pPr>
    </w:p>
    <w:p>
      <w:pPr>
        <w:ind w:right="60" w:firstLine="419"/>
        <w:spacing w:after="0" w:line="283" w:lineRule="auto"/>
        <w:rPr>
          <w:sz w:val="20"/>
          <w:szCs w:val="20"/>
          <w:color w:val="auto"/>
        </w:rPr>
      </w:pPr>
      <w:r>
        <w:rPr>
          <w:rFonts w:ascii="Arial" w:cs="Arial" w:eastAsia="Arial" w:hAnsi="Arial"/>
          <w:sz w:val="17"/>
          <w:szCs w:val="17"/>
          <w:color w:val="auto"/>
        </w:rPr>
        <w:t>To help investors better understand the key differences between BXP and BPLP, the following items in this report present information separately for BXP and BPLP:</w:t>
      </w:r>
    </w:p>
    <w:p>
      <w:pPr>
        <w:spacing w:after="0" w:line="97" w:lineRule="exact"/>
        <w:rPr>
          <w:sz w:val="20"/>
          <w:szCs w:val="20"/>
          <w:color w:val="auto"/>
        </w:rPr>
      </w:pPr>
    </w:p>
    <w:p>
      <w:pPr>
        <w:ind w:left="1220" w:hanging="229"/>
        <w:spacing w:after="0"/>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Item 1. Financial Statements (unaudited), which includes the following specific disclosures for BXP and BPLP:</w:t>
      </w:r>
    </w:p>
    <w:p>
      <w:pPr>
        <w:spacing w:after="0" w:line="159" w:lineRule="exact"/>
        <w:rPr>
          <w:rFonts w:ascii="Arial" w:cs="Arial" w:eastAsia="Arial" w:hAnsi="Arial"/>
          <w:sz w:val="17"/>
          <w:szCs w:val="17"/>
          <w:color w:val="auto"/>
        </w:rPr>
      </w:pPr>
    </w:p>
    <w:p>
      <w:pPr>
        <w:ind w:left="1820" w:hanging="181"/>
        <w:spacing w:after="0"/>
        <w:tabs>
          <w:tab w:leader="none" w:pos="1820" w:val="left"/>
        </w:tabs>
        <w:numPr>
          <w:ilvl w:val="1"/>
          <w:numId w:val="4"/>
        </w:numPr>
        <w:rPr>
          <w:rFonts w:ascii="Arial" w:cs="Arial" w:eastAsia="Arial" w:hAnsi="Arial"/>
          <w:sz w:val="17"/>
          <w:szCs w:val="17"/>
          <w:color w:val="auto"/>
        </w:rPr>
      </w:pPr>
      <w:r>
        <w:rPr>
          <w:rFonts w:ascii="Arial" w:cs="Arial" w:eastAsia="Arial" w:hAnsi="Arial"/>
          <w:sz w:val="17"/>
          <w:szCs w:val="17"/>
          <w:color w:val="auto"/>
        </w:rPr>
        <w:t>Note 3. Real Estate;</w:t>
      </w:r>
    </w:p>
    <w:p>
      <w:pPr>
        <w:spacing w:after="0" w:line="159" w:lineRule="exact"/>
        <w:rPr>
          <w:rFonts w:ascii="Arial" w:cs="Arial" w:eastAsia="Arial" w:hAnsi="Arial"/>
          <w:sz w:val="17"/>
          <w:szCs w:val="17"/>
          <w:color w:val="auto"/>
        </w:rPr>
      </w:pPr>
    </w:p>
    <w:p>
      <w:pPr>
        <w:ind w:left="1820" w:hanging="181"/>
        <w:spacing w:after="0"/>
        <w:tabs>
          <w:tab w:leader="none" w:pos="1820" w:val="left"/>
        </w:tabs>
        <w:numPr>
          <w:ilvl w:val="1"/>
          <w:numId w:val="4"/>
        </w:numPr>
        <w:rPr>
          <w:rFonts w:ascii="Arial" w:cs="Arial" w:eastAsia="Arial" w:hAnsi="Arial"/>
          <w:sz w:val="17"/>
          <w:szCs w:val="17"/>
          <w:color w:val="auto"/>
        </w:rPr>
      </w:pPr>
      <w:r>
        <w:rPr>
          <w:rFonts w:ascii="Arial" w:cs="Arial" w:eastAsia="Arial" w:hAnsi="Arial"/>
          <w:sz w:val="17"/>
          <w:szCs w:val="17"/>
          <w:color w:val="auto"/>
        </w:rPr>
        <w:t>Note 9. Stockholders’ Equity / Partners’ Capital;</w:t>
      </w:r>
    </w:p>
    <w:p>
      <w:pPr>
        <w:spacing w:after="0" w:line="159" w:lineRule="exact"/>
        <w:rPr>
          <w:rFonts w:ascii="Arial" w:cs="Arial" w:eastAsia="Arial" w:hAnsi="Arial"/>
          <w:sz w:val="17"/>
          <w:szCs w:val="17"/>
          <w:color w:val="auto"/>
        </w:rPr>
      </w:pPr>
    </w:p>
    <w:p>
      <w:pPr>
        <w:ind w:left="1820" w:hanging="181"/>
        <w:spacing w:after="0"/>
        <w:tabs>
          <w:tab w:leader="none" w:pos="1820" w:val="left"/>
        </w:tabs>
        <w:numPr>
          <w:ilvl w:val="1"/>
          <w:numId w:val="4"/>
        </w:numPr>
        <w:rPr>
          <w:rFonts w:ascii="Arial" w:cs="Arial" w:eastAsia="Arial" w:hAnsi="Arial"/>
          <w:sz w:val="17"/>
          <w:szCs w:val="17"/>
          <w:color w:val="auto"/>
        </w:rPr>
      </w:pPr>
      <w:r>
        <w:rPr>
          <w:rFonts w:ascii="Arial" w:cs="Arial" w:eastAsia="Arial" w:hAnsi="Arial"/>
          <w:sz w:val="17"/>
          <w:szCs w:val="17"/>
          <w:color w:val="auto"/>
        </w:rPr>
        <w:t>Note 10. Segment Information; and</w:t>
      </w:r>
    </w:p>
    <w:p>
      <w:pPr>
        <w:spacing w:after="0" w:line="159" w:lineRule="exact"/>
        <w:rPr>
          <w:rFonts w:ascii="Arial" w:cs="Arial" w:eastAsia="Arial" w:hAnsi="Arial"/>
          <w:sz w:val="17"/>
          <w:szCs w:val="17"/>
          <w:color w:val="auto"/>
        </w:rPr>
      </w:pPr>
    </w:p>
    <w:p>
      <w:pPr>
        <w:ind w:left="1820" w:hanging="181"/>
        <w:spacing w:after="0"/>
        <w:tabs>
          <w:tab w:leader="none" w:pos="1820" w:val="left"/>
        </w:tabs>
        <w:numPr>
          <w:ilvl w:val="1"/>
          <w:numId w:val="4"/>
        </w:numPr>
        <w:rPr>
          <w:rFonts w:ascii="Arial" w:cs="Arial" w:eastAsia="Arial" w:hAnsi="Arial"/>
          <w:sz w:val="17"/>
          <w:szCs w:val="17"/>
          <w:color w:val="auto"/>
        </w:rPr>
      </w:pPr>
      <w:r>
        <w:rPr>
          <w:rFonts w:ascii="Arial" w:cs="Arial" w:eastAsia="Arial" w:hAnsi="Arial"/>
          <w:sz w:val="17"/>
          <w:szCs w:val="17"/>
          <w:color w:val="auto"/>
        </w:rPr>
        <w:t>Note 11. Earnings Per Share / Common Unit</w:t>
      </w:r>
    </w:p>
    <w:p>
      <w:pPr>
        <w:spacing w:after="0" w:line="159" w:lineRule="exact"/>
        <w:rPr>
          <w:rFonts w:ascii="Arial" w:cs="Arial" w:eastAsia="Arial" w:hAnsi="Arial"/>
          <w:sz w:val="17"/>
          <w:szCs w:val="17"/>
          <w:color w:val="auto"/>
        </w:rPr>
      </w:pPr>
    </w:p>
    <w:p>
      <w:pPr>
        <w:ind w:left="1220" w:right="40" w:hanging="229"/>
        <w:spacing w:after="0" w:line="283" w:lineRule="auto"/>
        <w:tabs>
          <w:tab w:leader="none" w:pos="1212" w:val="left"/>
        </w:tabs>
        <w:numPr>
          <w:ilvl w:val="0"/>
          <w:numId w:val="4"/>
        </w:numPr>
        <w:rPr>
          <w:rFonts w:ascii="Arial" w:cs="Arial" w:eastAsia="Arial" w:hAnsi="Arial"/>
          <w:sz w:val="17"/>
          <w:szCs w:val="17"/>
          <w:color w:val="auto"/>
        </w:rPr>
      </w:pPr>
      <w:r>
        <w:rPr>
          <w:rFonts w:ascii="Arial" w:cs="Arial" w:eastAsia="Arial" w:hAnsi="Arial"/>
          <w:sz w:val="17"/>
          <w:szCs w:val="17"/>
          <w:color w:val="auto"/>
        </w:rPr>
        <w:t>Item 2. Management’s Discussion and Analysis of Financial Condition and Results of Operations includes information specific to each entity, where applicable; and</w:t>
      </w:r>
    </w:p>
    <w:p>
      <w:pPr>
        <w:spacing w:after="0" w:line="97" w:lineRule="exact"/>
        <w:rPr>
          <w:rFonts w:ascii="Arial" w:cs="Arial" w:eastAsia="Arial" w:hAnsi="Arial"/>
          <w:sz w:val="17"/>
          <w:szCs w:val="17"/>
          <w:color w:val="auto"/>
        </w:rPr>
      </w:pPr>
    </w:p>
    <w:p>
      <w:pPr>
        <w:ind w:left="1220" w:right="440" w:hanging="229"/>
        <w:spacing w:after="0" w:line="283" w:lineRule="auto"/>
        <w:tabs>
          <w:tab w:leader="none" w:pos="1212" w:val="left"/>
        </w:tabs>
        <w:numPr>
          <w:ilvl w:val="0"/>
          <w:numId w:val="4"/>
        </w:numPr>
        <w:rPr>
          <w:rFonts w:ascii="Arial" w:cs="Arial" w:eastAsia="Arial" w:hAnsi="Arial"/>
          <w:sz w:val="17"/>
          <w:szCs w:val="17"/>
          <w:color w:val="auto"/>
        </w:rPr>
      </w:pPr>
      <w:r>
        <w:rPr>
          <w:rFonts w:ascii="Arial" w:cs="Arial" w:eastAsia="Arial" w:hAnsi="Arial"/>
          <w:sz w:val="17"/>
          <w:szCs w:val="17"/>
          <w:color w:val="auto"/>
        </w:rPr>
        <w:t>Item 2. Liquidity and Capital Resources includes separate reconciliations of amounts to each entity’s financial statements, where applicable.</w:t>
      </w:r>
    </w:p>
    <w:p>
      <w:pPr>
        <w:spacing w:after="0" w:line="97" w:lineRule="exact"/>
        <w:rPr>
          <w:sz w:val="20"/>
          <w:szCs w:val="20"/>
          <w:color w:val="auto"/>
        </w:rPr>
      </w:pPr>
    </w:p>
    <w:p>
      <w:pPr>
        <w:ind w:right="100" w:firstLine="419"/>
        <w:spacing w:after="0" w:line="283" w:lineRule="auto"/>
        <w:rPr>
          <w:sz w:val="20"/>
          <w:szCs w:val="20"/>
          <w:color w:val="auto"/>
        </w:rPr>
      </w:pPr>
      <w:r>
        <w:rPr>
          <w:rFonts w:ascii="Arial" w:cs="Arial" w:eastAsia="Arial" w:hAnsi="Arial"/>
          <w:sz w:val="17"/>
          <w:szCs w:val="17"/>
          <w:color w:val="auto"/>
        </w:rPr>
        <w:t>This report also includes separate Part I - Item 4. Controls and Procedures and Part II - Item 2. Unregistered Sales of Equity Securities and Use of Proceeds sections for each of BXP and BPLP, as well as separate Exhibits 31 and 32 certifications for each of BXP and BPLP.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873760</wp:posOffset>
            </wp:positionV>
            <wp:extent cx="716597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10480" w:type="dxa"/>
            <w:vAlign w:val="bottom"/>
            <w:gridSpan w:val="24"/>
          </w:tcPr>
          <w:p>
            <w:pPr>
              <w:spacing w:after="0"/>
              <w:rPr>
                <w:sz w:val="20"/>
                <w:szCs w:val="20"/>
                <w:color w:val="auto"/>
              </w:rPr>
            </w:pPr>
            <w:r>
              <w:rPr>
                <w:rFonts w:ascii="Arial" w:cs="Arial" w:eastAsia="Arial" w:hAnsi="Arial"/>
                <w:sz w:val="17"/>
                <w:szCs w:val="17"/>
                <w:color w:val="0000FF"/>
              </w:rPr>
              <w:t>Table of Contents</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5"/>
        </w:trPr>
        <w:tc>
          <w:tcPr>
            <w:tcW w:w="2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60" w:type="dxa"/>
            <w:vAlign w:val="bottom"/>
            <w:gridSpan w:val="17"/>
          </w:tcPr>
          <w:p>
            <w:pPr>
              <w:jc w:val="center"/>
              <w:ind w:right="1340"/>
              <w:spacing w:after="0"/>
              <w:rPr>
                <w:sz w:val="20"/>
                <w:szCs w:val="20"/>
                <w:color w:val="auto"/>
              </w:rPr>
            </w:pPr>
            <w:r>
              <w:rPr>
                <w:rFonts w:ascii="Arial" w:cs="Arial" w:eastAsia="Arial" w:hAnsi="Arial"/>
                <w:sz w:val="17"/>
                <w:szCs w:val="17"/>
                <w:b w:val="1"/>
                <w:bCs w:val="1"/>
                <w:color w:val="auto"/>
                <w:w w:val="99"/>
              </w:rPr>
              <w:t>BOSTON PROPERTIES, INC. AND BOSTON PROPERTIES LIMITED PARTNERSHIP</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40" w:type="dxa"/>
            <w:vAlign w:val="bottom"/>
            <w:gridSpan w:val="10"/>
          </w:tcPr>
          <w:p>
            <w:pPr>
              <w:jc w:val="center"/>
              <w:ind w:right="3980"/>
              <w:spacing w:after="0"/>
              <w:rPr>
                <w:sz w:val="20"/>
                <w:szCs w:val="20"/>
                <w:color w:val="auto"/>
              </w:rPr>
            </w:pPr>
            <w:r>
              <w:rPr>
                <w:rFonts w:ascii="Arial" w:cs="Arial" w:eastAsia="Arial" w:hAnsi="Arial"/>
                <w:sz w:val="17"/>
                <w:szCs w:val="17"/>
                <w:b w:val="1"/>
                <w:bCs w:val="1"/>
                <w:color w:val="auto"/>
                <w:w w:val="99"/>
              </w:rPr>
              <w:t>FORM 10-Q</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20" w:type="dxa"/>
            <w:vAlign w:val="bottom"/>
            <w:gridSpan w:val="11"/>
          </w:tcPr>
          <w:p>
            <w:pPr>
              <w:jc w:val="center"/>
              <w:ind w:right="2900"/>
              <w:spacing w:after="0"/>
              <w:rPr>
                <w:sz w:val="20"/>
                <w:szCs w:val="20"/>
                <w:color w:val="auto"/>
              </w:rPr>
            </w:pPr>
            <w:r>
              <w:rPr>
                <w:rFonts w:ascii="Arial" w:cs="Arial" w:eastAsia="Arial" w:hAnsi="Arial"/>
                <w:sz w:val="17"/>
                <w:szCs w:val="17"/>
                <w:b w:val="1"/>
                <w:bCs w:val="1"/>
                <w:color w:val="auto"/>
                <w:w w:val="99"/>
              </w:rPr>
              <w:t>for the quarter ended September 30, 2022</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20" w:type="dxa"/>
            <w:vAlign w:val="bottom"/>
            <w:gridSpan w:val="11"/>
          </w:tcPr>
          <w:p>
            <w:pPr>
              <w:jc w:val="center"/>
              <w:ind w:right="2900"/>
              <w:spacing w:after="0"/>
              <w:rPr>
                <w:sz w:val="20"/>
                <w:szCs w:val="20"/>
                <w:color w:val="auto"/>
              </w:rPr>
            </w:pPr>
            <w:r>
              <w:rPr>
                <w:rFonts w:ascii="Arial" w:cs="Arial" w:eastAsia="Arial" w:hAnsi="Arial"/>
                <w:sz w:val="17"/>
                <w:szCs w:val="17"/>
                <w:b w:val="1"/>
                <w:bCs w:val="1"/>
                <w:color w:val="auto"/>
                <w:w w:val="98"/>
              </w:rPr>
              <w:t>TABLE OF CONTENTS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2780" w:type="dxa"/>
            <w:vAlign w:val="bottom"/>
            <w:gridSpan w:val="9"/>
            <w:vMerge w:val="restart"/>
          </w:tcPr>
          <w:p>
            <w:pPr>
              <w:spacing w:after="0"/>
              <w:rPr>
                <w:sz w:val="20"/>
                <w:szCs w:val="20"/>
                <w:color w:val="auto"/>
              </w:rPr>
            </w:pPr>
            <w:r>
              <w:rPr>
                <w:rFonts w:ascii="Arial" w:cs="Arial" w:eastAsia="Arial" w:hAnsi="Arial"/>
                <w:sz w:val="17"/>
                <w:szCs w:val="17"/>
                <w:b w:val="1"/>
                <w:bCs w:val="1"/>
                <w:color w:val="0000FF"/>
                <w:w w:val="98"/>
              </w:rPr>
              <w:t>PART I. FINANCIAL INFORMATION</w:t>
            </w:r>
          </w:p>
        </w:tc>
        <w:tc>
          <w:tcPr>
            <w:tcW w:w="7680" w:type="dxa"/>
            <w:vAlign w:val="bottom"/>
            <w:gridSpan w:val="14"/>
            <w:vMerge w:val="restart"/>
          </w:tcPr>
          <w:p>
            <w:pPr>
              <w:spacing w:after="0"/>
              <w:rPr>
                <w:sz w:val="24"/>
                <w:szCs w:val="24"/>
                <w:color w:val="auto"/>
              </w:rPr>
            </w:pPr>
          </w:p>
        </w:tc>
        <w:tc>
          <w:tcPr>
            <w:tcW w:w="760" w:type="dxa"/>
            <w:vAlign w:val="bottom"/>
            <w:tcBorders>
              <w:bottom w:val="single" w:sz="8" w:color="auto"/>
            </w:tcBorders>
            <w:gridSpan w:val="5"/>
          </w:tcPr>
          <w:p>
            <w:pPr>
              <w:ind w:left="18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2780" w:type="dxa"/>
            <w:vAlign w:val="bottom"/>
            <w:tcBorders>
              <w:bottom w:val="single" w:sz="8" w:color="0000FF"/>
            </w:tcBorders>
            <w:gridSpan w:val="9"/>
            <w:vMerge w:val="continue"/>
          </w:tcPr>
          <w:p>
            <w:pPr>
              <w:spacing w:after="0"/>
              <w:rPr>
                <w:sz w:val="13"/>
                <w:szCs w:val="13"/>
                <w:color w:val="auto"/>
              </w:rPr>
            </w:pPr>
          </w:p>
        </w:tc>
        <w:tc>
          <w:tcPr>
            <w:tcW w:w="7680" w:type="dxa"/>
            <w:vAlign w:val="bottom"/>
            <w:gridSpan w:val="14"/>
            <w:vMerge w:val="continue"/>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1.</w:t>
            </w:r>
          </w:p>
        </w:tc>
        <w:tc>
          <w:tcPr>
            <w:tcW w:w="2480" w:type="dxa"/>
            <w:vAlign w:val="bottom"/>
            <w:gridSpan w:val="10"/>
          </w:tcPr>
          <w:p>
            <w:pPr>
              <w:spacing w:after="0"/>
              <w:rPr>
                <w:sz w:val="20"/>
                <w:szCs w:val="20"/>
                <w:color w:val="auto"/>
              </w:rPr>
            </w:pPr>
            <w:r>
              <w:rPr>
                <w:rFonts w:ascii="Arial" w:cs="Arial" w:eastAsia="Arial" w:hAnsi="Arial"/>
                <w:sz w:val="17"/>
                <w:szCs w:val="17"/>
                <w:color w:val="0000FF"/>
                <w:w w:val="98"/>
              </w:rPr>
              <w:t>Financial Statements (unaudited)</w:t>
            </w:r>
          </w:p>
        </w:tc>
        <w:tc>
          <w:tcPr>
            <w:tcW w:w="6820" w:type="dxa"/>
            <w:vAlign w:val="bottom"/>
            <w:gridSpan w:val="11"/>
          </w:tcPr>
          <w:p>
            <w:pPr>
              <w:spacing w:after="0"/>
              <w:rPr>
                <w:sz w:val="17"/>
                <w:szCs w:val="17"/>
                <w:color w:val="auto"/>
              </w:rPr>
            </w:pPr>
          </w:p>
        </w:tc>
        <w:tc>
          <w:tcPr>
            <w:tcW w:w="740" w:type="dxa"/>
            <w:vAlign w:val="bottom"/>
            <w:gridSpan w:val="4"/>
          </w:tcPr>
          <w:p>
            <w:pPr>
              <w:jc w:val="right"/>
              <w:spacing w:after="0"/>
              <w:rPr>
                <w:sz w:val="20"/>
                <w:szCs w:val="20"/>
                <w:color w:val="auto"/>
              </w:rPr>
            </w:pPr>
            <w:r>
              <w:rPr>
                <w:rFonts w:ascii="Arial" w:cs="Arial" w:eastAsia="Arial" w:hAnsi="Arial"/>
                <w:sz w:val="17"/>
                <w:szCs w:val="17"/>
                <w:color w:val="0000FF"/>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0" w:type="dxa"/>
            <w:vAlign w:val="bottom"/>
          </w:tcPr>
          <w:p>
            <w:pPr>
              <w:spacing w:after="0"/>
              <w:rPr>
                <w:sz w:val="24"/>
                <w:szCs w:val="24"/>
                <w:color w:val="auto"/>
              </w:rPr>
            </w:pPr>
          </w:p>
        </w:tc>
        <w:tc>
          <w:tcPr>
            <w:tcW w:w="10460" w:type="dxa"/>
            <w:vAlign w:val="bottom"/>
            <w:gridSpan w:val="23"/>
          </w:tcPr>
          <w:p>
            <w:pPr>
              <w:spacing w:after="0"/>
              <w:rPr>
                <w:sz w:val="20"/>
                <w:szCs w:val="20"/>
                <w:color w:val="auto"/>
              </w:rPr>
            </w:pPr>
            <w:r>
              <w:rPr>
                <w:rFonts w:ascii="Arial" w:cs="Arial" w:eastAsia="Arial" w:hAnsi="Arial"/>
                <w:sz w:val="17"/>
                <w:szCs w:val="17"/>
                <w:color w:val="auto"/>
              </w:rPr>
              <w:t>Boston Properties, Inc.</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300" w:type="dxa"/>
            <w:vAlign w:val="bottom"/>
            <w:gridSpan w:val="21"/>
          </w:tcPr>
          <w:p>
            <w:pPr>
              <w:spacing w:after="0" w:line="182" w:lineRule="exact"/>
              <w:rPr>
                <w:sz w:val="20"/>
                <w:szCs w:val="20"/>
                <w:color w:val="auto"/>
              </w:rPr>
            </w:pPr>
            <w:r>
              <w:rPr>
                <w:rFonts w:ascii="Arial" w:cs="Arial" w:eastAsia="Arial" w:hAnsi="Arial"/>
                <w:sz w:val="17"/>
                <w:szCs w:val="17"/>
                <w:color w:val="0000FF"/>
              </w:rPr>
              <w:t>a) Consolidated Balance Sheets as of September 30, 2022 and December 31, 2021</w:t>
            </w:r>
          </w:p>
        </w:tc>
        <w:tc>
          <w:tcPr>
            <w:tcW w:w="740" w:type="dxa"/>
            <w:vAlign w:val="bottom"/>
            <w:gridSpan w:val="4"/>
          </w:tcPr>
          <w:p>
            <w:pPr>
              <w:jc w:val="right"/>
              <w:spacing w:after="0" w:line="182" w:lineRule="exact"/>
              <w:rPr>
                <w:sz w:val="20"/>
                <w:szCs w:val="20"/>
                <w:color w:val="auto"/>
              </w:rPr>
            </w:pPr>
            <w:r>
              <w:rPr>
                <w:rFonts w:ascii="Arial" w:cs="Arial" w:eastAsia="Arial" w:hAnsi="Arial"/>
                <w:sz w:val="17"/>
                <w:szCs w:val="17"/>
                <w:color w:val="0000FF"/>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60" w:type="dxa"/>
            <w:vAlign w:val="bottom"/>
            <w:gridSpan w:val="18"/>
          </w:tcPr>
          <w:p>
            <w:pPr>
              <w:spacing w:after="0"/>
              <w:rPr>
                <w:sz w:val="20"/>
                <w:szCs w:val="20"/>
                <w:color w:val="auto"/>
              </w:rPr>
            </w:pPr>
            <w:r>
              <w:rPr>
                <w:rFonts w:ascii="Arial" w:cs="Arial" w:eastAsia="Arial" w:hAnsi="Arial"/>
                <w:sz w:val="17"/>
                <w:szCs w:val="17"/>
                <w:color w:val="0000FF"/>
                <w:w w:val="99"/>
              </w:rPr>
              <w:t>b) Consolidated Statements of Operations for the three and nine months ended September 30, 2022 and 2021</w:t>
            </w:r>
          </w:p>
        </w:tc>
        <w:tc>
          <w:tcPr>
            <w:tcW w:w="1040" w:type="dxa"/>
            <w:vAlign w:val="bottom"/>
            <w:gridSpan w:val="3"/>
          </w:tcPr>
          <w:p>
            <w:pPr>
              <w:spacing w:after="0"/>
              <w:rPr>
                <w:sz w:val="17"/>
                <w:szCs w:val="17"/>
                <w:color w:val="auto"/>
              </w:rPr>
            </w:pPr>
          </w:p>
        </w:tc>
        <w:tc>
          <w:tcPr>
            <w:tcW w:w="740" w:type="dxa"/>
            <w:vAlign w:val="bottom"/>
            <w:gridSpan w:val="4"/>
          </w:tcPr>
          <w:p>
            <w:pPr>
              <w:jc w:val="right"/>
              <w:spacing w:after="0"/>
              <w:rPr>
                <w:sz w:val="20"/>
                <w:szCs w:val="20"/>
                <w:color w:val="auto"/>
              </w:rPr>
            </w:pPr>
            <w:r>
              <w:rPr>
                <w:rFonts w:ascii="Arial" w:cs="Arial" w:eastAsia="Arial" w:hAnsi="Arial"/>
                <w:sz w:val="17"/>
                <w:szCs w:val="17"/>
                <w:color w:val="0000FF"/>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0" w:type="dxa"/>
            <w:vAlign w:val="bottom"/>
            <w:gridSpan w:val="20"/>
          </w:tcPr>
          <w:p>
            <w:pPr>
              <w:spacing w:after="0"/>
              <w:rPr>
                <w:sz w:val="20"/>
                <w:szCs w:val="20"/>
                <w:color w:val="auto"/>
              </w:rPr>
            </w:pPr>
            <w:r>
              <w:rPr>
                <w:rFonts w:ascii="Arial" w:cs="Arial" w:eastAsia="Arial" w:hAnsi="Arial"/>
                <w:sz w:val="17"/>
                <w:szCs w:val="17"/>
                <w:color w:val="0000FF"/>
                <w:w w:val="99"/>
              </w:rPr>
              <w:t>c) Consolidated Statements of Comprehensive Income for the three and nine months ended September 30, 2022 and 2021</w:t>
            </w:r>
          </w:p>
        </w:tc>
        <w:tc>
          <w:tcPr>
            <w:tcW w:w="100" w:type="dxa"/>
            <w:vAlign w:val="bottom"/>
          </w:tcPr>
          <w:p>
            <w:pPr>
              <w:spacing w:after="0"/>
              <w:rPr>
                <w:sz w:val="17"/>
                <w:szCs w:val="17"/>
                <w:color w:val="auto"/>
              </w:rPr>
            </w:pPr>
          </w:p>
        </w:tc>
        <w:tc>
          <w:tcPr>
            <w:tcW w:w="740" w:type="dxa"/>
            <w:vAlign w:val="bottom"/>
            <w:gridSpan w:val="4"/>
          </w:tcPr>
          <w:p>
            <w:pPr>
              <w:jc w:val="right"/>
              <w:spacing w:after="0"/>
              <w:rPr>
                <w:sz w:val="20"/>
                <w:szCs w:val="20"/>
                <w:color w:val="auto"/>
              </w:rPr>
            </w:pPr>
            <w:r>
              <w:rPr>
                <w:rFonts w:ascii="Arial" w:cs="Arial" w:eastAsia="Arial" w:hAnsi="Arial"/>
                <w:sz w:val="17"/>
                <w:szCs w:val="17"/>
                <w:color w:val="0000FF"/>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900" w:type="dxa"/>
            <w:vAlign w:val="bottom"/>
            <w:gridSpan w:val="17"/>
          </w:tcPr>
          <w:p>
            <w:pPr>
              <w:spacing w:after="0"/>
              <w:rPr>
                <w:sz w:val="20"/>
                <w:szCs w:val="20"/>
                <w:color w:val="auto"/>
              </w:rPr>
            </w:pPr>
            <w:r>
              <w:rPr>
                <w:rFonts w:ascii="Arial" w:cs="Arial" w:eastAsia="Arial" w:hAnsi="Arial"/>
                <w:sz w:val="17"/>
                <w:szCs w:val="17"/>
                <w:color w:val="0000FF"/>
                <w:w w:val="99"/>
              </w:rPr>
              <w:t>d) Consolidated Statements of Equity for the three and nine months ended September 30, 2022 and 2021</w:t>
            </w:r>
          </w:p>
        </w:tc>
        <w:tc>
          <w:tcPr>
            <w:tcW w:w="130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4"/>
          </w:tcPr>
          <w:p>
            <w:pPr>
              <w:jc w:val="right"/>
              <w:spacing w:after="0"/>
              <w:rPr>
                <w:sz w:val="20"/>
                <w:szCs w:val="20"/>
                <w:color w:val="auto"/>
              </w:rPr>
            </w:pPr>
            <w:r>
              <w:rPr>
                <w:rFonts w:ascii="Arial" w:cs="Arial" w:eastAsia="Arial" w:hAnsi="Arial"/>
                <w:sz w:val="17"/>
                <w:szCs w:val="17"/>
                <w:color w:val="0000FF"/>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900" w:type="dxa"/>
            <w:vAlign w:val="bottom"/>
            <w:gridSpan w:val="17"/>
          </w:tcPr>
          <w:p>
            <w:pPr>
              <w:spacing w:after="0"/>
              <w:rPr>
                <w:sz w:val="20"/>
                <w:szCs w:val="20"/>
                <w:color w:val="auto"/>
              </w:rPr>
            </w:pPr>
            <w:r>
              <w:rPr>
                <w:rFonts w:ascii="Arial" w:cs="Arial" w:eastAsia="Arial" w:hAnsi="Arial"/>
                <w:sz w:val="17"/>
                <w:szCs w:val="17"/>
                <w:color w:val="0000FF"/>
              </w:rPr>
              <w:t>e) Consolidated Statements of Cash Flows for the nine months ended September 30, 2022 and 2021</w:t>
            </w:r>
          </w:p>
        </w:tc>
        <w:tc>
          <w:tcPr>
            <w:tcW w:w="1400" w:type="dxa"/>
            <w:vAlign w:val="bottom"/>
            <w:gridSpan w:val="4"/>
          </w:tcPr>
          <w:p>
            <w:pPr>
              <w:spacing w:after="0"/>
              <w:rPr>
                <w:sz w:val="17"/>
                <w:szCs w:val="17"/>
                <w:color w:val="auto"/>
              </w:rPr>
            </w:pPr>
          </w:p>
        </w:tc>
        <w:tc>
          <w:tcPr>
            <w:tcW w:w="740" w:type="dxa"/>
            <w:vAlign w:val="bottom"/>
            <w:gridSpan w:val="4"/>
          </w:tcPr>
          <w:p>
            <w:pPr>
              <w:jc w:val="right"/>
              <w:spacing w:after="0"/>
              <w:rPr>
                <w:sz w:val="20"/>
                <w:szCs w:val="20"/>
                <w:color w:val="auto"/>
              </w:rPr>
            </w:pPr>
            <w:r>
              <w:rPr>
                <w:rFonts w:ascii="Arial" w:cs="Arial" w:eastAsia="Arial" w:hAnsi="Arial"/>
                <w:sz w:val="17"/>
                <w:szCs w:val="17"/>
                <w:color w:val="0000FF"/>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20" w:type="dxa"/>
            <w:vAlign w:val="bottom"/>
          </w:tcPr>
          <w:p>
            <w:pPr>
              <w:spacing w:after="0"/>
              <w:rPr>
                <w:sz w:val="24"/>
                <w:szCs w:val="24"/>
                <w:color w:val="auto"/>
              </w:rPr>
            </w:pPr>
          </w:p>
        </w:tc>
        <w:tc>
          <w:tcPr>
            <w:tcW w:w="10460" w:type="dxa"/>
            <w:vAlign w:val="bottom"/>
            <w:gridSpan w:val="23"/>
          </w:tcPr>
          <w:p>
            <w:pPr>
              <w:spacing w:after="0"/>
              <w:rPr>
                <w:sz w:val="20"/>
                <w:szCs w:val="20"/>
                <w:color w:val="auto"/>
              </w:rPr>
            </w:pPr>
            <w:r>
              <w:rPr>
                <w:rFonts w:ascii="Arial" w:cs="Arial" w:eastAsia="Arial" w:hAnsi="Arial"/>
                <w:sz w:val="17"/>
                <w:szCs w:val="17"/>
                <w:color w:val="auto"/>
              </w:rPr>
              <w:t>Boston Properties Limited Partnership</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300" w:type="dxa"/>
            <w:vAlign w:val="bottom"/>
            <w:gridSpan w:val="21"/>
          </w:tcPr>
          <w:p>
            <w:pPr>
              <w:spacing w:after="0" w:line="182" w:lineRule="exact"/>
              <w:rPr>
                <w:sz w:val="20"/>
                <w:szCs w:val="20"/>
                <w:color w:val="auto"/>
              </w:rPr>
            </w:pPr>
            <w:r>
              <w:rPr>
                <w:rFonts w:ascii="Arial" w:cs="Arial" w:eastAsia="Arial" w:hAnsi="Arial"/>
                <w:sz w:val="17"/>
                <w:szCs w:val="17"/>
                <w:color w:val="0000FF"/>
              </w:rPr>
              <w:t>a) Consolidated Balance Sheets as of September 30, 2022 and December 31, 2021</w:t>
            </w:r>
          </w:p>
        </w:tc>
        <w:tc>
          <w:tcPr>
            <w:tcW w:w="740" w:type="dxa"/>
            <w:vAlign w:val="bottom"/>
            <w:gridSpan w:val="4"/>
          </w:tcPr>
          <w:p>
            <w:pPr>
              <w:jc w:val="right"/>
              <w:spacing w:after="0" w:line="182" w:lineRule="exact"/>
              <w:rPr>
                <w:sz w:val="20"/>
                <w:szCs w:val="20"/>
                <w:color w:val="auto"/>
              </w:rPr>
            </w:pPr>
            <w:r>
              <w:rPr>
                <w:rFonts w:ascii="Arial" w:cs="Arial" w:eastAsia="Arial" w:hAnsi="Arial"/>
                <w:sz w:val="17"/>
                <w:szCs w:val="17"/>
                <w:color w:val="0000FF"/>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20" w:type="dxa"/>
            <w:vAlign w:val="bottom"/>
            <w:gridSpan w:val="19"/>
          </w:tcPr>
          <w:p>
            <w:pPr>
              <w:spacing w:after="0"/>
              <w:rPr>
                <w:sz w:val="20"/>
                <w:szCs w:val="20"/>
                <w:color w:val="auto"/>
              </w:rPr>
            </w:pPr>
            <w:r>
              <w:rPr>
                <w:rFonts w:ascii="Arial" w:cs="Arial" w:eastAsia="Arial" w:hAnsi="Arial"/>
                <w:sz w:val="17"/>
                <w:szCs w:val="17"/>
                <w:color w:val="0000FF"/>
              </w:rPr>
              <w:t>b) Consolidated Statements of Operations for the three and nine months ended September 30, 2022 and 2021</w:t>
            </w:r>
          </w:p>
        </w:tc>
        <w:tc>
          <w:tcPr>
            <w:tcW w:w="380" w:type="dxa"/>
            <w:vAlign w:val="bottom"/>
            <w:gridSpan w:val="2"/>
          </w:tcPr>
          <w:p>
            <w:pPr>
              <w:spacing w:after="0"/>
              <w:rPr>
                <w:sz w:val="17"/>
                <w:szCs w:val="17"/>
                <w:color w:val="auto"/>
              </w:rPr>
            </w:pPr>
          </w:p>
        </w:tc>
        <w:tc>
          <w:tcPr>
            <w:tcW w:w="740" w:type="dxa"/>
            <w:vAlign w:val="bottom"/>
            <w:gridSpan w:val="4"/>
          </w:tcPr>
          <w:p>
            <w:pPr>
              <w:jc w:val="center"/>
              <w:ind w:left="495"/>
              <w:spacing w:after="0"/>
              <w:rPr>
                <w:sz w:val="20"/>
                <w:szCs w:val="20"/>
                <w:color w:val="auto"/>
              </w:rPr>
            </w:pPr>
            <w:r>
              <w:rPr>
                <w:rFonts w:ascii="Arial" w:cs="Arial" w:eastAsia="Arial" w:hAnsi="Arial"/>
                <w:sz w:val="17"/>
                <w:szCs w:val="17"/>
                <w:color w:val="0000FF"/>
                <w:w w:val="84"/>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0" w:type="dxa"/>
            <w:vAlign w:val="bottom"/>
            <w:gridSpan w:val="20"/>
          </w:tcPr>
          <w:p>
            <w:pPr>
              <w:spacing w:after="0"/>
              <w:rPr>
                <w:sz w:val="20"/>
                <w:szCs w:val="20"/>
                <w:color w:val="auto"/>
              </w:rPr>
            </w:pPr>
            <w:r>
              <w:rPr>
                <w:rFonts w:ascii="Arial" w:cs="Arial" w:eastAsia="Arial" w:hAnsi="Arial"/>
                <w:sz w:val="17"/>
                <w:szCs w:val="17"/>
                <w:color w:val="0000FF"/>
                <w:w w:val="99"/>
              </w:rPr>
              <w:t>c) Consolidated Statements of Comprehensive Income for the three and nine months ended September 30, 2022 and 2021</w:t>
            </w:r>
          </w:p>
        </w:tc>
        <w:tc>
          <w:tcPr>
            <w:tcW w:w="10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180" w:type="dxa"/>
            <w:vAlign w:val="bottom"/>
            <w:gridSpan w:val="3"/>
          </w:tcPr>
          <w:p>
            <w:pPr>
              <w:jc w:val="center"/>
              <w:ind w:right="20"/>
              <w:spacing w:after="0"/>
              <w:rPr>
                <w:sz w:val="20"/>
                <w:szCs w:val="20"/>
                <w:color w:val="auto"/>
              </w:rPr>
            </w:pPr>
            <w:r>
              <w:rPr>
                <w:rFonts w:ascii="Arial" w:cs="Arial" w:eastAsia="Arial" w:hAnsi="Arial"/>
                <w:sz w:val="17"/>
                <w:szCs w:val="17"/>
                <w:color w:val="0000FF"/>
                <w:w w:val="84"/>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0" w:type="dxa"/>
            <w:vAlign w:val="bottom"/>
            <w:gridSpan w:val="20"/>
          </w:tcPr>
          <w:p>
            <w:pPr>
              <w:spacing w:after="0"/>
              <w:rPr>
                <w:sz w:val="20"/>
                <w:szCs w:val="20"/>
                <w:color w:val="auto"/>
              </w:rPr>
            </w:pPr>
            <w:r>
              <w:rPr>
                <w:rFonts w:ascii="Arial" w:cs="Arial" w:eastAsia="Arial" w:hAnsi="Arial"/>
                <w:sz w:val="17"/>
                <w:szCs w:val="17"/>
                <w:color w:val="0000FF"/>
              </w:rPr>
              <w:t>d) Consolidated Statements of Capital and Noncontrolling Interests for the three and nine months ended September 30,</w:t>
            </w:r>
          </w:p>
        </w:tc>
        <w:tc>
          <w:tcPr>
            <w:tcW w:w="1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80" w:type="dxa"/>
            <w:vAlign w:val="bottom"/>
            <w:gridSpan w:val="3"/>
          </w:tcPr>
          <w:p>
            <w:pPr>
              <w:jc w:val="center"/>
              <w:ind w:right="20"/>
              <w:spacing w:after="0"/>
              <w:rPr>
                <w:sz w:val="20"/>
                <w:szCs w:val="20"/>
                <w:color w:val="auto"/>
              </w:rPr>
            </w:pPr>
            <w:r>
              <w:rPr>
                <w:rFonts w:ascii="Arial" w:cs="Arial" w:eastAsia="Arial" w:hAnsi="Arial"/>
                <w:sz w:val="17"/>
                <w:szCs w:val="17"/>
                <w:color w:val="0000FF"/>
                <w:w w:val="84"/>
              </w:rPr>
              <w:t>13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180" w:type="dxa"/>
            <w:vAlign w:val="bottom"/>
            <w:tcBorders>
              <w:top w:val="single" w:sz="8" w:color="0000FF"/>
              <w:bottom w:val="single" w:sz="8" w:color="0000FF"/>
            </w:tcBorders>
            <w:gridSpan w:val="4"/>
          </w:tcPr>
          <w:p>
            <w:pPr>
              <w:spacing w:after="0" w:line="125" w:lineRule="exact"/>
              <w:rPr>
                <w:sz w:val="20"/>
                <w:szCs w:val="20"/>
                <w:color w:val="auto"/>
              </w:rPr>
            </w:pPr>
            <w:r>
              <w:rPr>
                <w:rFonts w:ascii="Arial" w:cs="Arial" w:eastAsia="Arial" w:hAnsi="Arial"/>
                <w:sz w:val="14"/>
                <w:szCs w:val="14"/>
                <w:color w:val="0000FF"/>
              </w:rPr>
              <w:t>2022 and 2021</w:t>
            </w:r>
          </w:p>
        </w:tc>
        <w:tc>
          <w:tcPr>
            <w:tcW w:w="7520" w:type="dxa"/>
            <w:vAlign w:val="bottom"/>
            <w:tcBorders>
              <w:top w:val="single" w:sz="8" w:color="0000FF"/>
            </w:tcBorders>
            <w:gridSpan w:val="13"/>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Arial" w:cs="Arial" w:eastAsia="Arial" w:hAnsi="Arial"/>
                <w:sz w:val="17"/>
                <w:szCs w:val="17"/>
                <w:color w:val="0000FF"/>
              </w:rPr>
              <w:t>e) Consolidated Statements of Cash Flows for the nine months ended September 30, 2022 and 2021</w:t>
            </w:r>
          </w:p>
        </w:tc>
        <w:tc>
          <w:tcPr>
            <w:tcW w:w="760" w:type="dxa"/>
            <w:vAlign w:val="bottom"/>
            <w:gridSpan w:val="5"/>
          </w:tcPr>
          <w:p>
            <w:pPr>
              <w:jc w:val="center"/>
              <w:ind w:left="455"/>
              <w:spacing w:after="0"/>
              <w:rPr>
                <w:sz w:val="20"/>
                <w:szCs w:val="20"/>
                <w:color w:val="auto"/>
              </w:rPr>
            </w:pPr>
            <w:r>
              <w:rPr>
                <w:rFonts w:ascii="Arial" w:cs="Arial" w:eastAsia="Arial" w:hAnsi="Arial"/>
                <w:sz w:val="17"/>
                <w:szCs w:val="17"/>
                <w:color w:val="0000FF"/>
                <w:w w:val="94"/>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20" w:type="dxa"/>
            <w:vAlign w:val="bottom"/>
          </w:tcPr>
          <w:p>
            <w:pPr>
              <w:spacing w:after="0"/>
              <w:rPr>
                <w:sz w:val="24"/>
                <w:szCs w:val="24"/>
                <w:color w:val="auto"/>
              </w:rPr>
            </w:pPr>
          </w:p>
        </w:tc>
        <w:tc>
          <w:tcPr>
            <w:tcW w:w="10460" w:type="dxa"/>
            <w:vAlign w:val="bottom"/>
            <w:gridSpan w:val="23"/>
          </w:tcPr>
          <w:p>
            <w:pPr>
              <w:spacing w:after="0"/>
              <w:rPr>
                <w:sz w:val="20"/>
                <w:szCs w:val="20"/>
                <w:color w:val="auto"/>
              </w:rPr>
            </w:pPr>
            <w:r>
              <w:rPr>
                <w:rFonts w:ascii="Arial" w:cs="Arial" w:eastAsia="Arial" w:hAnsi="Arial"/>
                <w:sz w:val="17"/>
                <w:szCs w:val="17"/>
                <w:color w:val="auto"/>
              </w:rPr>
              <w:t>Boston Properties, Inc. and Boston Properties Limited Partnership</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300" w:type="dxa"/>
            <w:vAlign w:val="bottom"/>
            <w:gridSpan w:val="21"/>
          </w:tcPr>
          <w:p>
            <w:pPr>
              <w:spacing w:after="0" w:line="182" w:lineRule="exact"/>
              <w:rPr>
                <w:sz w:val="20"/>
                <w:szCs w:val="20"/>
                <w:color w:val="auto"/>
              </w:rPr>
            </w:pPr>
            <w:r>
              <w:rPr>
                <w:rFonts w:ascii="Arial" w:cs="Arial" w:eastAsia="Arial" w:hAnsi="Arial"/>
                <w:sz w:val="17"/>
                <w:szCs w:val="17"/>
                <w:color w:val="0000FF"/>
              </w:rPr>
              <w:t>Notes to the Consolidated Financial Statements</w:t>
            </w:r>
          </w:p>
        </w:tc>
        <w:tc>
          <w:tcPr>
            <w:tcW w:w="760" w:type="dxa"/>
            <w:vAlign w:val="bottom"/>
            <w:gridSpan w:val="5"/>
          </w:tcPr>
          <w:p>
            <w:pPr>
              <w:jc w:val="center"/>
              <w:ind w:left="455"/>
              <w:spacing w:after="0" w:line="182" w:lineRule="exact"/>
              <w:rPr>
                <w:sz w:val="20"/>
                <w:szCs w:val="20"/>
                <w:color w:val="auto"/>
              </w:rPr>
            </w:pPr>
            <w:r>
              <w:rPr>
                <w:rFonts w:ascii="Arial" w:cs="Arial" w:eastAsia="Arial" w:hAnsi="Arial"/>
                <w:sz w:val="17"/>
                <w:szCs w:val="17"/>
                <w:color w:val="0000FF"/>
                <w:w w:val="94"/>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2.</w:t>
            </w:r>
          </w:p>
        </w:tc>
        <w:tc>
          <w:tcPr>
            <w:tcW w:w="9300" w:type="dxa"/>
            <w:vAlign w:val="bottom"/>
            <w:gridSpan w:val="21"/>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760" w:type="dxa"/>
            <w:vAlign w:val="bottom"/>
            <w:gridSpan w:val="5"/>
          </w:tcPr>
          <w:p>
            <w:pPr>
              <w:jc w:val="center"/>
              <w:ind w:left="455"/>
              <w:spacing w:after="0"/>
              <w:rPr>
                <w:sz w:val="20"/>
                <w:szCs w:val="20"/>
                <w:color w:val="auto"/>
              </w:rPr>
            </w:pPr>
            <w:r>
              <w:rPr>
                <w:rFonts w:ascii="Arial" w:cs="Arial" w:eastAsia="Arial" w:hAnsi="Arial"/>
                <w:sz w:val="17"/>
                <w:szCs w:val="17"/>
                <w:color w:val="0000FF"/>
                <w:w w:val="94"/>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3.</w:t>
            </w:r>
          </w:p>
        </w:tc>
        <w:tc>
          <w:tcPr>
            <w:tcW w:w="6640" w:type="dxa"/>
            <w:vAlign w:val="bottom"/>
            <w:gridSpan w:val="15"/>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2660" w:type="dxa"/>
            <w:vAlign w:val="bottom"/>
            <w:gridSpan w:val="6"/>
          </w:tcPr>
          <w:p>
            <w:pPr>
              <w:spacing w:after="0"/>
              <w:rPr>
                <w:sz w:val="17"/>
                <w:szCs w:val="17"/>
                <w:color w:val="auto"/>
              </w:rPr>
            </w:pPr>
          </w:p>
        </w:tc>
        <w:tc>
          <w:tcPr>
            <w:tcW w:w="580" w:type="dxa"/>
            <w:vAlign w:val="bottom"/>
            <w:gridSpan w:val="2"/>
          </w:tcPr>
          <w:p>
            <w:pPr>
              <w:spacing w:after="0"/>
              <w:rPr>
                <w:sz w:val="17"/>
                <w:szCs w:val="17"/>
                <w:color w:val="auto"/>
              </w:rPr>
            </w:pPr>
          </w:p>
        </w:tc>
        <w:tc>
          <w:tcPr>
            <w:tcW w:w="180" w:type="dxa"/>
            <w:vAlign w:val="bottom"/>
            <w:gridSpan w:val="3"/>
          </w:tcPr>
          <w:p>
            <w:pPr>
              <w:jc w:val="center"/>
              <w:ind w:right="20"/>
              <w:spacing w:after="0"/>
              <w:rPr>
                <w:sz w:val="20"/>
                <w:szCs w:val="20"/>
                <w:color w:val="auto"/>
              </w:rPr>
            </w:pPr>
            <w:r>
              <w:rPr>
                <w:rFonts w:ascii="Arial" w:cs="Arial" w:eastAsia="Arial" w:hAnsi="Arial"/>
                <w:sz w:val="17"/>
                <w:szCs w:val="17"/>
                <w:color w:val="0000FF"/>
                <w:w w:val="84"/>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4.</w:t>
            </w:r>
          </w:p>
        </w:tc>
        <w:tc>
          <w:tcPr>
            <w:tcW w:w="4400" w:type="dxa"/>
            <w:vAlign w:val="bottom"/>
            <w:gridSpan w:val="12"/>
          </w:tcPr>
          <w:p>
            <w:pPr>
              <w:spacing w:after="0"/>
              <w:rPr>
                <w:sz w:val="20"/>
                <w:szCs w:val="20"/>
                <w:color w:val="auto"/>
              </w:rPr>
            </w:pPr>
            <w:r>
              <w:rPr>
                <w:rFonts w:ascii="Arial" w:cs="Arial" w:eastAsia="Arial" w:hAnsi="Arial"/>
                <w:sz w:val="17"/>
                <w:szCs w:val="17"/>
                <w:color w:val="0000FF"/>
              </w:rPr>
              <w:t>Controls and Procedures</w:t>
            </w:r>
          </w:p>
        </w:tc>
        <w:tc>
          <w:tcPr>
            <w:tcW w:w="4900" w:type="dxa"/>
            <w:vAlign w:val="bottom"/>
            <w:gridSpan w:val="9"/>
          </w:tcPr>
          <w:p>
            <w:pPr>
              <w:spacing w:after="0"/>
              <w:rPr>
                <w:sz w:val="17"/>
                <w:szCs w:val="17"/>
                <w:color w:val="auto"/>
              </w:rPr>
            </w:pPr>
          </w:p>
        </w:tc>
        <w:tc>
          <w:tcPr>
            <w:tcW w:w="580" w:type="dxa"/>
            <w:vAlign w:val="bottom"/>
            <w:gridSpan w:val="2"/>
          </w:tcPr>
          <w:p>
            <w:pPr>
              <w:spacing w:after="0"/>
              <w:rPr>
                <w:sz w:val="17"/>
                <w:szCs w:val="17"/>
                <w:color w:val="auto"/>
              </w:rPr>
            </w:pPr>
          </w:p>
        </w:tc>
        <w:tc>
          <w:tcPr>
            <w:tcW w:w="180" w:type="dxa"/>
            <w:vAlign w:val="bottom"/>
            <w:gridSpan w:val="3"/>
          </w:tcPr>
          <w:p>
            <w:pPr>
              <w:jc w:val="center"/>
              <w:ind w:right="20"/>
              <w:spacing w:after="0"/>
              <w:rPr>
                <w:sz w:val="20"/>
                <w:szCs w:val="20"/>
                <w:color w:val="auto"/>
              </w:rPr>
            </w:pPr>
            <w:r>
              <w:rPr>
                <w:rFonts w:ascii="Arial" w:cs="Arial" w:eastAsia="Arial" w:hAnsi="Arial"/>
                <w:sz w:val="17"/>
                <w:szCs w:val="17"/>
                <w:color w:val="0000FF"/>
                <w:w w:val="84"/>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10460" w:type="dxa"/>
            <w:vAlign w:val="bottom"/>
            <w:gridSpan w:val="23"/>
          </w:tcPr>
          <w:p>
            <w:pPr>
              <w:spacing w:after="0"/>
              <w:rPr>
                <w:sz w:val="20"/>
                <w:szCs w:val="20"/>
                <w:color w:val="auto"/>
              </w:rPr>
            </w:pPr>
            <w:r>
              <w:rPr>
                <w:rFonts w:ascii="Arial" w:cs="Arial" w:eastAsia="Arial" w:hAnsi="Arial"/>
                <w:sz w:val="17"/>
                <w:szCs w:val="17"/>
                <w:b w:val="1"/>
                <w:bCs w:val="1"/>
                <w:color w:val="0000FF"/>
              </w:rPr>
              <w:t>PART II. OTHER INFORMATION</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1.</w:t>
            </w:r>
          </w:p>
        </w:tc>
        <w:tc>
          <w:tcPr>
            <w:tcW w:w="1400" w:type="dxa"/>
            <w:vAlign w:val="bottom"/>
            <w:gridSpan w:val="6"/>
          </w:tcPr>
          <w:p>
            <w:pPr>
              <w:spacing w:after="0"/>
              <w:rPr>
                <w:sz w:val="20"/>
                <w:szCs w:val="20"/>
                <w:color w:val="auto"/>
              </w:rPr>
            </w:pPr>
            <w:r>
              <w:rPr>
                <w:rFonts w:ascii="Arial" w:cs="Arial" w:eastAsia="Arial" w:hAnsi="Arial"/>
                <w:sz w:val="17"/>
                <w:szCs w:val="17"/>
                <w:color w:val="0000FF"/>
                <w:w w:val="96"/>
              </w:rPr>
              <w:t>Legal Proceedings</w:t>
            </w:r>
          </w:p>
        </w:tc>
        <w:tc>
          <w:tcPr>
            <w:tcW w:w="7900" w:type="dxa"/>
            <w:vAlign w:val="bottom"/>
            <w:gridSpan w:val="15"/>
          </w:tcPr>
          <w:p>
            <w:pPr>
              <w:spacing w:after="0"/>
              <w:rPr>
                <w:sz w:val="17"/>
                <w:szCs w:val="17"/>
                <w:color w:val="auto"/>
              </w:rPr>
            </w:pPr>
          </w:p>
        </w:tc>
        <w:tc>
          <w:tcPr>
            <w:tcW w:w="580" w:type="dxa"/>
            <w:vAlign w:val="bottom"/>
            <w:gridSpan w:val="2"/>
          </w:tcPr>
          <w:p>
            <w:pPr>
              <w:spacing w:after="0"/>
              <w:rPr>
                <w:sz w:val="17"/>
                <w:szCs w:val="17"/>
                <w:color w:val="auto"/>
              </w:rPr>
            </w:pPr>
          </w:p>
        </w:tc>
        <w:tc>
          <w:tcPr>
            <w:tcW w:w="180" w:type="dxa"/>
            <w:vAlign w:val="bottom"/>
            <w:gridSpan w:val="3"/>
          </w:tcPr>
          <w:p>
            <w:pPr>
              <w:jc w:val="center"/>
              <w:ind w:right="20"/>
              <w:spacing w:after="0"/>
              <w:rPr>
                <w:sz w:val="20"/>
                <w:szCs w:val="20"/>
                <w:color w:val="auto"/>
              </w:rPr>
            </w:pPr>
            <w:r>
              <w:rPr>
                <w:rFonts w:ascii="Arial" w:cs="Arial" w:eastAsia="Arial" w:hAnsi="Arial"/>
                <w:sz w:val="17"/>
                <w:szCs w:val="17"/>
                <w:color w:val="0000FF"/>
                <w:w w:val="84"/>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940" w:type="dxa"/>
            <w:vAlign w:val="bottom"/>
            <w:gridSpan w:val="4"/>
          </w:tcPr>
          <w:p>
            <w:pPr>
              <w:spacing w:after="0"/>
              <w:rPr>
                <w:sz w:val="20"/>
                <w:szCs w:val="20"/>
                <w:color w:val="auto"/>
              </w:rPr>
            </w:pPr>
            <w:r>
              <w:rPr>
                <w:rFonts w:ascii="Arial" w:cs="Arial" w:eastAsia="Arial" w:hAnsi="Arial"/>
                <w:sz w:val="17"/>
                <w:szCs w:val="17"/>
                <w:color w:val="0000FF"/>
                <w:w w:val="97"/>
              </w:rPr>
              <w:t>Risk Factors</w:t>
            </w:r>
          </w:p>
        </w:tc>
        <w:tc>
          <w:tcPr>
            <w:tcW w:w="460" w:type="dxa"/>
            <w:vAlign w:val="bottom"/>
            <w:gridSpan w:val="2"/>
          </w:tcPr>
          <w:p>
            <w:pPr>
              <w:spacing w:after="0"/>
              <w:rPr>
                <w:sz w:val="17"/>
                <w:szCs w:val="17"/>
                <w:color w:val="auto"/>
              </w:rPr>
            </w:pPr>
          </w:p>
        </w:tc>
        <w:tc>
          <w:tcPr>
            <w:tcW w:w="7900" w:type="dxa"/>
            <w:vAlign w:val="bottom"/>
            <w:gridSpan w:val="15"/>
          </w:tcPr>
          <w:p>
            <w:pPr>
              <w:spacing w:after="0"/>
              <w:rPr>
                <w:sz w:val="17"/>
                <w:szCs w:val="17"/>
                <w:color w:val="auto"/>
              </w:rPr>
            </w:pPr>
          </w:p>
        </w:tc>
        <w:tc>
          <w:tcPr>
            <w:tcW w:w="580" w:type="dxa"/>
            <w:vAlign w:val="bottom"/>
            <w:gridSpan w:val="2"/>
          </w:tcPr>
          <w:p>
            <w:pPr>
              <w:spacing w:after="0"/>
              <w:rPr>
                <w:sz w:val="17"/>
                <w:szCs w:val="17"/>
                <w:color w:val="auto"/>
              </w:rPr>
            </w:pPr>
          </w:p>
        </w:tc>
        <w:tc>
          <w:tcPr>
            <w:tcW w:w="180" w:type="dxa"/>
            <w:vAlign w:val="bottom"/>
            <w:gridSpan w:val="3"/>
          </w:tcPr>
          <w:p>
            <w:pPr>
              <w:jc w:val="center"/>
              <w:ind w:right="20"/>
              <w:spacing w:after="0"/>
              <w:rPr>
                <w:sz w:val="20"/>
                <w:szCs w:val="20"/>
                <w:color w:val="auto"/>
              </w:rPr>
            </w:pPr>
            <w:r>
              <w:rPr>
                <w:rFonts w:ascii="Arial" w:cs="Arial" w:eastAsia="Arial" w:hAnsi="Arial"/>
                <w:sz w:val="17"/>
                <w:szCs w:val="17"/>
                <w:color w:val="0000FF"/>
                <w:w w:val="84"/>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2.</w:t>
            </w:r>
          </w:p>
        </w:tc>
        <w:tc>
          <w:tcPr>
            <w:tcW w:w="4560" w:type="dxa"/>
            <w:vAlign w:val="bottom"/>
            <w:gridSpan w:val="13"/>
          </w:tcPr>
          <w:p>
            <w:pPr>
              <w:spacing w:after="0"/>
              <w:rPr>
                <w:sz w:val="20"/>
                <w:szCs w:val="20"/>
                <w:color w:val="auto"/>
              </w:rPr>
            </w:pPr>
            <w:r>
              <w:rPr>
                <w:rFonts w:ascii="Arial" w:cs="Arial" w:eastAsia="Arial" w:hAnsi="Arial"/>
                <w:sz w:val="17"/>
                <w:szCs w:val="17"/>
                <w:color w:val="0000FF"/>
                <w:w w:val="99"/>
              </w:rPr>
              <w:t>Unregistered Sales of Equity Securities and Use of Proceeds</w:t>
            </w:r>
          </w:p>
        </w:tc>
        <w:tc>
          <w:tcPr>
            <w:tcW w:w="4740" w:type="dxa"/>
            <w:vAlign w:val="bottom"/>
            <w:gridSpan w:val="8"/>
          </w:tcPr>
          <w:p>
            <w:pPr>
              <w:spacing w:after="0"/>
              <w:rPr>
                <w:sz w:val="17"/>
                <w:szCs w:val="17"/>
                <w:color w:val="auto"/>
              </w:rPr>
            </w:pPr>
          </w:p>
        </w:tc>
        <w:tc>
          <w:tcPr>
            <w:tcW w:w="580" w:type="dxa"/>
            <w:vAlign w:val="bottom"/>
            <w:gridSpan w:val="2"/>
          </w:tcPr>
          <w:p>
            <w:pPr>
              <w:spacing w:after="0"/>
              <w:rPr>
                <w:sz w:val="17"/>
                <w:szCs w:val="17"/>
                <w:color w:val="auto"/>
              </w:rPr>
            </w:pPr>
          </w:p>
        </w:tc>
        <w:tc>
          <w:tcPr>
            <w:tcW w:w="180" w:type="dxa"/>
            <w:vAlign w:val="bottom"/>
            <w:gridSpan w:val="3"/>
          </w:tcPr>
          <w:p>
            <w:pPr>
              <w:jc w:val="center"/>
              <w:ind w:right="20"/>
              <w:spacing w:after="0"/>
              <w:rPr>
                <w:sz w:val="20"/>
                <w:szCs w:val="20"/>
                <w:color w:val="auto"/>
              </w:rPr>
            </w:pPr>
            <w:r>
              <w:rPr>
                <w:rFonts w:ascii="Arial" w:cs="Arial" w:eastAsia="Arial" w:hAnsi="Arial"/>
                <w:sz w:val="17"/>
                <w:szCs w:val="17"/>
                <w:color w:val="0000FF"/>
                <w:w w:val="84"/>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3.</w:t>
            </w:r>
          </w:p>
        </w:tc>
        <w:tc>
          <w:tcPr>
            <w:tcW w:w="2400" w:type="dxa"/>
            <w:vAlign w:val="bottom"/>
            <w:gridSpan w:val="9"/>
          </w:tcPr>
          <w:p>
            <w:pPr>
              <w:spacing w:after="0"/>
              <w:rPr>
                <w:sz w:val="20"/>
                <w:szCs w:val="20"/>
                <w:color w:val="auto"/>
              </w:rPr>
            </w:pPr>
            <w:r>
              <w:rPr>
                <w:rFonts w:ascii="Arial" w:cs="Arial" w:eastAsia="Arial" w:hAnsi="Arial"/>
                <w:sz w:val="17"/>
                <w:szCs w:val="17"/>
                <w:color w:val="0000FF"/>
                <w:w w:val="98"/>
              </w:rPr>
              <w:t>Defaults Upon Senior Securities</w:t>
            </w:r>
          </w:p>
        </w:tc>
        <w:tc>
          <w:tcPr>
            <w:tcW w:w="2160" w:type="dxa"/>
            <w:vAlign w:val="bottom"/>
            <w:gridSpan w:val="4"/>
          </w:tcPr>
          <w:p>
            <w:pPr>
              <w:spacing w:after="0"/>
              <w:rPr>
                <w:sz w:val="17"/>
                <w:szCs w:val="17"/>
                <w:color w:val="auto"/>
              </w:rPr>
            </w:pPr>
          </w:p>
        </w:tc>
        <w:tc>
          <w:tcPr>
            <w:tcW w:w="4740" w:type="dxa"/>
            <w:vAlign w:val="bottom"/>
            <w:gridSpan w:val="8"/>
          </w:tcPr>
          <w:p>
            <w:pPr>
              <w:spacing w:after="0"/>
              <w:rPr>
                <w:sz w:val="17"/>
                <w:szCs w:val="17"/>
                <w:color w:val="auto"/>
              </w:rPr>
            </w:pPr>
          </w:p>
        </w:tc>
        <w:tc>
          <w:tcPr>
            <w:tcW w:w="580" w:type="dxa"/>
            <w:vAlign w:val="bottom"/>
            <w:gridSpan w:val="2"/>
          </w:tcPr>
          <w:p>
            <w:pPr>
              <w:spacing w:after="0"/>
              <w:rPr>
                <w:sz w:val="17"/>
                <w:szCs w:val="17"/>
                <w:color w:val="auto"/>
              </w:rPr>
            </w:pPr>
          </w:p>
        </w:tc>
        <w:tc>
          <w:tcPr>
            <w:tcW w:w="180" w:type="dxa"/>
            <w:vAlign w:val="bottom"/>
            <w:gridSpan w:val="3"/>
          </w:tcPr>
          <w:p>
            <w:pPr>
              <w:jc w:val="center"/>
              <w:ind w:right="20"/>
              <w:spacing w:after="0"/>
              <w:rPr>
                <w:sz w:val="20"/>
                <w:szCs w:val="20"/>
                <w:color w:val="auto"/>
              </w:rPr>
            </w:pPr>
            <w:r>
              <w:rPr>
                <w:rFonts w:ascii="Arial" w:cs="Arial" w:eastAsia="Arial" w:hAnsi="Arial"/>
                <w:sz w:val="17"/>
                <w:szCs w:val="17"/>
                <w:color w:val="0000FF"/>
                <w:w w:val="84"/>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6900" w:type="dxa"/>
            <w:vAlign w:val="bottom"/>
            <w:gridSpan w:val="1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4.</w:t>
            </w:r>
          </w:p>
        </w:tc>
        <w:tc>
          <w:tcPr>
            <w:tcW w:w="2400" w:type="dxa"/>
            <w:vAlign w:val="bottom"/>
            <w:gridSpan w:val="9"/>
          </w:tcPr>
          <w:p>
            <w:pPr>
              <w:spacing w:after="0"/>
              <w:rPr>
                <w:sz w:val="20"/>
                <w:szCs w:val="20"/>
                <w:color w:val="auto"/>
              </w:rPr>
            </w:pPr>
            <w:r>
              <w:rPr>
                <w:rFonts w:ascii="Arial" w:cs="Arial" w:eastAsia="Arial" w:hAnsi="Arial"/>
                <w:sz w:val="17"/>
                <w:szCs w:val="17"/>
                <w:color w:val="0000FF"/>
              </w:rPr>
              <w:t>Mine Safety Disclosures</w:t>
            </w:r>
          </w:p>
        </w:tc>
        <w:tc>
          <w:tcPr>
            <w:tcW w:w="6900" w:type="dxa"/>
            <w:vAlign w:val="bottom"/>
            <w:gridSpan w:val="12"/>
          </w:tcPr>
          <w:p>
            <w:pPr>
              <w:spacing w:after="0"/>
              <w:rPr>
                <w:sz w:val="17"/>
                <w:szCs w:val="17"/>
                <w:color w:val="auto"/>
              </w:rPr>
            </w:pPr>
          </w:p>
        </w:tc>
        <w:tc>
          <w:tcPr>
            <w:tcW w:w="580" w:type="dxa"/>
            <w:vAlign w:val="bottom"/>
            <w:gridSpan w:val="2"/>
          </w:tcPr>
          <w:p>
            <w:pPr>
              <w:spacing w:after="0"/>
              <w:rPr>
                <w:sz w:val="17"/>
                <w:szCs w:val="17"/>
                <w:color w:val="auto"/>
              </w:rPr>
            </w:pPr>
          </w:p>
        </w:tc>
        <w:tc>
          <w:tcPr>
            <w:tcW w:w="180" w:type="dxa"/>
            <w:vAlign w:val="bottom"/>
            <w:gridSpan w:val="3"/>
          </w:tcPr>
          <w:p>
            <w:pPr>
              <w:jc w:val="center"/>
              <w:ind w:right="20"/>
              <w:spacing w:after="0"/>
              <w:rPr>
                <w:sz w:val="20"/>
                <w:szCs w:val="20"/>
                <w:color w:val="auto"/>
              </w:rPr>
            </w:pPr>
            <w:r>
              <w:rPr>
                <w:rFonts w:ascii="Arial" w:cs="Arial" w:eastAsia="Arial" w:hAnsi="Arial"/>
                <w:sz w:val="17"/>
                <w:szCs w:val="17"/>
                <w:color w:val="0000FF"/>
                <w:w w:val="84"/>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7500" w:type="dxa"/>
            <w:vAlign w:val="bottom"/>
            <w:gridSpan w:val="1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5.</w:t>
            </w:r>
          </w:p>
        </w:tc>
        <w:tc>
          <w:tcPr>
            <w:tcW w:w="1800" w:type="dxa"/>
            <w:vAlign w:val="bottom"/>
            <w:gridSpan w:val="8"/>
          </w:tcPr>
          <w:p>
            <w:pPr>
              <w:spacing w:after="0"/>
              <w:rPr>
                <w:sz w:val="20"/>
                <w:szCs w:val="20"/>
                <w:color w:val="auto"/>
              </w:rPr>
            </w:pPr>
            <w:r>
              <w:rPr>
                <w:rFonts w:ascii="Arial" w:cs="Arial" w:eastAsia="Arial" w:hAnsi="Arial"/>
                <w:sz w:val="17"/>
                <w:szCs w:val="17"/>
                <w:color w:val="0000FF"/>
              </w:rPr>
              <w:t>Other Information</w:t>
            </w:r>
          </w:p>
        </w:tc>
        <w:tc>
          <w:tcPr>
            <w:tcW w:w="7500" w:type="dxa"/>
            <w:vAlign w:val="bottom"/>
            <w:gridSpan w:val="13"/>
          </w:tcPr>
          <w:p>
            <w:pPr>
              <w:spacing w:after="0"/>
              <w:rPr>
                <w:sz w:val="17"/>
                <w:szCs w:val="17"/>
                <w:color w:val="auto"/>
              </w:rPr>
            </w:pPr>
          </w:p>
        </w:tc>
        <w:tc>
          <w:tcPr>
            <w:tcW w:w="580" w:type="dxa"/>
            <w:vAlign w:val="bottom"/>
            <w:gridSpan w:val="2"/>
          </w:tcPr>
          <w:p>
            <w:pPr>
              <w:spacing w:after="0"/>
              <w:rPr>
                <w:sz w:val="17"/>
                <w:szCs w:val="17"/>
                <w:color w:val="auto"/>
              </w:rPr>
            </w:pPr>
          </w:p>
        </w:tc>
        <w:tc>
          <w:tcPr>
            <w:tcW w:w="180" w:type="dxa"/>
            <w:vAlign w:val="bottom"/>
            <w:gridSpan w:val="3"/>
          </w:tcPr>
          <w:p>
            <w:pPr>
              <w:jc w:val="center"/>
              <w:ind w:right="20"/>
              <w:spacing w:after="0"/>
              <w:rPr>
                <w:sz w:val="20"/>
                <w:szCs w:val="20"/>
                <w:color w:val="auto"/>
              </w:rPr>
            </w:pPr>
            <w:r>
              <w:rPr>
                <w:rFonts w:ascii="Arial" w:cs="Arial" w:eastAsia="Arial" w:hAnsi="Arial"/>
                <w:sz w:val="17"/>
                <w:szCs w:val="17"/>
                <w:color w:val="0000FF"/>
                <w:w w:val="84"/>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00" w:type="dxa"/>
            <w:vAlign w:val="bottom"/>
            <w:gridSpan w:val="1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7"/>
                <w:szCs w:val="17"/>
                <w:color w:val="auto"/>
              </w:rPr>
              <w:t>ITEM 6.</w:t>
            </w:r>
          </w:p>
        </w:tc>
        <w:tc>
          <w:tcPr>
            <w:tcW w:w="1300" w:type="dxa"/>
            <w:vAlign w:val="bottom"/>
            <w:gridSpan w:val="5"/>
          </w:tcPr>
          <w:p>
            <w:pPr>
              <w:spacing w:after="0"/>
              <w:rPr>
                <w:sz w:val="20"/>
                <w:szCs w:val="20"/>
                <w:color w:val="auto"/>
              </w:rPr>
            </w:pPr>
            <w:r>
              <w:rPr>
                <w:rFonts w:ascii="Arial" w:cs="Arial" w:eastAsia="Arial" w:hAnsi="Arial"/>
                <w:sz w:val="17"/>
                <w:szCs w:val="17"/>
                <w:color w:val="0000FF"/>
              </w:rPr>
              <w:t>Exhibits</w:t>
            </w:r>
          </w:p>
        </w:tc>
        <w:tc>
          <w:tcPr>
            <w:tcW w:w="8000" w:type="dxa"/>
            <w:vAlign w:val="bottom"/>
            <w:gridSpan w:val="16"/>
          </w:tcPr>
          <w:p>
            <w:pPr>
              <w:spacing w:after="0"/>
              <w:rPr>
                <w:sz w:val="17"/>
                <w:szCs w:val="17"/>
                <w:color w:val="auto"/>
              </w:rPr>
            </w:pPr>
          </w:p>
        </w:tc>
        <w:tc>
          <w:tcPr>
            <w:tcW w:w="740" w:type="dxa"/>
            <w:vAlign w:val="bottom"/>
            <w:gridSpan w:val="4"/>
          </w:tcPr>
          <w:p>
            <w:pPr>
              <w:jc w:val="right"/>
              <w:spacing w:after="0"/>
              <w:rPr>
                <w:sz w:val="20"/>
                <w:szCs w:val="20"/>
                <w:color w:val="auto"/>
              </w:rPr>
            </w:pPr>
            <w:r>
              <w:rPr>
                <w:rFonts w:ascii="Arial" w:cs="Arial" w:eastAsia="Arial" w:hAnsi="Arial"/>
                <w:sz w:val="17"/>
                <w:szCs w:val="17"/>
                <w:color w:val="0000FF"/>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7"/>
                <w:szCs w:val="17"/>
                <w:b w:val="1"/>
                <w:bCs w:val="1"/>
                <w:color w:val="0000FF"/>
              </w:rPr>
              <w:t>SIGNATURES</w:t>
            </w: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Borders>
              <w:top w:val="single" w:sz="8" w:color="0000FF"/>
            </w:tcBorders>
            <w:gridSpan w:val="3"/>
          </w:tcPr>
          <w:p>
            <w:pPr>
              <w:jc w:val="right"/>
              <w:spacing w:after="0"/>
              <w:rPr>
                <w:sz w:val="20"/>
                <w:szCs w:val="20"/>
                <w:color w:val="auto"/>
              </w:rPr>
            </w:pPr>
            <w:r>
              <w:rPr>
                <w:rFonts w:ascii="Arial" w:cs="Arial" w:eastAsia="Arial" w:hAnsi="Arial"/>
                <w:sz w:val="17"/>
                <w:szCs w:val="17"/>
                <w:color w:val="0000FF"/>
                <w:w w:val="91"/>
              </w:rPr>
              <w:t>101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8"/>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1—Financial Statements.</w:t>
      </w:r>
    </w:p>
    <w:p>
      <w:pPr>
        <w:spacing w:after="0" w:line="200" w:lineRule="exact"/>
        <w:rPr>
          <w:sz w:val="20"/>
          <w:szCs w:val="20"/>
          <w:color w:val="auto"/>
        </w:rPr>
      </w:pPr>
    </w:p>
    <w:p>
      <w:pPr>
        <w:spacing w:after="0" w:line="341"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BOSTON PROPERTIES, INC.</w:t>
      </w:r>
    </w:p>
    <w:p>
      <w:pPr>
        <w:spacing w:after="0" w:line="46"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 except for share and par value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tcPr>
          <w:p>
            <w:pPr>
              <w:spacing w:after="0"/>
              <w:rPr>
                <w:sz w:val="17"/>
                <w:szCs w:val="17"/>
                <w:color w:val="auto"/>
              </w:rPr>
            </w:pPr>
          </w:p>
        </w:tc>
        <w:tc>
          <w:tcPr>
            <w:tcW w:w="1780" w:type="dxa"/>
            <w:vAlign w:val="bottom"/>
            <w:gridSpan w:val="3"/>
          </w:tcPr>
          <w:p>
            <w:pPr>
              <w:ind w:left="80"/>
              <w:spacing w:after="0"/>
              <w:rPr>
                <w:sz w:val="20"/>
                <w:szCs w:val="20"/>
                <w:color w:val="auto"/>
              </w:rPr>
            </w:pPr>
            <w:r>
              <w:rPr>
                <w:rFonts w:ascii="Arial" w:cs="Arial" w:eastAsia="Arial" w:hAnsi="Arial"/>
                <w:sz w:val="15"/>
                <w:szCs w:val="15"/>
                <w:b w:val="1"/>
                <w:bCs w:val="1"/>
                <w:color w:val="auto"/>
              </w:rPr>
              <w:t>September 30, 2022</w:t>
            </w:r>
          </w:p>
        </w:tc>
        <w:tc>
          <w:tcPr>
            <w:tcW w:w="120" w:type="dxa"/>
            <w:vAlign w:val="bottom"/>
          </w:tcPr>
          <w:p>
            <w:pPr>
              <w:spacing w:after="0"/>
              <w:rPr>
                <w:sz w:val="17"/>
                <w:szCs w:val="17"/>
                <w:color w:val="auto"/>
              </w:rPr>
            </w:pPr>
          </w:p>
        </w:tc>
        <w:tc>
          <w:tcPr>
            <w:tcW w:w="1480" w:type="dxa"/>
            <w:vAlign w:val="bottom"/>
          </w:tcPr>
          <w:p>
            <w:pPr>
              <w:jc w:val="right"/>
              <w:ind w:right="24"/>
              <w:spacing w:after="0"/>
              <w:rPr>
                <w:sz w:val="20"/>
                <w:szCs w:val="20"/>
                <w:color w:val="auto"/>
              </w:rPr>
            </w:pPr>
            <w:r>
              <w:rPr>
                <w:rFonts w:ascii="Arial" w:cs="Arial" w:eastAsia="Arial" w:hAnsi="Arial"/>
                <w:sz w:val="15"/>
                <w:szCs w:val="15"/>
                <w:b w:val="1"/>
                <w:bCs w:val="1"/>
                <w:color w:val="auto"/>
              </w:rPr>
              <w:t>December 31, 2021</w:t>
            </w:r>
          </w:p>
        </w:tc>
        <w:tc>
          <w:tcPr>
            <w:tcW w:w="0" w:type="dxa"/>
            <w:vAlign w:val="bottom"/>
          </w:tcPr>
          <w:p>
            <w:pPr>
              <w:spacing w:after="0"/>
              <w:rPr>
                <w:sz w:val="1"/>
                <w:szCs w:val="1"/>
                <w:color w:val="auto"/>
              </w:rPr>
            </w:pPr>
          </w:p>
        </w:tc>
      </w:tr>
      <w:tr>
        <w:trPr>
          <w:trHeight w:val="183"/>
        </w:trPr>
        <w:tc>
          <w:tcPr>
            <w:tcW w:w="7860" w:type="dxa"/>
            <w:vAlign w:val="bottom"/>
            <w:tcBorders>
              <w:top w:val="single" w:sz="8" w:color="CCEEFF"/>
            </w:tcBorders>
            <w:shd w:val="clear" w:color="auto" w:fill="CCEEFF"/>
          </w:tcPr>
          <w:p>
            <w:pPr>
              <w:ind w:left="3540"/>
              <w:spacing w:after="0"/>
              <w:rPr>
                <w:sz w:val="20"/>
                <w:szCs w:val="20"/>
                <w:color w:val="auto"/>
              </w:rPr>
            </w:pPr>
            <w:r>
              <w:rPr>
                <w:rFonts w:ascii="Arial" w:cs="Arial" w:eastAsia="Arial" w:hAnsi="Arial"/>
                <w:sz w:val="15"/>
                <w:szCs w:val="15"/>
                <w:b w:val="1"/>
                <w:bCs w:val="1"/>
                <w:color w:val="auto"/>
              </w:rPr>
              <w:t>ASSETS</w:t>
            </w:r>
          </w:p>
        </w:tc>
        <w:tc>
          <w:tcPr>
            <w:tcW w:w="4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860" w:type="dxa"/>
            <w:vAlign w:val="bottom"/>
          </w:tcPr>
          <w:p>
            <w:pPr>
              <w:ind w:left="20"/>
              <w:spacing w:after="0" w:line="153" w:lineRule="exact"/>
              <w:rPr>
                <w:sz w:val="20"/>
                <w:szCs w:val="20"/>
                <w:color w:val="auto"/>
              </w:rPr>
            </w:pPr>
            <w:r>
              <w:rPr>
                <w:rFonts w:ascii="Arial" w:cs="Arial" w:eastAsia="Arial" w:hAnsi="Arial"/>
                <w:sz w:val="15"/>
                <w:szCs w:val="15"/>
                <w:color w:val="auto"/>
              </w:rPr>
              <w:t>Real estate, at cost (amounts related to variable interest entities (“VIEs”) of $6,753,779 and $6,702,830 at</w:t>
            </w:r>
          </w:p>
        </w:tc>
        <w:tc>
          <w:tcPr>
            <w:tcW w:w="440" w:type="dxa"/>
            <w:vAlign w:val="bottom"/>
            <w:vMerge w:val="restart"/>
          </w:tcPr>
          <w:p>
            <w:pPr>
              <w:jc w:val="right"/>
              <w:ind w:right="264"/>
              <w:spacing w:after="0"/>
              <w:rPr>
                <w:sz w:val="20"/>
                <w:szCs w:val="20"/>
                <w:color w:val="auto"/>
              </w:rPr>
            </w:pPr>
            <w:r>
              <w:rPr>
                <w:rFonts w:ascii="Arial" w:cs="Arial" w:eastAsia="Arial" w:hAnsi="Arial"/>
                <w:sz w:val="15"/>
                <w:szCs w:val="15"/>
                <w:color w:val="auto"/>
                <w:w w:val="95"/>
              </w:rPr>
              <w:t>$</w:t>
            </w: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25,192,376</w:t>
            </w:r>
          </w:p>
        </w:tc>
        <w:tc>
          <w:tcPr>
            <w:tcW w:w="1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23,752,630</w:t>
            </w:r>
          </w:p>
        </w:tc>
        <w:tc>
          <w:tcPr>
            <w:tcW w:w="0" w:type="dxa"/>
            <w:vAlign w:val="bottom"/>
          </w:tcPr>
          <w:p>
            <w:pPr>
              <w:spacing w:after="0"/>
              <w:rPr>
                <w:sz w:val="1"/>
                <w:szCs w:val="1"/>
                <w:color w:val="auto"/>
              </w:rPr>
            </w:pPr>
          </w:p>
        </w:tc>
      </w:tr>
      <w:tr>
        <w:trPr>
          <w:trHeight w:val="201"/>
        </w:trPr>
        <w:tc>
          <w:tcPr>
            <w:tcW w:w="7860" w:type="dxa"/>
            <w:vAlign w:val="bottom"/>
          </w:tcPr>
          <w:p>
            <w:pPr>
              <w:ind w:left="320"/>
              <w:spacing w:after="0"/>
              <w:rPr>
                <w:sz w:val="20"/>
                <w:szCs w:val="20"/>
                <w:color w:val="auto"/>
              </w:rPr>
            </w:pPr>
            <w:r>
              <w:rPr>
                <w:rFonts w:ascii="Arial" w:cs="Arial" w:eastAsia="Arial" w:hAnsi="Arial"/>
                <w:sz w:val="15"/>
                <w:szCs w:val="15"/>
                <w:color w:val="auto"/>
              </w:rPr>
              <w:t>September 30, 2022 and December 31, 2021, respectively)</w:t>
            </w:r>
          </w:p>
        </w:tc>
        <w:tc>
          <w:tcPr>
            <w:tcW w:w="4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786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color w:val="auto"/>
              </w:rPr>
              <w:t>Right of use assets - finance leases (amounts related to VIEs of $21,000 and $21,000 at September 30, 2022</w:t>
            </w:r>
          </w:p>
        </w:tc>
        <w:tc>
          <w:tcPr>
            <w:tcW w:w="4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237,505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237,507</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and December 31, 2021, respectively)</w:t>
            </w:r>
          </w:p>
        </w:tc>
        <w:tc>
          <w:tcPr>
            <w:tcW w:w="44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5"/>
                <w:szCs w:val="15"/>
                <w:color w:val="auto"/>
              </w:rPr>
              <w:t>Right of use assets - operating leases</w:t>
            </w:r>
          </w:p>
        </w:tc>
        <w:tc>
          <w:tcPr>
            <w:tcW w:w="44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167,935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169,778</w:t>
            </w:r>
          </w:p>
        </w:tc>
        <w:tc>
          <w:tcPr>
            <w:tcW w:w="0" w:type="dxa"/>
            <w:vAlign w:val="bottom"/>
          </w:tcPr>
          <w:p>
            <w:pPr>
              <w:spacing w:after="0"/>
              <w:rPr>
                <w:sz w:val="1"/>
                <w:szCs w:val="1"/>
                <w:color w:val="auto"/>
              </w:rPr>
            </w:pPr>
          </w:p>
        </w:tc>
      </w:tr>
      <w:tr>
        <w:trPr>
          <w:trHeight w:val="154"/>
        </w:trPr>
        <w:tc>
          <w:tcPr>
            <w:tcW w:w="7860" w:type="dxa"/>
            <w:vAlign w:val="bottom"/>
            <w:shd w:val="clear" w:color="auto" w:fill="CCEEFF"/>
          </w:tcPr>
          <w:p>
            <w:pPr>
              <w:ind w:left="320"/>
              <w:spacing w:after="0" w:line="154" w:lineRule="exact"/>
              <w:rPr>
                <w:sz w:val="20"/>
                <w:szCs w:val="20"/>
                <w:color w:val="auto"/>
              </w:rPr>
            </w:pPr>
            <w:r>
              <w:rPr>
                <w:rFonts w:ascii="Arial" w:cs="Arial" w:eastAsia="Arial" w:hAnsi="Arial"/>
                <w:sz w:val="15"/>
                <w:szCs w:val="15"/>
                <w:color w:val="auto"/>
              </w:rPr>
              <w:t>Less: accumulated depreciation (amounts related to VIEs of $(1,352,781) and $(1,283,060) at September 30,</w:t>
            </w:r>
          </w:p>
        </w:tc>
        <w:tc>
          <w:tcPr>
            <w:tcW w:w="4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(6,170,472)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(5,883,961)</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2022 and December 31, 2021, respectively)</w:t>
            </w:r>
          </w:p>
        </w:tc>
        <w:tc>
          <w:tcPr>
            <w:tcW w:w="4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860" w:type="dxa"/>
            <w:vAlign w:val="bottom"/>
          </w:tcPr>
          <w:p>
            <w:pPr>
              <w:ind w:left="620"/>
              <w:spacing w:after="0"/>
              <w:rPr>
                <w:sz w:val="20"/>
                <w:szCs w:val="20"/>
                <w:color w:val="auto"/>
              </w:rPr>
            </w:pPr>
            <w:r>
              <w:rPr>
                <w:rFonts w:ascii="Arial" w:cs="Arial" w:eastAsia="Arial" w:hAnsi="Arial"/>
                <w:sz w:val="15"/>
                <w:szCs w:val="15"/>
                <w:color w:val="auto"/>
              </w:rPr>
              <w:t>Total real estate</w:t>
            </w:r>
          </w:p>
        </w:tc>
        <w:tc>
          <w:tcPr>
            <w:tcW w:w="440" w:type="dxa"/>
            <w:vAlign w:val="bottom"/>
          </w:tcPr>
          <w:p>
            <w:pPr>
              <w:spacing w:after="0"/>
              <w:rPr>
                <w:sz w:val="16"/>
                <w:szCs w:val="16"/>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19,427,344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18,275,954</w:t>
            </w:r>
          </w:p>
        </w:tc>
        <w:tc>
          <w:tcPr>
            <w:tcW w:w="0" w:type="dxa"/>
            <w:vAlign w:val="bottom"/>
          </w:tcPr>
          <w:p>
            <w:pPr>
              <w:spacing w:after="0"/>
              <w:rPr>
                <w:sz w:val="1"/>
                <w:szCs w:val="1"/>
                <w:color w:val="auto"/>
              </w:rPr>
            </w:pPr>
          </w:p>
        </w:tc>
      </w:tr>
      <w:tr>
        <w:trPr>
          <w:trHeight w:val="154"/>
        </w:trPr>
        <w:tc>
          <w:tcPr>
            <w:tcW w:w="786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color w:val="auto"/>
              </w:rPr>
              <w:t>Cash and cash equivalents (amounts related to VIEs of $249,124 and $300,937 at September 30, 2022 and</w:t>
            </w:r>
          </w:p>
        </w:tc>
        <w:tc>
          <w:tcPr>
            <w:tcW w:w="4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375,774</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452,692</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December 31, 2021, respectively)</w:t>
            </w:r>
          </w:p>
        </w:tc>
        <w:tc>
          <w:tcPr>
            <w:tcW w:w="44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5"/>
                <w:szCs w:val="15"/>
                <w:color w:val="auto"/>
              </w:rPr>
              <w:t>Cash held in escrows</w:t>
            </w:r>
          </w:p>
        </w:tc>
        <w:tc>
          <w:tcPr>
            <w:tcW w:w="44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73,112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48,466</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Investments in securities</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30,040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43,632</w:t>
            </w:r>
          </w:p>
        </w:tc>
        <w:tc>
          <w:tcPr>
            <w:tcW w:w="0" w:type="dxa"/>
            <w:vAlign w:val="bottom"/>
          </w:tcPr>
          <w:p>
            <w:pPr>
              <w:spacing w:after="0"/>
              <w:rPr>
                <w:sz w:val="1"/>
                <w:szCs w:val="1"/>
                <w:color w:val="auto"/>
              </w:rPr>
            </w:pPr>
          </w:p>
        </w:tc>
      </w:tr>
      <w:tr>
        <w:trPr>
          <w:trHeight w:val="153"/>
        </w:trPr>
        <w:tc>
          <w:tcPr>
            <w:tcW w:w="7860" w:type="dxa"/>
            <w:vAlign w:val="bottom"/>
          </w:tcPr>
          <w:p>
            <w:pPr>
              <w:ind w:left="20"/>
              <w:spacing w:after="0" w:line="153" w:lineRule="exact"/>
              <w:rPr>
                <w:sz w:val="20"/>
                <w:szCs w:val="20"/>
                <w:color w:val="auto"/>
              </w:rPr>
            </w:pPr>
            <w:r>
              <w:rPr>
                <w:rFonts w:ascii="Arial" w:cs="Arial" w:eastAsia="Arial" w:hAnsi="Arial"/>
                <w:sz w:val="15"/>
                <w:szCs w:val="15"/>
                <w:color w:val="auto"/>
              </w:rPr>
              <w:t>Tenant and other receivables, net (amounts related to VIEs of $11,842 and $6,824 at September 30, 2022 and</w:t>
            </w:r>
          </w:p>
        </w:tc>
        <w:tc>
          <w:tcPr>
            <w:tcW w:w="440" w:type="dxa"/>
            <w:vAlign w:val="bottom"/>
          </w:tcPr>
          <w:p>
            <w:pPr>
              <w:spacing w:after="0"/>
              <w:rPr>
                <w:sz w:val="13"/>
                <w:szCs w:val="13"/>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69,633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70,186</w:t>
            </w:r>
          </w:p>
        </w:tc>
        <w:tc>
          <w:tcPr>
            <w:tcW w:w="0" w:type="dxa"/>
            <w:vAlign w:val="bottom"/>
          </w:tcPr>
          <w:p>
            <w:pPr>
              <w:spacing w:after="0"/>
              <w:rPr>
                <w:sz w:val="1"/>
                <w:szCs w:val="1"/>
                <w:color w:val="auto"/>
              </w:rPr>
            </w:pPr>
          </w:p>
        </w:tc>
      </w:tr>
      <w:tr>
        <w:trPr>
          <w:trHeight w:val="201"/>
        </w:trPr>
        <w:tc>
          <w:tcPr>
            <w:tcW w:w="7860" w:type="dxa"/>
            <w:vAlign w:val="bottom"/>
          </w:tcPr>
          <w:p>
            <w:pPr>
              <w:ind w:left="320"/>
              <w:spacing w:after="0"/>
              <w:rPr>
                <w:sz w:val="20"/>
                <w:szCs w:val="20"/>
                <w:color w:val="auto"/>
              </w:rPr>
            </w:pPr>
            <w:r>
              <w:rPr>
                <w:rFonts w:ascii="Arial" w:cs="Arial" w:eastAsia="Arial" w:hAnsi="Arial"/>
                <w:sz w:val="15"/>
                <w:szCs w:val="15"/>
                <w:color w:val="auto"/>
              </w:rPr>
              <w:t>December 31, 2021, respectively)</w:t>
            </w:r>
          </w:p>
        </w:tc>
        <w:tc>
          <w:tcPr>
            <w:tcW w:w="4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Related party note receivable, net</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78,592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78,336</w:t>
            </w: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5"/>
                <w:szCs w:val="15"/>
                <w:color w:val="auto"/>
              </w:rPr>
              <w:t>Notes receivable, net</w:t>
            </w:r>
          </w:p>
        </w:tc>
        <w:tc>
          <w:tcPr>
            <w:tcW w:w="44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9,641</w:t>
            </w:r>
          </w:p>
        </w:tc>
        <w:tc>
          <w:tcPr>
            <w:tcW w:w="0" w:type="dxa"/>
            <w:vAlign w:val="bottom"/>
          </w:tcPr>
          <w:p>
            <w:pPr>
              <w:spacing w:after="0"/>
              <w:rPr>
                <w:sz w:val="1"/>
                <w:szCs w:val="1"/>
                <w:color w:val="auto"/>
              </w:rPr>
            </w:pPr>
          </w:p>
        </w:tc>
      </w:tr>
      <w:tr>
        <w:trPr>
          <w:trHeight w:val="154"/>
        </w:trPr>
        <w:tc>
          <w:tcPr>
            <w:tcW w:w="786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color w:val="auto"/>
              </w:rPr>
              <w:t>Accrued rental income, net (amounts related to VIEs of $359,439 and $357,395 at September 30, 2022 and</w:t>
            </w:r>
          </w:p>
        </w:tc>
        <w:tc>
          <w:tcPr>
            <w:tcW w:w="4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1,250,176</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1,226,745</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December 31, 2021, respectively)</w:t>
            </w:r>
          </w:p>
        </w:tc>
        <w:tc>
          <w:tcPr>
            <w:tcW w:w="44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860" w:type="dxa"/>
            <w:vAlign w:val="bottom"/>
          </w:tcPr>
          <w:p>
            <w:pPr>
              <w:ind w:left="20"/>
              <w:spacing w:after="0" w:line="153" w:lineRule="exact"/>
              <w:rPr>
                <w:sz w:val="20"/>
                <w:szCs w:val="20"/>
                <w:color w:val="auto"/>
              </w:rPr>
            </w:pPr>
            <w:r>
              <w:rPr>
                <w:rFonts w:ascii="Arial" w:cs="Arial" w:eastAsia="Arial" w:hAnsi="Arial"/>
                <w:sz w:val="15"/>
                <w:szCs w:val="15"/>
                <w:color w:val="auto"/>
              </w:rPr>
              <w:t>Deferred charges, net (amounts related to VIEs of $176,908 and $174,637 at September 30, 2022 and</w:t>
            </w:r>
          </w:p>
        </w:tc>
        <w:tc>
          <w:tcPr>
            <w:tcW w:w="440" w:type="dxa"/>
            <w:vAlign w:val="bottom"/>
          </w:tcPr>
          <w:p>
            <w:pPr>
              <w:spacing w:after="0"/>
              <w:rPr>
                <w:sz w:val="13"/>
                <w:szCs w:val="13"/>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720,648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618,798</w:t>
            </w:r>
          </w:p>
        </w:tc>
        <w:tc>
          <w:tcPr>
            <w:tcW w:w="0" w:type="dxa"/>
            <w:vAlign w:val="bottom"/>
          </w:tcPr>
          <w:p>
            <w:pPr>
              <w:spacing w:after="0"/>
              <w:rPr>
                <w:sz w:val="1"/>
                <w:szCs w:val="1"/>
                <w:color w:val="auto"/>
              </w:rPr>
            </w:pPr>
          </w:p>
        </w:tc>
      </w:tr>
      <w:tr>
        <w:trPr>
          <w:trHeight w:val="201"/>
        </w:trPr>
        <w:tc>
          <w:tcPr>
            <w:tcW w:w="7860" w:type="dxa"/>
            <w:vAlign w:val="bottom"/>
          </w:tcPr>
          <w:p>
            <w:pPr>
              <w:ind w:left="320"/>
              <w:spacing w:after="0"/>
              <w:rPr>
                <w:sz w:val="20"/>
                <w:szCs w:val="20"/>
                <w:color w:val="auto"/>
              </w:rPr>
            </w:pPr>
            <w:r>
              <w:rPr>
                <w:rFonts w:ascii="Arial" w:cs="Arial" w:eastAsia="Arial" w:hAnsi="Arial"/>
                <w:sz w:val="15"/>
                <w:szCs w:val="15"/>
                <w:color w:val="auto"/>
              </w:rPr>
              <w:t>December 31, 2021, respectively)</w:t>
            </w:r>
          </w:p>
        </w:tc>
        <w:tc>
          <w:tcPr>
            <w:tcW w:w="4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786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color w:val="auto"/>
              </w:rPr>
              <w:t>Prepaid expenses and other assets (amounts related to VIEs of $44,525 and $29,668 at September 30, 2022 and</w:t>
            </w:r>
          </w:p>
        </w:tc>
        <w:tc>
          <w:tcPr>
            <w:tcW w:w="4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107,538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57,811</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December 31, 2021, respectively)</w:t>
            </w:r>
          </w:p>
        </w:tc>
        <w:tc>
          <w:tcPr>
            <w:tcW w:w="44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Investments in unconsolidated joint ventures</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1,593,834</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1,482,997</w:t>
            </w:r>
          </w:p>
        </w:tc>
        <w:tc>
          <w:tcPr>
            <w:tcW w:w="0" w:type="dxa"/>
            <w:vAlign w:val="bottom"/>
          </w:tcPr>
          <w:p>
            <w:pPr>
              <w:spacing w:after="0"/>
              <w:rPr>
                <w:sz w:val="1"/>
                <w:szCs w:val="1"/>
                <w:color w:val="auto"/>
              </w:rPr>
            </w:pPr>
          </w:p>
        </w:tc>
      </w:tr>
      <w:tr>
        <w:trPr>
          <w:trHeight w:val="221"/>
        </w:trPr>
        <w:tc>
          <w:tcPr>
            <w:tcW w:w="7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5"/>
                <w:szCs w:val="15"/>
                <w:color w:val="auto"/>
              </w:rPr>
              <w:t>Total assets</w:t>
            </w: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23,726,691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22,365,258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920"/>
              <w:spacing w:after="0"/>
              <w:rPr>
                <w:sz w:val="20"/>
                <w:szCs w:val="20"/>
                <w:color w:val="auto"/>
              </w:rPr>
            </w:pPr>
            <w:r>
              <w:rPr>
                <w:rFonts w:ascii="Arial" w:cs="Arial" w:eastAsia="Arial" w:hAnsi="Arial"/>
                <w:sz w:val="15"/>
                <w:szCs w:val="15"/>
                <w:b w:val="1"/>
                <w:bCs w:val="1"/>
                <w:color w:val="auto"/>
              </w:rPr>
              <w:t>LIABILITIES AND EQUITY</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86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Liabilities:</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860" w:type="dxa"/>
            <w:vAlign w:val="bottom"/>
          </w:tcPr>
          <w:p>
            <w:pPr>
              <w:ind w:left="320"/>
              <w:spacing w:after="0" w:line="153" w:lineRule="exact"/>
              <w:rPr>
                <w:sz w:val="20"/>
                <w:szCs w:val="20"/>
                <w:color w:val="auto"/>
              </w:rPr>
            </w:pPr>
            <w:r>
              <w:rPr>
                <w:rFonts w:ascii="Arial" w:cs="Arial" w:eastAsia="Arial" w:hAnsi="Arial"/>
                <w:sz w:val="15"/>
                <w:szCs w:val="15"/>
                <w:color w:val="auto"/>
              </w:rPr>
              <w:t>Mortgage notes payable, net (amounts related to VIEs of $3,271,157 and $3,267,914 at September 30, 2022</w:t>
            </w:r>
          </w:p>
        </w:tc>
        <w:tc>
          <w:tcPr>
            <w:tcW w:w="440" w:type="dxa"/>
            <w:vAlign w:val="bottom"/>
            <w:vMerge w:val="restart"/>
          </w:tcPr>
          <w:p>
            <w:pPr>
              <w:jc w:val="right"/>
              <w:ind w:right="264"/>
              <w:spacing w:after="0"/>
              <w:rPr>
                <w:sz w:val="20"/>
                <w:szCs w:val="20"/>
                <w:color w:val="auto"/>
              </w:rPr>
            </w:pPr>
            <w:r>
              <w:rPr>
                <w:rFonts w:ascii="Arial" w:cs="Arial" w:eastAsia="Arial" w:hAnsi="Arial"/>
                <w:sz w:val="15"/>
                <w:szCs w:val="15"/>
                <w:color w:val="auto"/>
                <w:w w:val="95"/>
              </w:rPr>
              <w:t>$</w:t>
            </w: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3,271,157</w:t>
            </w:r>
          </w:p>
        </w:tc>
        <w:tc>
          <w:tcPr>
            <w:tcW w:w="1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3,267,914</w:t>
            </w:r>
          </w:p>
        </w:tc>
        <w:tc>
          <w:tcPr>
            <w:tcW w:w="0" w:type="dxa"/>
            <w:vAlign w:val="bottom"/>
          </w:tcPr>
          <w:p>
            <w:pPr>
              <w:spacing w:after="0"/>
              <w:rPr>
                <w:sz w:val="1"/>
                <w:szCs w:val="1"/>
                <w:color w:val="auto"/>
              </w:rPr>
            </w:pPr>
          </w:p>
        </w:tc>
      </w:tr>
      <w:tr>
        <w:trPr>
          <w:trHeight w:val="201"/>
        </w:trPr>
        <w:tc>
          <w:tcPr>
            <w:tcW w:w="7860" w:type="dxa"/>
            <w:vAlign w:val="bottom"/>
          </w:tcPr>
          <w:p>
            <w:pPr>
              <w:ind w:left="620"/>
              <w:spacing w:after="0"/>
              <w:rPr>
                <w:sz w:val="20"/>
                <w:szCs w:val="20"/>
                <w:color w:val="auto"/>
              </w:rPr>
            </w:pPr>
            <w:r>
              <w:rPr>
                <w:rFonts w:ascii="Arial" w:cs="Arial" w:eastAsia="Arial" w:hAnsi="Arial"/>
                <w:sz w:val="15"/>
                <w:szCs w:val="15"/>
                <w:color w:val="auto"/>
              </w:rPr>
              <w:t>and December 31, 2021, respectively)</w:t>
            </w:r>
          </w:p>
        </w:tc>
        <w:tc>
          <w:tcPr>
            <w:tcW w:w="4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Unsecured senior notes, net</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9,491,714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9,483,695</w:t>
            </w:r>
          </w:p>
        </w:tc>
        <w:tc>
          <w:tcPr>
            <w:tcW w:w="0" w:type="dxa"/>
            <w:vAlign w:val="bottom"/>
          </w:tcPr>
          <w:p>
            <w:pPr>
              <w:spacing w:after="0"/>
              <w:rPr>
                <w:sz w:val="1"/>
                <w:szCs w:val="1"/>
                <w:color w:val="auto"/>
              </w:rPr>
            </w:pPr>
          </w:p>
        </w:tc>
      </w:tr>
      <w:tr>
        <w:trPr>
          <w:trHeight w:val="202"/>
        </w:trPr>
        <w:tc>
          <w:tcPr>
            <w:tcW w:w="7860" w:type="dxa"/>
            <w:vAlign w:val="bottom"/>
          </w:tcPr>
          <w:p>
            <w:pPr>
              <w:ind w:left="320"/>
              <w:spacing w:after="0"/>
              <w:rPr>
                <w:sz w:val="20"/>
                <w:szCs w:val="20"/>
                <w:color w:val="auto"/>
              </w:rPr>
            </w:pPr>
            <w:r>
              <w:rPr>
                <w:rFonts w:ascii="Arial" w:cs="Arial" w:eastAsia="Arial" w:hAnsi="Arial"/>
                <w:sz w:val="15"/>
                <w:szCs w:val="15"/>
                <w:color w:val="auto"/>
              </w:rPr>
              <w:t>Unsecured line of credit</w:t>
            </w:r>
          </w:p>
        </w:tc>
        <w:tc>
          <w:tcPr>
            <w:tcW w:w="44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340,000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145,000</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Unsecured term loan, net</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730,000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7860" w:type="dxa"/>
            <w:vAlign w:val="bottom"/>
          </w:tcPr>
          <w:p>
            <w:pPr>
              <w:ind w:left="320"/>
              <w:spacing w:after="0" w:line="153" w:lineRule="exact"/>
              <w:rPr>
                <w:sz w:val="20"/>
                <w:szCs w:val="20"/>
                <w:color w:val="auto"/>
              </w:rPr>
            </w:pPr>
            <w:r>
              <w:rPr>
                <w:rFonts w:ascii="Arial" w:cs="Arial" w:eastAsia="Arial" w:hAnsi="Arial"/>
                <w:sz w:val="15"/>
                <w:szCs w:val="15"/>
                <w:color w:val="auto"/>
              </w:rPr>
              <w:t>Lease liabilities - finance leases (amounts related to VIEs of $20,568 and $20,458 at September 30, 2022</w:t>
            </w:r>
          </w:p>
        </w:tc>
        <w:tc>
          <w:tcPr>
            <w:tcW w:w="440" w:type="dxa"/>
            <w:vAlign w:val="bottom"/>
          </w:tcPr>
          <w:p>
            <w:pPr>
              <w:spacing w:after="0"/>
              <w:rPr>
                <w:sz w:val="13"/>
                <w:szCs w:val="13"/>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248,092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244,421</w:t>
            </w:r>
          </w:p>
        </w:tc>
        <w:tc>
          <w:tcPr>
            <w:tcW w:w="0" w:type="dxa"/>
            <w:vAlign w:val="bottom"/>
          </w:tcPr>
          <w:p>
            <w:pPr>
              <w:spacing w:after="0"/>
              <w:rPr>
                <w:sz w:val="1"/>
                <w:szCs w:val="1"/>
                <w:color w:val="auto"/>
              </w:rPr>
            </w:pPr>
          </w:p>
        </w:tc>
      </w:tr>
      <w:tr>
        <w:trPr>
          <w:trHeight w:val="201"/>
        </w:trPr>
        <w:tc>
          <w:tcPr>
            <w:tcW w:w="7860" w:type="dxa"/>
            <w:vAlign w:val="bottom"/>
          </w:tcPr>
          <w:p>
            <w:pPr>
              <w:ind w:left="620"/>
              <w:spacing w:after="0"/>
              <w:rPr>
                <w:sz w:val="20"/>
                <w:szCs w:val="20"/>
                <w:color w:val="auto"/>
              </w:rPr>
            </w:pPr>
            <w:r>
              <w:rPr>
                <w:rFonts w:ascii="Arial" w:cs="Arial" w:eastAsia="Arial" w:hAnsi="Arial"/>
                <w:sz w:val="15"/>
                <w:szCs w:val="15"/>
                <w:color w:val="auto"/>
              </w:rPr>
              <w:t>and December 31, 2021, respectively)</w:t>
            </w:r>
          </w:p>
        </w:tc>
        <w:tc>
          <w:tcPr>
            <w:tcW w:w="4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Lease liabilities - operating leases</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205,008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204,561</w:t>
            </w:r>
          </w:p>
        </w:tc>
        <w:tc>
          <w:tcPr>
            <w:tcW w:w="0" w:type="dxa"/>
            <w:vAlign w:val="bottom"/>
          </w:tcPr>
          <w:p>
            <w:pPr>
              <w:spacing w:after="0"/>
              <w:rPr>
                <w:sz w:val="1"/>
                <w:szCs w:val="1"/>
                <w:color w:val="auto"/>
              </w:rPr>
            </w:pPr>
          </w:p>
        </w:tc>
      </w:tr>
      <w:tr>
        <w:trPr>
          <w:trHeight w:val="153"/>
        </w:trPr>
        <w:tc>
          <w:tcPr>
            <w:tcW w:w="7860" w:type="dxa"/>
            <w:vAlign w:val="bottom"/>
          </w:tcPr>
          <w:p>
            <w:pPr>
              <w:ind w:left="320"/>
              <w:spacing w:after="0" w:line="153" w:lineRule="exact"/>
              <w:rPr>
                <w:sz w:val="20"/>
                <w:szCs w:val="20"/>
                <w:color w:val="auto"/>
              </w:rPr>
            </w:pPr>
            <w:r>
              <w:rPr>
                <w:rFonts w:ascii="Arial" w:cs="Arial" w:eastAsia="Arial" w:hAnsi="Arial"/>
                <w:sz w:val="15"/>
                <w:szCs w:val="15"/>
                <w:color w:val="auto"/>
              </w:rPr>
              <w:t>Accounts payable and accrued expenses (amounts related to VIEs of $35,043 and $29,464 at September</w:t>
            </w:r>
          </w:p>
        </w:tc>
        <w:tc>
          <w:tcPr>
            <w:tcW w:w="440" w:type="dxa"/>
            <w:vAlign w:val="bottom"/>
          </w:tcPr>
          <w:p>
            <w:pPr>
              <w:spacing w:after="0"/>
              <w:rPr>
                <w:sz w:val="13"/>
                <w:szCs w:val="13"/>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360,572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320,775</w:t>
            </w:r>
          </w:p>
        </w:tc>
        <w:tc>
          <w:tcPr>
            <w:tcW w:w="0" w:type="dxa"/>
            <w:vAlign w:val="bottom"/>
          </w:tcPr>
          <w:p>
            <w:pPr>
              <w:spacing w:after="0"/>
              <w:rPr>
                <w:sz w:val="1"/>
                <w:szCs w:val="1"/>
                <w:color w:val="auto"/>
              </w:rPr>
            </w:pPr>
          </w:p>
        </w:tc>
      </w:tr>
      <w:tr>
        <w:trPr>
          <w:trHeight w:val="201"/>
        </w:trPr>
        <w:tc>
          <w:tcPr>
            <w:tcW w:w="7860" w:type="dxa"/>
            <w:vAlign w:val="bottom"/>
          </w:tcPr>
          <w:p>
            <w:pPr>
              <w:ind w:left="620"/>
              <w:spacing w:after="0"/>
              <w:rPr>
                <w:sz w:val="20"/>
                <w:szCs w:val="20"/>
                <w:color w:val="auto"/>
              </w:rPr>
            </w:pPr>
            <w:r>
              <w:rPr>
                <w:rFonts w:ascii="Arial" w:cs="Arial" w:eastAsia="Arial" w:hAnsi="Arial"/>
                <w:sz w:val="15"/>
                <w:szCs w:val="15"/>
                <w:color w:val="auto"/>
              </w:rPr>
              <w:t>30, 2022 and December 31, 2021, respectively)</w:t>
            </w:r>
          </w:p>
        </w:tc>
        <w:tc>
          <w:tcPr>
            <w:tcW w:w="4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Dividends and distributions payable</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170,952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169,859</w:t>
            </w:r>
          </w:p>
        </w:tc>
        <w:tc>
          <w:tcPr>
            <w:tcW w:w="0" w:type="dxa"/>
            <w:vAlign w:val="bottom"/>
          </w:tcPr>
          <w:p>
            <w:pPr>
              <w:spacing w:after="0"/>
              <w:rPr>
                <w:sz w:val="1"/>
                <w:szCs w:val="1"/>
                <w:color w:val="auto"/>
              </w:rPr>
            </w:pPr>
          </w:p>
        </w:tc>
      </w:tr>
      <w:tr>
        <w:trPr>
          <w:trHeight w:val="202"/>
        </w:trPr>
        <w:tc>
          <w:tcPr>
            <w:tcW w:w="7860" w:type="dxa"/>
            <w:vAlign w:val="bottom"/>
          </w:tcPr>
          <w:p>
            <w:pPr>
              <w:ind w:left="320"/>
              <w:spacing w:after="0"/>
              <w:rPr>
                <w:sz w:val="20"/>
                <w:szCs w:val="20"/>
                <w:color w:val="auto"/>
              </w:rPr>
            </w:pPr>
            <w:r>
              <w:rPr>
                <w:rFonts w:ascii="Arial" w:cs="Arial" w:eastAsia="Arial" w:hAnsi="Arial"/>
                <w:sz w:val="15"/>
                <w:szCs w:val="15"/>
                <w:color w:val="auto"/>
              </w:rPr>
              <w:t>Accrued interest payable</w:t>
            </w:r>
          </w:p>
        </w:tc>
        <w:tc>
          <w:tcPr>
            <w:tcW w:w="44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91,885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94,796</w:t>
            </w:r>
          </w:p>
        </w:tc>
        <w:tc>
          <w:tcPr>
            <w:tcW w:w="0" w:type="dxa"/>
            <w:vAlign w:val="bottom"/>
          </w:tcPr>
          <w:p>
            <w:pPr>
              <w:spacing w:after="0"/>
              <w:rPr>
                <w:sz w:val="1"/>
                <w:szCs w:val="1"/>
                <w:color w:val="auto"/>
              </w:rPr>
            </w:pPr>
          </w:p>
        </w:tc>
      </w:tr>
      <w:tr>
        <w:trPr>
          <w:trHeight w:val="154"/>
        </w:trPr>
        <w:tc>
          <w:tcPr>
            <w:tcW w:w="7860" w:type="dxa"/>
            <w:vAlign w:val="bottom"/>
            <w:shd w:val="clear" w:color="auto" w:fill="CCEEFF"/>
          </w:tcPr>
          <w:p>
            <w:pPr>
              <w:ind w:left="320"/>
              <w:spacing w:after="0" w:line="154" w:lineRule="exact"/>
              <w:rPr>
                <w:sz w:val="20"/>
                <w:szCs w:val="20"/>
                <w:color w:val="auto"/>
              </w:rPr>
            </w:pPr>
            <w:r>
              <w:rPr>
                <w:rFonts w:ascii="Arial" w:cs="Arial" w:eastAsia="Arial" w:hAnsi="Arial"/>
                <w:sz w:val="15"/>
                <w:szCs w:val="15"/>
                <w:color w:val="auto"/>
              </w:rPr>
              <w:t>Other liabilities (amounts related to VIEs of $104,663 and $150,131 at September 30, 2022 and</w:t>
            </w:r>
          </w:p>
        </w:tc>
        <w:tc>
          <w:tcPr>
            <w:tcW w:w="4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417,255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391,441</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December 31, 2021, respectively)</w:t>
            </w:r>
          </w:p>
        </w:tc>
        <w:tc>
          <w:tcPr>
            <w:tcW w:w="4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860" w:type="dxa"/>
            <w:vAlign w:val="bottom"/>
          </w:tcPr>
          <w:p>
            <w:pPr>
              <w:ind w:left="620"/>
              <w:spacing w:after="0"/>
              <w:rPr>
                <w:sz w:val="20"/>
                <w:szCs w:val="20"/>
                <w:color w:val="auto"/>
              </w:rPr>
            </w:pPr>
            <w:r>
              <w:rPr>
                <w:rFonts w:ascii="Arial" w:cs="Arial" w:eastAsia="Arial" w:hAnsi="Arial"/>
                <w:sz w:val="15"/>
                <w:szCs w:val="15"/>
                <w:color w:val="auto"/>
              </w:rPr>
              <w:t>Total liabilities</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15,326,635</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14,322,462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BOSTON PROPERTIES, INC.</w:t>
      </w:r>
    </w:p>
    <w:p>
      <w:pPr>
        <w:spacing w:after="0" w:line="46"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 except for share and par value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tcPr>
          <w:p>
            <w:pPr>
              <w:spacing w:after="0"/>
              <w:rPr>
                <w:sz w:val="17"/>
                <w:szCs w:val="17"/>
                <w:color w:val="auto"/>
              </w:rPr>
            </w:pPr>
          </w:p>
        </w:tc>
        <w:tc>
          <w:tcPr>
            <w:tcW w:w="1780" w:type="dxa"/>
            <w:vAlign w:val="bottom"/>
            <w:gridSpan w:val="3"/>
          </w:tcPr>
          <w:p>
            <w:pPr>
              <w:ind w:left="80"/>
              <w:spacing w:after="0"/>
              <w:rPr>
                <w:sz w:val="20"/>
                <w:szCs w:val="20"/>
                <w:color w:val="auto"/>
              </w:rPr>
            </w:pPr>
            <w:r>
              <w:rPr>
                <w:rFonts w:ascii="Arial" w:cs="Arial" w:eastAsia="Arial" w:hAnsi="Arial"/>
                <w:sz w:val="15"/>
                <w:szCs w:val="15"/>
                <w:b w:val="1"/>
                <w:bCs w:val="1"/>
                <w:color w:val="auto"/>
              </w:rPr>
              <w:t>September 30, 2022</w:t>
            </w:r>
          </w:p>
        </w:tc>
        <w:tc>
          <w:tcPr>
            <w:tcW w:w="120" w:type="dxa"/>
            <w:vAlign w:val="bottom"/>
          </w:tcPr>
          <w:p>
            <w:pPr>
              <w:spacing w:after="0"/>
              <w:rPr>
                <w:sz w:val="17"/>
                <w:szCs w:val="17"/>
                <w:color w:val="auto"/>
              </w:rPr>
            </w:pPr>
          </w:p>
        </w:tc>
        <w:tc>
          <w:tcPr>
            <w:tcW w:w="1480" w:type="dxa"/>
            <w:vAlign w:val="bottom"/>
          </w:tcPr>
          <w:p>
            <w:pPr>
              <w:jc w:val="right"/>
              <w:ind w:right="24"/>
              <w:spacing w:after="0"/>
              <w:rPr>
                <w:sz w:val="20"/>
                <w:szCs w:val="20"/>
                <w:color w:val="auto"/>
              </w:rPr>
            </w:pPr>
            <w:r>
              <w:rPr>
                <w:rFonts w:ascii="Arial" w:cs="Arial" w:eastAsia="Arial" w:hAnsi="Arial"/>
                <w:sz w:val="15"/>
                <w:szCs w:val="15"/>
                <w:b w:val="1"/>
                <w:bCs w:val="1"/>
                <w:color w:val="auto"/>
              </w:rPr>
              <w:t>December 31, 2021</w:t>
            </w:r>
          </w:p>
        </w:tc>
        <w:tc>
          <w:tcPr>
            <w:tcW w:w="0" w:type="dxa"/>
            <w:vAlign w:val="bottom"/>
          </w:tcPr>
          <w:p>
            <w:pPr>
              <w:spacing w:after="0"/>
              <w:rPr>
                <w:sz w:val="1"/>
                <w:szCs w:val="1"/>
                <w:color w:val="auto"/>
              </w:rPr>
            </w:pPr>
          </w:p>
        </w:tc>
      </w:tr>
      <w:tr>
        <w:trPr>
          <w:trHeight w:val="18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Commitments and contingencies (See Note 7)</w:t>
            </w:r>
          </w:p>
        </w:tc>
        <w:tc>
          <w:tcPr>
            <w:tcW w:w="4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860" w:type="dxa"/>
            <w:vAlign w:val="bottom"/>
          </w:tcPr>
          <w:p>
            <w:pPr>
              <w:ind w:left="20"/>
              <w:spacing w:after="0" w:line="153" w:lineRule="exact"/>
              <w:rPr>
                <w:sz w:val="20"/>
                <w:szCs w:val="20"/>
                <w:color w:val="auto"/>
              </w:rPr>
            </w:pPr>
            <w:r>
              <w:rPr>
                <w:rFonts w:ascii="Arial" w:cs="Arial" w:eastAsia="Arial" w:hAnsi="Arial"/>
                <w:sz w:val="15"/>
                <w:szCs w:val="15"/>
                <w:color w:val="auto"/>
              </w:rPr>
              <w:t>Redeemable deferred stock units— 93,175 and 83,073 units outstanding at redemption value at September 30,</w:t>
            </w:r>
          </w:p>
        </w:tc>
        <w:tc>
          <w:tcPr>
            <w:tcW w:w="440" w:type="dxa"/>
            <w:vAlign w:val="bottom"/>
          </w:tcPr>
          <w:p>
            <w:pPr>
              <w:spacing w:after="0"/>
              <w:rPr>
                <w:sz w:val="13"/>
                <w:szCs w:val="13"/>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6,985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9,568</w:t>
            </w:r>
          </w:p>
        </w:tc>
        <w:tc>
          <w:tcPr>
            <w:tcW w:w="0" w:type="dxa"/>
            <w:vAlign w:val="bottom"/>
          </w:tcPr>
          <w:p>
            <w:pPr>
              <w:spacing w:after="0"/>
              <w:rPr>
                <w:sz w:val="1"/>
                <w:szCs w:val="1"/>
                <w:color w:val="auto"/>
              </w:rPr>
            </w:pPr>
          </w:p>
        </w:tc>
      </w:tr>
      <w:tr>
        <w:trPr>
          <w:trHeight w:val="201"/>
        </w:trPr>
        <w:tc>
          <w:tcPr>
            <w:tcW w:w="78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2022 and December 31, 2021, respectively</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w:t>
            </w:r>
          </w:p>
        </w:tc>
        <w:tc>
          <w:tcPr>
            <w:tcW w:w="4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5"/>
                <w:szCs w:val="15"/>
                <w:color w:val="auto"/>
              </w:rPr>
              <w:t>Stockholders’ equity attributable to Boston Properties, Inc.:</w:t>
            </w: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Excess stock, $0.01 par value, 150,000,000 shares authorized, none issued or outstanding</w:t>
            </w:r>
          </w:p>
        </w:tc>
        <w:tc>
          <w:tcPr>
            <w:tcW w:w="4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7860" w:type="dxa"/>
            <w:vAlign w:val="bottom"/>
          </w:tcPr>
          <w:p>
            <w:pPr>
              <w:ind w:left="320"/>
              <w:spacing w:after="0"/>
              <w:rPr>
                <w:sz w:val="20"/>
                <w:szCs w:val="20"/>
                <w:color w:val="auto"/>
              </w:rPr>
            </w:pPr>
            <w:r>
              <w:rPr>
                <w:rFonts w:ascii="Arial" w:cs="Arial" w:eastAsia="Arial" w:hAnsi="Arial"/>
                <w:sz w:val="15"/>
                <w:szCs w:val="15"/>
                <w:color w:val="auto"/>
              </w:rPr>
              <w:t>Preferred stock, $0.01 par value, 50,000,000 shares authorized, none issued or outstanding</w:t>
            </w:r>
          </w:p>
        </w:tc>
        <w:tc>
          <w:tcPr>
            <w:tcW w:w="44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7860" w:type="dxa"/>
            <w:vAlign w:val="bottom"/>
            <w:shd w:val="clear" w:color="auto" w:fill="CCEEFF"/>
          </w:tcPr>
          <w:p>
            <w:pPr>
              <w:ind w:left="320"/>
              <w:spacing w:after="0" w:line="154" w:lineRule="exact"/>
              <w:rPr>
                <w:sz w:val="20"/>
                <w:szCs w:val="20"/>
                <w:color w:val="auto"/>
              </w:rPr>
            </w:pPr>
            <w:r>
              <w:rPr>
                <w:rFonts w:ascii="Arial" w:cs="Arial" w:eastAsia="Arial" w:hAnsi="Arial"/>
                <w:sz w:val="15"/>
                <w:szCs w:val="15"/>
                <w:color w:val="auto"/>
              </w:rPr>
              <w:t>Common stock, $0.01 par value, 250,000,000 shares authorized, 156,833,612 and 156,623,749 issued and</w:t>
            </w:r>
          </w:p>
        </w:tc>
        <w:tc>
          <w:tcPr>
            <w:tcW w:w="4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1,568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1,565</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156,754,712 and 156,544,849 outstanding at September 30, 2022 and December 31, 2021, respectively</w:t>
            </w:r>
          </w:p>
        </w:tc>
        <w:tc>
          <w:tcPr>
            <w:tcW w:w="44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320"/>
              <w:spacing w:after="0"/>
              <w:rPr>
                <w:sz w:val="20"/>
                <w:szCs w:val="20"/>
                <w:color w:val="auto"/>
              </w:rPr>
            </w:pPr>
            <w:r>
              <w:rPr>
                <w:rFonts w:ascii="Arial" w:cs="Arial" w:eastAsia="Arial" w:hAnsi="Arial"/>
                <w:sz w:val="15"/>
                <w:szCs w:val="15"/>
                <w:color w:val="auto"/>
              </w:rPr>
              <w:t>Additional paid-in capital</w:t>
            </w:r>
          </w:p>
        </w:tc>
        <w:tc>
          <w:tcPr>
            <w:tcW w:w="44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6,532,299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6,497,730</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Dividends in excess of earnings</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(359,536)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(625,891)</w:t>
            </w:r>
          </w:p>
        </w:tc>
        <w:tc>
          <w:tcPr>
            <w:tcW w:w="0" w:type="dxa"/>
            <w:vAlign w:val="bottom"/>
          </w:tcPr>
          <w:p>
            <w:pPr>
              <w:spacing w:after="0"/>
              <w:rPr>
                <w:sz w:val="1"/>
                <w:szCs w:val="1"/>
                <w:color w:val="auto"/>
              </w:rPr>
            </w:pPr>
          </w:p>
        </w:tc>
      </w:tr>
      <w:tr>
        <w:trPr>
          <w:trHeight w:val="202"/>
        </w:trPr>
        <w:tc>
          <w:tcPr>
            <w:tcW w:w="7860" w:type="dxa"/>
            <w:vAlign w:val="bottom"/>
          </w:tcPr>
          <w:p>
            <w:pPr>
              <w:ind w:left="320"/>
              <w:spacing w:after="0"/>
              <w:rPr>
                <w:sz w:val="20"/>
                <w:szCs w:val="20"/>
                <w:color w:val="auto"/>
              </w:rPr>
            </w:pPr>
            <w:r>
              <w:rPr>
                <w:rFonts w:ascii="Arial" w:cs="Arial" w:eastAsia="Arial" w:hAnsi="Arial"/>
                <w:sz w:val="15"/>
                <w:szCs w:val="15"/>
                <w:color w:val="auto"/>
              </w:rPr>
              <w:t>Treasury common stock at cost, 78,900 shares at September 30, 2022 and December 31, 2021</w:t>
            </w:r>
          </w:p>
        </w:tc>
        <w:tc>
          <w:tcPr>
            <w:tcW w:w="4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(2,722)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(2,722)</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Accumulated other comprehensive loss</w:t>
            </w:r>
          </w:p>
        </w:tc>
        <w:tc>
          <w:tcPr>
            <w:tcW w:w="4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(15,991)</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(36,662)</w:t>
            </w:r>
          </w:p>
        </w:tc>
        <w:tc>
          <w:tcPr>
            <w:tcW w:w="0" w:type="dxa"/>
            <w:vAlign w:val="bottom"/>
          </w:tcPr>
          <w:p>
            <w:pPr>
              <w:spacing w:after="0"/>
              <w:rPr>
                <w:sz w:val="1"/>
                <w:szCs w:val="1"/>
                <w:color w:val="auto"/>
              </w:rPr>
            </w:pPr>
          </w:p>
        </w:tc>
      </w:tr>
      <w:tr>
        <w:trPr>
          <w:trHeight w:val="194"/>
        </w:trPr>
        <w:tc>
          <w:tcPr>
            <w:tcW w:w="7860" w:type="dxa"/>
            <w:vAlign w:val="bottom"/>
          </w:tcPr>
          <w:p>
            <w:pPr>
              <w:ind w:left="620"/>
              <w:spacing w:after="0"/>
              <w:rPr>
                <w:sz w:val="20"/>
                <w:szCs w:val="20"/>
                <w:color w:val="auto"/>
              </w:rPr>
            </w:pPr>
            <w:r>
              <w:rPr>
                <w:rFonts w:ascii="Arial" w:cs="Arial" w:eastAsia="Arial" w:hAnsi="Arial"/>
                <w:sz w:val="15"/>
                <w:szCs w:val="15"/>
                <w:color w:val="auto"/>
              </w:rPr>
              <w:t>Total stockholders’ equity attributable to Boston Properties, Inc.</w:t>
            </w:r>
          </w:p>
        </w:tc>
        <w:tc>
          <w:tcPr>
            <w:tcW w:w="440" w:type="dxa"/>
            <w:vAlign w:val="bottom"/>
          </w:tcPr>
          <w:p>
            <w:pPr>
              <w:spacing w:after="0"/>
              <w:rPr>
                <w:sz w:val="16"/>
                <w:szCs w:val="16"/>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6,155,618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5,834,020</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Noncontrolling interests:</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320"/>
              <w:spacing w:after="0"/>
              <w:rPr>
                <w:sz w:val="20"/>
                <w:szCs w:val="20"/>
                <w:color w:val="auto"/>
              </w:rPr>
            </w:pPr>
            <w:r>
              <w:rPr>
                <w:rFonts w:ascii="Arial" w:cs="Arial" w:eastAsia="Arial" w:hAnsi="Arial"/>
                <w:sz w:val="15"/>
                <w:szCs w:val="15"/>
                <w:color w:val="auto"/>
              </w:rPr>
              <w:t>Common units of Boston Properties Limited Partnership</w:t>
            </w:r>
          </w:p>
        </w:tc>
        <w:tc>
          <w:tcPr>
            <w:tcW w:w="44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685,952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642,655</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Property partnerships</w:t>
            </w:r>
          </w:p>
        </w:tc>
        <w:tc>
          <w:tcPr>
            <w:tcW w:w="4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1,551,501</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1,556,553</w:t>
            </w:r>
          </w:p>
        </w:tc>
        <w:tc>
          <w:tcPr>
            <w:tcW w:w="0" w:type="dxa"/>
            <w:vAlign w:val="bottom"/>
          </w:tcPr>
          <w:p>
            <w:pPr>
              <w:spacing w:after="0"/>
              <w:rPr>
                <w:sz w:val="1"/>
                <w:szCs w:val="1"/>
                <w:color w:val="auto"/>
              </w:rPr>
            </w:pPr>
          </w:p>
        </w:tc>
      </w:tr>
      <w:tr>
        <w:trPr>
          <w:trHeight w:val="194"/>
        </w:trPr>
        <w:tc>
          <w:tcPr>
            <w:tcW w:w="7860" w:type="dxa"/>
            <w:vAlign w:val="bottom"/>
            <w:tcBorders>
              <w:bottom w:val="single" w:sz="8" w:color="CCEEFF"/>
            </w:tcBorders>
          </w:tcPr>
          <w:p>
            <w:pPr>
              <w:ind w:left="620"/>
              <w:spacing w:after="0"/>
              <w:rPr>
                <w:sz w:val="20"/>
                <w:szCs w:val="20"/>
                <w:color w:val="auto"/>
              </w:rPr>
            </w:pPr>
            <w:r>
              <w:rPr>
                <w:rFonts w:ascii="Arial" w:cs="Arial" w:eastAsia="Arial" w:hAnsi="Arial"/>
                <w:sz w:val="15"/>
                <w:szCs w:val="15"/>
                <w:color w:val="auto"/>
              </w:rPr>
              <w:t>Total equity</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8,393,071</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8,033,228</w:t>
            </w:r>
          </w:p>
        </w:tc>
        <w:tc>
          <w:tcPr>
            <w:tcW w:w="0" w:type="dxa"/>
            <w:vAlign w:val="bottom"/>
          </w:tcPr>
          <w:p>
            <w:pPr>
              <w:spacing w:after="0"/>
              <w:rPr>
                <w:sz w:val="1"/>
                <w:szCs w:val="1"/>
                <w:color w:val="auto"/>
              </w:rPr>
            </w:pPr>
          </w:p>
        </w:tc>
      </w:tr>
      <w:tr>
        <w:trPr>
          <w:trHeight w:val="221"/>
        </w:trPr>
        <w:tc>
          <w:tcPr>
            <w:tcW w:w="7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5"/>
                <w:szCs w:val="15"/>
                <w:color w:val="auto"/>
              </w:rPr>
              <w:t>Total liabilities and equity</w:t>
            </w: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23,726,691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22,365,258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BOSTON PROPERTIES,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 except for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5"/>
          </w:tcPr>
          <w:p>
            <w:pPr>
              <w:jc w:val="center"/>
              <w:ind w:right="460"/>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Pr>
          <w:p>
            <w:pPr>
              <w:spacing w:after="0"/>
              <w:rPr>
                <w:sz w:val="14"/>
                <w:szCs w:val="14"/>
                <w:color w:val="auto"/>
              </w:rPr>
            </w:pPr>
          </w:p>
        </w:tc>
        <w:tc>
          <w:tcPr>
            <w:tcW w:w="2060" w:type="dxa"/>
            <w:vAlign w:val="bottom"/>
            <w:gridSpan w:val="4"/>
          </w:tcPr>
          <w:p>
            <w:pPr>
              <w:jc w:val="right"/>
              <w:ind w:right="344"/>
              <w:spacing w:after="0"/>
              <w:rPr>
                <w:sz w:val="20"/>
                <w:szCs w:val="20"/>
                <w:color w:val="auto"/>
              </w:rPr>
            </w:pPr>
            <w:r>
              <w:rPr>
                <w:rFonts w:ascii="Arial" w:cs="Arial" w:eastAsia="Arial" w:hAnsi="Arial"/>
                <w:sz w:val="15"/>
                <w:szCs w:val="15"/>
                <w:b w:val="1"/>
                <w:bCs w:val="1"/>
                <w:color w:val="auto"/>
              </w:rPr>
              <w:t>Nine months ended</w:t>
            </w:r>
          </w:p>
        </w:tc>
      </w:tr>
      <w:tr>
        <w:trPr>
          <w:trHeight w:val="203"/>
        </w:trPr>
        <w:tc>
          <w:tcPr>
            <w:tcW w:w="6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center"/>
              <w:ind w:right="460"/>
              <w:spacing w:after="0"/>
              <w:rPr>
                <w:sz w:val="20"/>
                <w:szCs w:val="20"/>
                <w:color w:val="auto"/>
              </w:rPr>
            </w:pPr>
            <w:r>
              <w:rPr>
                <w:rFonts w:ascii="Arial" w:cs="Arial" w:eastAsia="Arial" w:hAnsi="Arial"/>
                <w:sz w:val="15"/>
                <w:szCs w:val="15"/>
                <w:b w:val="1"/>
                <w:bCs w:val="1"/>
                <w:color w:val="auto"/>
              </w:rPr>
              <w:t>September 30,</w:t>
            </w:r>
          </w:p>
        </w:tc>
        <w:tc>
          <w:tcPr>
            <w:tcW w:w="200" w:type="dxa"/>
            <w:vAlign w:val="bottom"/>
          </w:tcPr>
          <w:p>
            <w:pPr>
              <w:spacing w:after="0"/>
              <w:rPr>
                <w:sz w:val="17"/>
                <w:szCs w:val="17"/>
                <w:color w:val="auto"/>
              </w:rPr>
            </w:pPr>
          </w:p>
        </w:tc>
        <w:tc>
          <w:tcPr>
            <w:tcW w:w="2060" w:type="dxa"/>
            <w:vAlign w:val="bottom"/>
            <w:gridSpan w:val="4"/>
          </w:tcPr>
          <w:p>
            <w:pPr>
              <w:jc w:val="right"/>
              <w:ind w:right="524"/>
              <w:spacing w:after="0"/>
              <w:rPr>
                <w:sz w:val="20"/>
                <w:szCs w:val="20"/>
                <w:color w:val="auto"/>
              </w:rPr>
            </w:pPr>
            <w:r>
              <w:rPr>
                <w:rFonts w:ascii="Arial" w:cs="Arial" w:eastAsia="Arial" w:hAnsi="Arial"/>
                <w:sz w:val="15"/>
                <w:szCs w:val="15"/>
                <w:b w:val="1"/>
                <w:bCs w:val="1"/>
                <w:color w:val="auto"/>
              </w:rPr>
              <w:t>September 30,</w:t>
            </w:r>
          </w:p>
        </w:tc>
      </w:tr>
      <w:tr>
        <w:trPr>
          <w:trHeight w:val="196"/>
        </w:trPr>
        <w:tc>
          <w:tcPr>
            <w:tcW w:w="64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2022</w:t>
            </w:r>
          </w:p>
        </w:tc>
        <w:tc>
          <w:tcPr>
            <w:tcW w:w="18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2022</w:t>
            </w:r>
          </w:p>
        </w:tc>
        <w:tc>
          <w:tcPr>
            <w:tcW w:w="18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2021</w:t>
            </w:r>
          </w:p>
        </w:tc>
      </w:tr>
      <w:tr>
        <w:trPr>
          <w:trHeight w:val="183"/>
        </w:trPr>
        <w:tc>
          <w:tcPr>
            <w:tcW w:w="6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2"/>
        </w:trPr>
        <w:tc>
          <w:tcPr>
            <w:tcW w:w="6480" w:type="dxa"/>
            <w:vAlign w:val="bottom"/>
          </w:tcPr>
          <w:p>
            <w:pPr>
              <w:ind w:left="320"/>
              <w:spacing w:after="0"/>
              <w:rPr>
                <w:sz w:val="20"/>
                <w:szCs w:val="20"/>
                <w:color w:val="auto"/>
              </w:rPr>
            </w:pPr>
            <w:r>
              <w:rPr>
                <w:rFonts w:ascii="Arial" w:cs="Arial" w:eastAsia="Arial" w:hAnsi="Arial"/>
                <w:sz w:val="15"/>
                <w:szCs w:val="15"/>
                <w:color w:val="auto"/>
              </w:rPr>
              <w:t>Lease</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739,255</w:t>
            </w:r>
          </w:p>
        </w:tc>
        <w:tc>
          <w:tcPr>
            <w:tcW w:w="1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692,260</w:t>
            </w:r>
          </w:p>
        </w:tc>
        <w:tc>
          <w:tcPr>
            <w:tcW w:w="24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2,179,274</w:t>
            </w:r>
          </w:p>
        </w:tc>
        <w:tc>
          <w:tcPr>
            <w:tcW w:w="1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2,062,102</w:t>
            </w: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Parking and other</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28,154</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23,507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80,234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58,727</w:t>
            </w:r>
          </w:p>
        </w:tc>
      </w:tr>
      <w:tr>
        <w:trPr>
          <w:trHeight w:val="202"/>
        </w:trPr>
        <w:tc>
          <w:tcPr>
            <w:tcW w:w="6480" w:type="dxa"/>
            <w:vAlign w:val="bottom"/>
          </w:tcPr>
          <w:p>
            <w:pPr>
              <w:ind w:left="320"/>
              <w:spacing w:after="0"/>
              <w:rPr>
                <w:sz w:val="20"/>
                <w:szCs w:val="20"/>
                <w:color w:val="auto"/>
              </w:rPr>
            </w:pPr>
            <w:r>
              <w:rPr>
                <w:rFonts w:ascii="Arial" w:cs="Arial" w:eastAsia="Arial" w:hAnsi="Arial"/>
                <w:sz w:val="15"/>
                <w:szCs w:val="15"/>
                <w:color w:val="auto"/>
              </w:rPr>
              <w:t>Hotel</w:t>
            </w:r>
          </w:p>
        </w:tc>
        <w:tc>
          <w:tcPr>
            <w:tcW w:w="2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11,749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5,189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28,395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7,382</w:t>
            </w: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Development and management services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7,465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19,650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20,181</w:t>
            </w:r>
          </w:p>
        </w:tc>
      </w:tr>
      <w:tr>
        <w:trPr>
          <w:trHeight w:val="202"/>
        </w:trPr>
        <w:tc>
          <w:tcPr>
            <w:tcW w:w="64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Direct reimbursements of payroll and related costs from management services contracts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3,900</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3,006</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11,204</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9,166</w:t>
            </w:r>
          </w:p>
        </w:tc>
      </w:tr>
      <w:tr>
        <w:trPr>
          <w:trHeight w:val="197"/>
        </w:trPr>
        <w:tc>
          <w:tcPr>
            <w:tcW w:w="6480" w:type="dxa"/>
            <w:vAlign w:val="bottom"/>
            <w:shd w:val="clear" w:color="auto" w:fill="CCEEFF"/>
          </w:tcPr>
          <w:p>
            <w:pPr>
              <w:ind w:left="1040"/>
              <w:spacing w:after="0"/>
              <w:rPr>
                <w:sz w:val="20"/>
                <w:szCs w:val="20"/>
                <w:color w:val="auto"/>
              </w:rPr>
            </w:pPr>
            <w:r>
              <w:rPr>
                <w:rFonts w:ascii="Arial" w:cs="Arial" w:eastAsia="Arial" w:hAnsi="Arial"/>
                <w:sz w:val="15"/>
                <w:szCs w:val="15"/>
                <w:color w:val="auto"/>
              </w:rPr>
              <w:t>Total revenue</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790,523</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730,056</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2,318,757</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2,157,558</w:t>
            </w:r>
          </w:p>
        </w:tc>
      </w:tr>
      <w:tr>
        <w:trPr>
          <w:trHeight w:val="182"/>
        </w:trPr>
        <w:tc>
          <w:tcPr>
            <w:tcW w:w="6480" w:type="dxa"/>
            <w:vAlign w:val="bottom"/>
          </w:tcPr>
          <w:p>
            <w:pPr>
              <w:ind w:left="20"/>
              <w:spacing w:after="0"/>
              <w:rPr>
                <w:sz w:val="20"/>
                <w:szCs w:val="20"/>
                <w:color w:val="auto"/>
              </w:rPr>
            </w:pPr>
            <w:r>
              <w:rPr>
                <w:rFonts w:ascii="Arial" w:cs="Arial" w:eastAsia="Arial" w:hAnsi="Arial"/>
                <w:sz w:val="15"/>
                <w:szCs w:val="15"/>
                <w:color w:val="auto"/>
              </w:rPr>
              <w:t>Expenses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Operating</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2"/>
        </w:trPr>
        <w:tc>
          <w:tcPr>
            <w:tcW w:w="6480" w:type="dxa"/>
            <w:vAlign w:val="bottom"/>
          </w:tcPr>
          <w:p>
            <w:pPr>
              <w:ind w:left="620"/>
              <w:spacing w:after="0"/>
              <w:rPr>
                <w:sz w:val="20"/>
                <w:szCs w:val="20"/>
                <w:color w:val="auto"/>
              </w:rPr>
            </w:pPr>
            <w:r>
              <w:rPr>
                <w:rFonts w:ascii="Arial" w:cs="Arial" w:eastAsia="Arial" w:hAnsi="Arial"/>
                <w:sz w:val="15"/>
                <w:szCs w:val="15"/>
                <w:color w:val="auto"/>
              </w:rPr>
              <w:t>Rental</w:t>
            </w:r>
          </w:p>
        </w:tc>
        <w:tc>
          <w:tcPr>
            <w:tcW w:w="2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281,702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258,281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825,805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764,373</w:t>
            </w:r>
          </w:p>
        </w:tc>
      </w:tr>
      <w:tr>
        <w:trPr>
          <w:trHeight w:val="204"/>
        </w:trPr>
        <w:tc>
          <w:tcPr>
            <w:tcW w:w="6480" w:type="dxa"/>
            <w:vAlign w:val="bottom"/>
            <w:shd w:val="clear" w:color="auto" w:fill="CCEEFF"/>
          </w:tcPr>
          <w:p>
            <w:pPr>
              <w:ind w:left="620"/>
              <w:spacing w:after="0"/>
              <w:rPr>
                <w:sz w:val="20"/>
                <w:szCs w:val="20"/>
                <w:color w:val="auto"/>
              </w:rPr>
            </w:pPr>
            <w:r>
              <w:rPr>
                <w:rFonts w:ascii="Arial" w:cs="Arial" w:eastAsia="Arial" w:hAnsi="Arial"/>
                <w:sz w:val="15"/>
                <w:szCs w:val="15"/>
                <w:color w:val="auto"/>
              </w:rPr>
              <w:t>Hotel</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8,548</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19,832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7,993</w:t>
            </w:r>
          </w:p>
        </w:tc>
      </w:tr>
      <w:tr>
        <w:trPr>
          <w:trHeight w:val="202"/>
        </w:trPr>
        <w:tc>
          <w:tcPr>
            <w:tcW w:w="6480" w:type="dxa"/>
            <w:vAlign w:val="bottom"/>
          </w:tcPr>
          <w:p>
            <w:pPr>
              <w:ind w:left="320"/>
              <w:spacing w:after="0"/>
              <w:rPr>
                <w:sz w:val="20"/>
                <w:szCs w:val="20"/>
                <w:color w:val="auto"/>
              </w:rPr>
            </w:pPr>
            <w:r>
              <w:rPr>
                <w:rFonts w:ascii="Arial" w:cs="Arial" w:eastAsia="Arial" w:hAnsi="Arial"/>
                <w:sz w:val="15"/>
                <w:szCs w:val="15"/>
                <w:color w:val="auto"/>
              </w:rPr>
              <w:t>General and administrative</w:t>
            </w:r>
          </w:p>
        </w:tc>
        <w:tc>
          <w:tcPr>
            <w:tcW w:w="2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32,519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34,560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110,378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117,924</w:t>
            </w: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Payroll and related costs from management services contracts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3,900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11,204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9,166</w:t>
            </w:r>
          </w:p>
        </w:tc>
      </w:tr>
      <w:tr>
        <w:trPr>
          <w:trHeight w:val="202"/>
        </w:trPr>
        <w:tc>
          <w:tcPr>
            <w:tcW w:w="6480" w:type="dxa"/>
            <w:vAlign w:val="bottom"/>
          </w:tcPr>
          <w:p>
            <w:pPr>
              <w:ind w:left="320"/>
              <w:spacing w:after="0"/>
              <w:rPr>
                <w:sz w:val="20"/>
                <w:szCs w:val="20"/>
                <w:color w:val="auto"/>
              </w:rPr>
            </w:pPr>
            <w:r>
              <w:rPr>
                <w:rFonts w:ascii="Arial" w:cs="Arial" w:eastAsia="Arial" w:hAnsi="Arial"/>
                <w:sz w:val="15"/>
                <w:szCs w:val="15"/>
                <w:color w:val="auto"/>
              </w:rPr>
              <w:t>Transaction costs</w:t>
            </w:r>
          </w:p>
        </w:tc>
        <w:tc>
          <w:tcPr>
            <w:tcW w:w="2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1,650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1,888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2,146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2,970</w:t>
            </w: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Depreciation and amortization</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190,675</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179,412</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551,445</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539,815</w:t>
            </w:r>
          </w:p>
        </w:tc>
      </w:tr>
      <w:tr>
        <w:trPr>
          <w:trHeight w:val="194"/>
        </w:trPr>
        <w:tc>
          <w:tcPr>
            <w:tcW w:w="6480" w:type="dxa"/>
            <w:vAlign w:val="bottom"/>
            <w:tcBorders>
              <w:bottom w:val="single" w:sz="8" w:color="CCEEFF"/>
            </w:tcBorders>
          </w:tcPr>
          <w:p>
            <w:pPr>
              <w:ind w:left="1040"/>
              <w:spacing w:after="0"/>
              <w:rPr>
                <w:sz w:val="20"/>
                <w:szCs w:val="20"/>
                <w:color w:val="auto"/>
              </w:rPr>
            </w:pPr>
            <w:r>
              <w:rPr>
                <w:rFonts w:ascii="Arial" w:cs="Arial" w:eastAsia="Arial" w:hAnsi="Arial"/>
                <w:sz w:val="15"/>
                <w:szCs w:val="15"/>
                <w:color w:val="auto"/>
              </w:rPr>
              <w:t>Total expenses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518,994</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481,093</w:t>
            </w: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1,520,810</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1,442,241</w:t>
            </w:r>
          </w:p>
        </w:tc>
      </w:tr>
      <w:tr>
        <w:trPr>
          <w:trHeight w:val="184"/>
        </w:trPr>
        <w:tc>
          <w:tcPr>
            <w:tcW w:w="6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02"/>
        </w:trPr>
        <w:tc>
          <w:tcPr>
            <w:tcW w:w="6480" w:type="dxa"/>
            <w:vAlign w:val="bottom"/>
          </w:tcPr>
          <w:p>
            <w:pPr>
              <w:ind w:left="320"/>
              <w:spacing w:after="0"/>
              <w:rPr>
                <w:sz w:val="20"/>
                <w:szCs w:val="20"/>
                <w:color w:val="auto"/>
              </w:rPr>
            </w:pPr>
            <w:r>
              <w:rPr>
                <w:rFonts w:ascii="Arial" w:cs="Arial" w:eastAsia="Arial" w:hAnsi="Arial"/>
                <w:sz w:val="15"/>
                <w:szCs w:val="15"/>
                <w:color w:val="auto"/>
              </w:rPr>
              <w:t>Loss from unconsolidated joint ventures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(3,524)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(5,597)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(1,389)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(1,745)</w:t>
            </w: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Gains on sales of real estate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262,345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381,293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8,104</w:t>
            </w:r>
          </w:p>
        </w:tc>
      </w:tr>
      <w:tr>
        <w:trPr>
          <w:trHeight w:val="202"/>
        </w:trPr>
        <w:tc>
          <w:tcPr>
            <w:tcW w:w="6480" w:type="dxa"/>
            <w:vAlign w:val="bottom"/>
          </w:tcPr>
          <w:p>
            <w:pPr>
              <w:ind w:left="320"/>
              <w:spacing w:after="0"/>
              <w:rPr>
                <w:sz w:val="20"/>
                <w:szCs w:val="20"/>
                <w:color w:val="auto"/>
              </w:rPr>
            </w:pPr>
            <w:r>
              <w:rPr>
                <w:rFonts w:ascii="Arial" w:cs="Arial" w:eastAsia="Arial" w:hAnsi="Arial"/>
                <w:sz w:val="15"/>
                <w:szCs w:val="15"/>
                <w:color w:val="auto"/>
              </w:rPr>
              <w:t>Interest and other income (loss)</w:t>
            </w:r>
          </w:p>
        </w:tc>
        <w:tc>
          <w:tcPr>
            <w:tcW w:w="2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3,728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1,520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6,151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4,140</w:t>
            </w: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income - assignment fee</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6,624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6480" w:type="dxa"/>
            <w:vAlign w:val="bottom"/>
          </w:tcPr>
          <w:p>
            <w:pPr>
              <w:ind w:left="320"/>
              <w:spacing w:after="0"/>
              <w:rPr>
                <w:sz w:val="20"/>
                <w:szCs w:val="20"/>
                <w:color w:val="auto"/>
              </w:rPr>
            </w:pPr>
            <w:r>
              <w:rPr>
                <w:rFonts w:ascii="Arial" w:cs="Arial" w:eastAsia="Arial" w:hAnsi="Arial"/>
                <w:sz w:val="15"/>
                <w:szCs w:val="15"/>
                <w:color w:val="auto"/>
              </w:rPr>
              <w:t>Gains (losses) from investments in securities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(1,571)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(190)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(8,549)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3,744</w:t>
            </w: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Losses from early extinguishment of debt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(898)</w:t>
            </w:r>
          </w:p>
        </w:tc>
      </w:tr>
      <w:tr>
        <w:trPr>
          <w:trHeight w:val="202"/>
        </w:trPr>
        <w:tc>
          <w:tcPr>
            <w:tcW w:w="64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Interest expense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(111,846)</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(105,794)</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(317,216)</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(320,015)</w:t>
            </w:r>
          </w:p>
        </w:tc>
      </w:tr>
      <w:tr>
        <w:trPr>
          <w:trHeight w:val="197"/>
        </w:trPr>
        <w:tc>
          <w:tcPr>
            <w:tcW w:w="6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420,661</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139,250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864,861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408,647</w:t>
            </w:r>
          </w:p>
        </w:tc>
      </w:tr>
      <w:tr>
        <w:trPr>
          <w:trHeight w:val="202"/>
        </w:trPr>
        <w:tc>
          <w:tcPr>
            <w:tcW w:w="6480" w:type="dxa"/>
            <w:vAlign w:val="bottom"/>
          </w:tcPr>
          <w:p>
            <w:pPr>
              <w:ind w:left="20"/>
              <w:spacing w:after="0"/>
              <w:rPr>
                <w:sz w:val="20"/>
                <w:szCs w:val="20"/>
                <w:color w:val="auto"/>
              </w:rPr>
            </w:pPr>
            <w:r>
              <w:rPr>
                <w:rFonts w:ascii="Arial" w:cs="Arial" w:eastAsia="Arial" w:hAnsi="Arial"/>
                <w:sz w:val="15"/>
                <w:szCs w:val="15"/>
                <w:color w:val="auto"/>
              </w:rPr>
              <w:t>Net income attributable to noncontrolling interests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Noncontrolling interests in property partnerships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(18,801)</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(18,971)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(54,896)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(52,602)</w:t>
            </w:r>
          </w:p>
        </w:tc>
      </w:tr>
      <w:tr>
        <w:trPr>
          <w:trHeight w:val="202"/>
        </w:trPr>
        <w:tc>
          <w:tcPr>
            <w:tcW w:w="64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Noncontrolling interest—common units of the Operating Partnership</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(40,883)</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(11,982)</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(82,821)</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(35,393)</w:t>
            </w:r>
          </w:p>
        </w:tc>
      </w:tr>
      <w:tr>
        <w:trPr>
          <w:trHeight w:val="197"/>
        </w:trPr>
        <w:tc>
          <w:tcPr>
            <w:tcW w:w="6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attributable to Boston Properties, Inc.</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360,977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108,297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727,144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320,652</w:t>
            </w:r>
          </w:p>
        </w:tc>
      </w:tr>
      <w:tr>
        <w:trPr>
          <w:trHeight w:val="202"/>
        </w:trPr>
        <w:tc>
          <w:tcPr>
            <w:tcW w:w="6480" w:type="dxa"/>
            <w:vAlign w:val="bottom"/>
          </w:tcPr>
          <w:p>
            <w:pPr>
              <w:ind w:left="320"/>
              <w:spacing w:after="0"/>
              <w:rPr>
                <w:sz w:val="20"/>
                <w:szCs w:val="20"/>
                <w:color w:val="auto"/>
              </w:rPr>
            </w:pPr>
            <w:r>
              <w:rPr>
                <w:rFonts w:ascii="Arial" w:cs="Arial" w:eastAsia="Arial" w:hAnsi="Arial"/>
                <w:sz w:val="15"/>
                <w:szCs w:val="15"/>
                <w:color w:val="auto"/>
              </w:rPr>
              <w:t>Preferred dividends</w:t>
            </w:r>
          </w:p>
        </w:tc>
        <w:tc>
          <w:tcPr>
            <w:tcW w:w="2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(2,560)</w:t>
            </w: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Preferred stock redemption charge</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(6,412)</w:t>
            </w:r>
          </w:p>
        </w:tc>
      </w:tr>
      <w:tr>
        <w:trPr>
          <w:trHeight w:val="194"/>
        </w:trPr>
        <w:tc>
          <w:tcPr>
            <w:tcW w:w="6480" w:type="dxa"/>
            <w:vAlign w:val="bottom"/>
          </w:tcPr>
          <w:p>
            <w:pPr>
              <w:ind w:left="20"/>
              <w:spacing w:after="0"/>
              <w:rPr>
                <w:sz w:val="20"/>
                <w:szCs w:val="20"/>
                <w:color w:val="auto"/>
              </w:rPr>
            </w:pPr>
            <w:r>
              <w:rPr>
                <w:rFonts w:ascii="Arial" w:cs="Arial" w:eastAsia="Arial" w:hAnsi="Arial"/>
                <w:sz w:val="15"/>
                <w:szCs w:val="15"/>
                <w:color w:val="auto"/>
              </w:rPr>
              <w:t>Net income attributable to Boston Properties, Inc. common shareholders</w:t>
            </w: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360,977</w:t>
            </w: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108,297</w:t>
            </w:r>
          </w:p>
        </w:tc>
        <w:tc>
          <w:tcPr>
            <w:tcW w:w="2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727,144</w:t>
            </w:r>
          </w:p>
        </w:tc>
        <w:tc>
          <w:tcPr>
            <w:tcW w:w="1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311,680</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0"/>
        </w:trPr>
        <w:tc>
          <w:tcPr>
            <w:tcW w:w="648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Basic earnings per common share attributable to Boston Properties, Inc. common</w:t>
            </w: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203"/>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shareholders: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2"/>
        </w:trPr>
        <w:tc>
          <w:tcPr>
            <w:tcW w:w="64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Net income</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2.30</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0.69</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4.63</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w:t>
            </w:r>
          </w:p>
        </w:tc>
      </w:tr>
      <w:tr>
        <w:trPr>
          <w:trHeight w:val="197"/>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Weighted average number of common shares outstanding</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156,754</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156,183</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156,708</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156,062</w:t>
            </w:r>
          </w:p>
        </w:tc>
      </w:tr>
      <w:tr>
        <w:trPr>
          <w:trHeight w:val="133"/>
        </w:trPr>
        <w:tc>
          <w:tcPr>
            <w:tcW w:w="6480" w:type="dxa"/>
            <w:vAlign w:val="bottom"/>
          </w:tcPr>
          <w:p>
            <w:pPr>
              <w:ind w:left="20"/>
              <w:spacing w:after="0" w:line="133" w:lineRule="exact"/>
              <w:rPr>
                <w:sz w:val="20"/>
                <w:szCs w:val="20"/>
                <w:color w:val="auto"/>
              </w:rPr>
            </w:pPr>
            <w:r>
              <w:rPr>
                <w:rFonts w:ascii="Arial" w:cs="Arial" w:eastAsia="Arial" w:hAnsi="Arial"/>
                <w:sz w:val="15"/>
                <w:szCs w:val="15"/>
                <w:color w:val="auto"/>
              </w:rPr>
              <w:t>Diluted earnings per common share attributable to Boston Properties, Inc. common</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01"/>
        </w:trPr>
        <w:tc>
          <w:tcPr>
            <w:tcW w:w="6480" w:type="dxa"/>
            <w:vAlign w:val="bottom"/>
          </w:tcPr>
          <w:p>
            <w:pPr>
              <w:ind w:left="320"/>
              <w:spacing w:after="0"/>
              <w:rPr>
                <w:sz w:val="20"/>
                <w:szCs w:val="20"/>
                <w:color w:val="auto"/>
              </w:rPr>
            </w:pPr>
            <w:r>
              <w:rPr>
                <w:rFonts w:ascii="Arial" w:cs="Arial" w:eastAsia="Arial" w:hAnsi="Arial"/>
                <w:sz w:val="15"/>
                <w:szCs w:val="15"/>
                <w:color w:val="auto"/>
              </w:rPr>
              <w:t>shareholders: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Net income</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2.29</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0.69</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4.62</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w:t>
            </w:r>
          </w:p>
        </w:tc>
      </w:tr>
      <w:tr>
        <w:trPr>
          <w:trHeight w:val="194"/>
        </w:trPr>
        <w:tc>
          <w:tcPr>
            <w:tcW w:w="6480" w:type="dxa"/>
            <w:vAlign w:val="bottom"/>
          </w:tcPr>
          <w:p>
            <w:pPr>
              <w:ind w:left="320"/>
              <w:spacing w:after="0"/>
              <w:rPr>
                <w:sz w:val="20"/>
                <w:szCs w:val="20"/>
                <w:color w:val="auto"/>
              </w:rPr>
            </w:pPr>
            <w:r>
              <w:rPr>
                <w:rFonts w:ascii="Arial" w:cs="Arial" w:eastAsia="Arial" w:hAnsi="Arial"/>
                <w:sz w:val="15"/>
                <w:szCs w:val="15"/>
                <w:color w:val="auto"/>
              </w:rPr>
              <w:t>Weighted average number of common and common equivalent shares outstanding</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157,133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156,598</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157,144</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156,394</w:t>
            </w: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BOSTON PROPERTIES,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5"/>
          </w:tcPr>
          <w:p>
            <w:pPr>
              <w:jc w:val="center"/>
              <w:ind w:right="460"/>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Pr>
          <w:p>
            <w:pPr>
              <w:spacing w:after="0"/>
              <w:rPr>
                <w:sz w:val="14"/>
                <w:szCs w:val="14"/>
                <w:color w:val="auto"/>
              </w:rPr>
            </w:pPr>
          </w:p>
        </w:tc>
        <w:tc>
          <w:tcPr>
            <w:tcW w:w="2060" w:type="dxa"/>
            <w:vAlign w:val="bottom"/>
            <w:gridSpan w:val="4"/>
          </w:tcPr>
          <w:p>
            <w:pPr>
              <w:jc w:val="right"/>
              <w:ind w:right="336"/>
              <w:spacing w:after="0"/>
              <w:rPr>
                <w:sz w:val="20"/>
                <w:szCs w:val="20"/>
                <w:color w:val="auto"/>
              </w:rPr>
            </w:pPr>
            <w:r>
              <w:rPr>
                <w:rFonts w:ascii="Arial" w:cs="Arial" w:eastAsia="Arial" w:hAnsi="Arial"/>
                <w:sz w:val="15"/>
                <w:szCs w:val="15"/>
                <w:b w:val="1"/>
                <w:bCs w:val="1"/>
                <w:color w:val="auto"/>
              </w:rPr>
              <w:t>Nine months ended</w:t>
            </w:r>
          </w:p>
        </w:tc>
      </w:tr>
      <w:tr>
        <w:trPr>
          <w:trHeight w:val="203"/>
        </w:trPr>
        <w:tc>
          <w:tcPr>
            <w:tcW w:w="6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center"/>
              <w:ind w:right="460"/>
              <w:spacing w:after="0"/>
              <w:rPr>
                <w:sz w:val="20"/>
                <w:szCs w:val="20"/>
                <w:color w:val="auto"/>
              </w:rPr>
            </w:pPr>
            <w:r>
              <w:rPr>
                <w:rFonts w:ascii="Arial" w:cs="Arial" w:eastAsia="Arial" w:hAnsi="Arial"/>
                <w:sz w:val="15"/>
                <w:szCs w:val="15"/>
                <w:b w:val="1"/>
                <w:bCs w:val="1"/>
                <w:color w:val="auto"/>
              </w:rPr>
              <w:t>September 30,</w:t>
            </w:r>
          </w:p>
        </w:tc>
        <w:tc>
          <w:tcPr>
            <w:tcW w:w="200" w:type="dxa"/>
            <w:vAlign w:val="bottom"/>
          </w:tcPr>
          <w:p>
            <w:pPr>
              <w:spacing w:after="0"/>
              <w:rPr>
                <w:sz w:val="17"/>
                <w:szCs w:val="17"/>
                <w:color w:val="auto"/>
              </w:rPr>
            </w:pPr>
          </w:p>
        </w:tc>
        <w:tc>
          <w:tcPr>
            <w:tcW w:w="2060" w:type="dxa"/>
            <w:vAlign w:val="bottom"/>
            <w:gridSpan w:val="4"/>
          </w:tcPr>
          <w:p>
            <w:pPr>
              <w:jc w:val="right"/>
              <w:ind w:right="516"/>
              <w:spacing w:after="0"/>
              <w:rPr>
                <w:sz w:val="20"/>
                <w:szCs w:val="20"/>
                <w:color w:val="auto"/>
              </w:rPr>
            </w:pPr>
            <w:r>
              <w:rPr>
                <w:rFonts w:ascii="Arial" w:cs="Arial" w:eastAsia="Arial" w:hAnsi="Arial"/>
                <w:sz w:val="15"/>
                <w:szCs w:val="15"/>
                <w:b w:val="1"/>
                <w:bCs w:val="1"/>
                <w:color w:val="auto"/>
              </w:rPr>
              <w:t>September 30,</w:t>
            </w:r>
          </w:p>
        </w:tc>
      </w:tr>
      <w:tr>
        <w:trPr>
          <w:trHeight w:val="196"/>
        </w:trPr>
        <w:tc>
          <w:tcPr>
            <w:tcW w:w="64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5"/>
                <w:szCs w:val="15"/>
                <w:b w:val="1"/>
                <w:bCs w:val="1"/>
                <w:color w:val="auto"/>
              </w:rPr>
              <w:t>2022</w:t>
            </w:r>
          </w:p>
        </w:tc>
        <w:tc>
          <w:tcPr>
            <w:tcW w:w="18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5"/>
                <w:szCs w:val="15"/>
                <w:b w:val="1"/>
                <w:bCs w:val="1"/>
                <w:color w:val="auto"/>
              </w:rPr>
              <w:t>2022</w:t>
            </w:r>
          </w:p>
        </w:tc>
        <w:tc>
          <w:tcPr>
            <w:tcW w:w="18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5"/>
                <w:szCs w:val="15"/>
                <w:b w:val="1"/>
                <w:bCs w:val="1"/>
                <w:color w:val="auto"/>
              </w:rPr>
              <w:t>2021</w:t>
            </w:r>
          </w:p>
        </w:tc>
      </w:tr>
      <w:tr>
        <w:trPr>
          <w:trHeight w:val="208"/>
        </w:trPr>
        <w:tc>
          <w:tcPr>
            <w:tcW w:w="6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420,661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864,861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408,647</w:t>
            </w:r>
          </w:p>
        </w:tc>
      </w:tr>
      <w:tr>
        <w:trPr>
          <w:trHeight w:val="216"/>
        </w:trPr>
        <w:tc>
          <w:tcPr>
            <w:tcW w:w="6480" w:type="dxa"/>
            <w:vAlign w:val="bottom"/>
          </w:tcPr>
          <w:p>
            <w:pPr>
              <w:ind w:left="20"/>
              <w:spacing w:after="0"/>
              <w:rPr>
                <w:sz w:val="20"/>
                <w:szCs w:val="20"/>
                <w:color w:val="auto"/>
              </w:rPr>
            </w:pPr>
            <w:r>
              <w:rPr>
                <w:rFonts w:ascii="Arial" w:cs="Arial" w:eastAsia="Arial" w:hAnsi="Arial"/>
                <w:sz w:val="17"/>
                <w:szCs w:val="17"/>
                <w:color w:val="auto"/>
              </w:rPr>
              <w:t>Other comprehensive income: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Effective portion of interest rate contracts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5,482</w:t>
            </w:r>
          </w:p>
        </w:tc>
      </w:tr>
      <w:tr>
        <w:trPr>
          <w:trHeight w:val="216"/>
        </w:trPr>
        <w:tc>
          <w:tcPr>
            <w:tcW w:w="64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Amortization of interest rate contracts (1)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1,676</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5,028</w:t>
            </w:r>
          </w:p>
        </w:tc>
      </w:tr>
      <w:tr>
        <w:trPr>
          <w:trHeight w:val="208"/>
        </w:trPr>
        <w:tc>
          <w:tcPr>
            <w:tcW w:w="6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comprehensive income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12,477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2,764</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23,430</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10,510</w:t>
            </w:r>
          </w:p>
        </w:tc>
      </w:tr>
      <w:tr>
        <w:trPr>
          <w:trHeight w:val="208"/>
        </w:trPr>
        <w:tc>
          <w:tcPr>
            <w:tcW w:w="648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433,138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142,014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888,291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419,157</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noncontrolling interests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(59,684)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(137,717)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(87,995)</w:t>
            </w:r>
          </w:p>
        </w:tc>
      </w:tr>
      <w:tr>
        <w:trPr>
          <w:trHeight w:val="216"/>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 attributable to noncontrolling interests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(1,423)</w:t>
            </w:r>
          </w:p>
        </w:tc>
      </w:tr>
      <w:tr>
        <w:trPr>
          <w:trHeight w:val="233"/>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 attributable to Boston Properties, Inc.</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372,064</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110,660</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747,817</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329,739</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24" w:lineRule="exact"/>
        <w:rPr>
          <w:sz w:val="20"/>
          <w:szCs w:val="20"/>
          <w:color w:val="auto"/>
        </w:rPr>
      </w:pPr>
    </w:p>
    <w:p>
      <w:pPr>
        <w:ind w:left="300" w:right="560" w:hanging="298"/>
        <w:spacing w:after="0" w:line="263" w:lineRule="auto"/>
        <w:tabs>
          <w:tab w:leader="none" w:pos="291"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Amounts reclassified from comprehensive income primarily to interest expense within Boston Properties, Inc.’s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BOSTON PROPERTIES, INC.</w:t>
      </w:r>
    </w:p>
    <w:p>
      <w:pPr>
        <w:spacing w:after="0" w:line="35"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CONSOLIDATED STATEMENTS OF EQUITY</w:t>
      </w:r>
    </w:p>
    <w:p>
      <w:pPr>
        <w:spacing w:after="0" w:line="31"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(unaudited and in thousands)</w:t>
      </w:r>
    </w:p>
    <w:p>
      <w:pPr>
        <w:spacing w:after="0" w:line="2"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3540" w:type="dxa"/>
            <w:vAlign w:val="bottom"/>
          </w:tcPr>
          <w:p>
            <w:pPr>
              <w:spacing w:after="0"/>
              <w:rPr>
                <w:sz w:val="12"/>
                <w:szCs w:val="12"/>
                <w:color w:val="auto"/>
              </w:rPr>
            </w:pPr>
          </w:p>
        </w:tc>
        <w:tc>
          <w:tcPr>
            <w:tcW w:w="1320" w:type="dxa"/>
            <w:vAlign w:val="bottom"/>
            <w:gridSpan w:val="5"/>
            <w:vMerge w:val="restart"/>
          </w:tcPr>
          <w:p>
            <w:pPr>
              <w:ind w:left="180"/>
              <w:spacing w:after="0"/>
              <w:rPr>
                <w:sz w:val="20"/>
                <w:szCs w:val="20"/>
                <w:color w:val="auto"/>
              </w:rPr>
            </w:pPr>
            <w:r>
              <w:rPr>
                <w:rFonts w:ascii="Arial" w:cs="Arial" w:eastAsia="Arial" w:hAnsi="Arial"/>
                <w:sz w:val="12"/>
                <w:szCs w:val="12"/>
                <w:b w:val="1"/>
                <w:bCs w:val="1"/>
                <w:color w:val="auto"/>
              </w:rPr>
              <w:t>Common Stock</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8"/>
              </w:rPr>
              <w:t>Additional</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8"/>
              </w:rPr>
              <w:t>Dividends in</w:t>
            </w: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4"/>
              </w:rPr>
              <w:t>Treasury</w:t>
            </w:r>
          </w:p>
        </w:tc>
        <w:tc>
          <w:tcPr>
            <w:tcW w:w="8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Accumulated</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98"/>
              </w:rPr>
              <w:t>Noncontrolling</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Noncontrolling</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540" w:type="dxa"/>
            <w:vAlign w:val="bottom"/>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160"/>
              <w:spacing w:after="0" w:line="114" w:lineRule="exact"/>
              <w:rPr>
                <w:sz w:val="20"/>
                <w:szCs w:val="20"/>
                <w:color w:val="auto"/>
              </w:rPr>
            </w:pPr>
            <w:r>
              <w:rPr>
                <w:rFonts w:ascii="Arial" w:cs="Arial" w:eastAsia="Arial" w:hAnsi="Arial"/>
                <w:sz w:val="12"/>
                <w:szCs w:val="12"/>
                <w:b w:val="1"/>
                <w:bCs w:val="1"/>
                <w:color w:val="auto"/>
                <w:w w:val="99"/>
              </w:rPr>
              <w:t>Other</w:t>
            </w:r>
          </w:p>
        </w:tc>
        <w:tc>
          <w:tcPr>
            <w:tcW w:w="10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tcPr>
          <w:p>
            <w:pPr>
              <w:jc w:val="center"/>
              <w:ind w:right="200"/>
              <w:spacing w:after="0" w:line="114" w:lineRule="exact"/>
              <w:rPr>
                <w:sz w:val="20"/>
                <w:szCs w:val="20"/>
                <w:color w:val="auto"/>
              </w:rPr>
            </w:pPr>
            <w:r>
              <w:rPr>
                <w:rFonts w:ascii="Arial" w:cs="Arial" w:eastAsia="Arial" w:hAnsi="Arial"/>
                <w:sz w:val="12"/>
                <w:szCs w:val="12"/>
                <w:b w:val="1"/>
                <w:bCs w:val="1"/>
                <w:color w:val="auto"/>
                <w:w w:val="97"/>
              </w:rPr>
              <w:t>Interests -</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5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restart"/>
          </w:tcPr>
          <w:p>
            <w:pPr>
              <w:jc w:val="center"/>
              <w:ind w:right="80"/>
              <w:spacing w:after="0" w:line="114" w:lineRule="exact"/>
              <w:rPr>
                <w:sz w:val="20"/>
                <w:szCs w:val="20"/>
                <w:color w:val="auto"/>
              </w:rPr>
            </w:pPr>
            <w:r>
              <w:rPr>
                <w:rFonts w:ascii="Arial" w:cs="Arial" w:eastAsia="Arial" w:hAnsi="Arial"/>
                <w:sz w:val="12"/>
                <w:szCs w:val="12"/>
                <w:b w:val="1"/>
                <w:bCs w:val="1"/>
                <w:color w:val="auto"/>
                <w:w w:val="99"/>
              </w:rPr>
              <w:t>Paid-in</w:t>
            </w:r>
          </w:p>
        </w:tc>
        <w:tc>
          <w:tcPr>
            <w:tcW w:w="840" w:type="dxa"/>
            <w:vAlign w:val="bottom"/>
            <w:gridSpan w:val="2"/>
            <w:vMerge w:val="restart"/>
          </w:tcPr>
          <w:p>
            <w:pPr>
              <w:jc w:val="center"/>
              <w:ind w:right="80"/>
              <w:spacing w:after="0" w:line="114" w:lineRule="exact"/>
              <w:rPr>
                <w:sz w:val="20"/>
                <w:szCs w:val="20"/>
                <w:color w:val="auto"/>
              </w:rPr>
            </w:pPr>
            <w:r>
              <w:rPr>
                <w:rFonts w:ascii="Arial" w:cs="Arial" w:eastAsia="Arial" w:hAnsi="Arial"/>
                <w:sz w:val="12"/>
                <w:szCs w:val="12"/>
                <w:b w:val="1"/>
                <w:bCs w:val="1"/>
                <w:color w:val="auto"/>
                <w:w w:val="99"/>
              </w:rPr>
              <w:t>Excess of</w:t>
            </w:r>
          </w:p>
        </w:tc>
        <w:tc>
          <w:tcPr>
            <w:tcW w:w="100" w:type="dxa"/>
            <w:vAlign w:val="bottom"/>
          </w:tcPr>
          <w:p>
            <w:pPr>
              <w:spacing w:after="0"/>
              <w:rPr>
                <w:sz w:val="2"/>
                <w:szCs w:val="2"/>
                <w:color w:val="auto"/>
              </w:rPr>
            </w:pPr>
          </w:p>
        </w:tc>
        <w:tc>
          <w:tcPr>
            <w:tcW w:w="640" w:type="dxa"/>
            <w:vAlign w:val="bottom"/>
            <w:gridSpan w:val="2"/>
            <w:vMerge w:val="restart"/>
          </w:tcPr>
          <w:p>
            <w:pPr>
              <w:jc w:val="center"/>
              <w:ind w:right="200"/>
              <w:spacing w:after="0" w:line="114" w:lineRule="exact"/>
              <w:rPr>
                <w:sz w:val="20"/>
                <w:szCs w:val="20"/>
                <w:color w:val="auto"/>
              </w:rPr>
            </w:pPr>
            <w:r>
              <w:rPr>
                <w:rFonts w:ascii="Arial" w:cs="Arial" w:eastAsia="Arial" w:hAnsi="Arial"/>
                <w:sz w:val="12"/>
                <w:szCs w:val="12"/>
                <w:b w:val="1"/>
                <w:bCs w:val="1"/>
                <w:color w:val="auto"/>
                <w:w w:val="99"/>
              </w:rPr>
              <w:t>Stock,</w:t>
            </w:r>
          </w:p>
        </w:tc>
        <w:tc>
          <w:tcPr>
            <w:tcW w:w="1000" w:type="dxa"/>
            <w:vAlign w:val="bottom"/>
            <w:gridSpan w:val="3"/>
            <w:vMerge w:val="restart"/>
          </w:tcPr>
          <w:p>
            <w:pPr>
              <w:ind w:left="20"/>
              <w:spacing w:after="0" w:line="114" w:lineRule="exact"/>
              <w:rPr>
                <w:sz w:val="20"/>
                <w:szCs w:val="20"/>
                <w:color w:val="auto"/>
              </w:rPr>
            </w:pPr>
            <w:r>
              <w:rPr>
                <w:rFonts w:ascii="Arial" w:cs="Arial" w:eastAsia="Arial" w:hAnsi="Arial"/>
                <w:sz w:val="12"/>
                <w:szCs w:val="12"/>
                <w:b w:val="1"/>
                <w:bCs w:val="1"/>
                <w:color w:val="auto"/>
              </w:rPr>
              <w:t>Comprehensive</w:t>
            </w:r>
          </w:p>
        </w:tc>
        <w:tc>
          <w:tcPr>
            <w:tcW w:w="140" w:type="dxa"/>
            <w:vAlign w:val="bottom"/>
          </w:tcPr>
          <w:p>
            <w:pPr>
              <w:spacing w:after="0"/>
              <w:rPr>
                <w:sz w:val="2"/>
                <w:szCs w:val="2"/>
                <w:color w:val="auto"/>
              </w:rPr>
            </w:pPr>
          </w:p>
        </w:tc>
        <w:tc>
          <w:tcPr>
            <w:tcW w:w="860" w:type="dxa"/>
            <w:vAlign w:val="bottom"/>
            <w:gridSpan w:val="2"/>
            <w:vMerge w:val="restart"/>
          </w:tcPr>
          <w:p>
            <w:pPr>
              <w:jc w:val="center"/>
              <w:ind w:right="220"/>
              <w:spacing w:after="0" w:line="114" w:lineRule="exact"/>
              <w:rPr>
                <w:sz w:val="20"/>
                <w:szCs w:val="20"/>
                <w:color w:val="auto"/>
              </w:rPr>
            </w:pPr>
            <w:r>
              <w:rPr>
                <w:rFonts w:ascii="Arial" w:cs="Arial" w:eastAsia="Arial" w:hAnsi="Arial"/>
                <w:sz w:val="12"/>
                <w:szCs w:val="12"/>
                <w:b w:val="1"/>
                <w:bCs w:val="1"/>
                <w:color w:val="auto"/>
                <w:w w:val="97"/>
              </w:rPr>
              <w:t>Interests -</w:t>
            </w:r>
          </w:p>
        </w:tc>
        <w:tc>
          <w:tcPr>
            <w:tcW w:w="120" w:type="dxa"/>
            <w:vAlign w:val="bottom"/>
          </w:tcPr>
          <w:p>
            <w:pPr>
              <w:spacing w:after="0"/>
              <w:rPr>
                <w:sz w:val="2"/>
                <w:szCs w:val="2"/>
                <w:color w:val="auto"/>
              </w:rPr>
            </w:pPr>
          </w:p>
        </w:tc>
        <w:tc>
          <w:tcPr>
            <w:tcW w:w="840" w:type="dxa"/>
            <w:vAlign w:val="bottom"/>
            <w:gridSpan w:val="2"/>
            <w:vMerge w:val="restart"/>
          </w:tcPr>
          <w:p>
            <w:pPr>
              <w:jc w:val="center"/>
              <w:ind w:right="200"/>
              <w:spacing w:after="0" w:line="114" w:lineRule="exact"/>
              <w:rPr>
                <w:sz w:val="20"/>
                <w:szCs w:val="20"/>
                <w:color w:val="auto"/>
              </w:rPr>
            </w:pPr>
            <w:r>
              <w:rPr>
                <w:rFonts w:ascii="Arial" w:cs="Arial" w:eastAsia="Arial" w:hAnsi="Arial"/>
                <w:sz w:val="12"/>
                <w:szCs w:val="12"/>
                <w:b w:val="1"/>
                <w:bCs w:val="1"/>
                <w:color w:val="auto"/>
                <w:w w:val="97"/>
              </w:rPr>
              <w:t>Property</w:t>
            </w: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3540" w:type="dxa"/>
            <w:vAlign w:val="bottom"/>
          </w:tcPr>
          <w:p>
            <w:pPr>
              <w:spacing w:after="0"/>
              <w:rPr>
                <w:sz w:val="5"/>
                <w:szCs w:val="5"/>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80" w:type="dxa"/>
            <w:vAlign w:val="bottom"/>
            <w:vMerge w:val="restart"/>
          </w:tcPr>
          <w:p>
            <w:pPr>
              <w:jc w:val="right"/>
              <w:ind w:right="193"/>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4"/>
        </w:trPr>
        <w:tc>
          <w:tcPr>
            <w:tcW w:w="35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9"/>
              </w:rPr>
              <w:t>Capital</w:t>
            </w:r>
          </w:p>
        </w:tc>
        <w:tc>
          <w:tcPr>
            <w:tcW w:w="8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7"/>
              </w:rPr>
              <w:t>Earnings</w:t>
            </w:r>
          </w:p>
        </w:tc>
        <w:tc>
          <w:tcPr>
            <w:tcW w:w="100" w:type="dxa"/>
            <w:vAlign w:val="bottom"/>
          </w:tcPr>
          <w:p>
            <w:pPr>
              <w:spacing w:after="0"/>
              <w:rPr>
                <w:sz w:val="15"/>
                <w:szCs w:val="15"/>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at cost</w:t>
            </w:r>
          </w:p>
        </w:tc>
        <w:tc>
          <w:tcPr>
            <w:tcW w:w="8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Loss</w:t>
            </w:r>
          </w:p>
        </w:tc>
        <w:tc>
          <w:tcPr>
            <w:tcW w:w="10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8"/>
              </w:rPr>
              <w:t>Common Units</w:t>
            </w:r>
          </w:p>
        </w:tc>
        <w:tc>
          <w:tcPr>
            <w:tcW w:w="96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8"/>
              </w:rPr>
              <w:t>Partnerships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June 30, 2022</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156,726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1,567</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91"/>
              </w:rPr>
              <w:t>$ 6,524,997</w:t>
            </w: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 (567,016)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w w:val="99"/>
              </w:rPr>
              <w:t>(2,722)</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(27,077)</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660,214</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1,552,706</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91"/>
              </w:rPr>
              <w:t>$ 8,142,669</w:t>
            </w:r>
          </w:p>
        </w:tc>
        <w:tc>
          <w:tcPr>
            <w:tcW w:w="0" w:type="dxa"/>
            <w:vAlign w:val="bottom"/>
          </w:tcPr>
          <w:p>
            <w:pPr>
              <w:spacing w:after="0"/>
              <w:rPr>
                <w:sz w:val="1"/>
                <w:szCs w:val="1"/>
                <w:color w:val="auto"/>
              </w:rPr>
            </w:pPr>
          </w:p>
        </w:tc>
      </w:tr>
      <w:tr>
        <w:trPr>
          <w:trHeight w:val="140"/>
        </w:trPr>
        <w:tc>
          <w:tcPr>
            <w:tcW w:w="3540" w:type="dxa"/>
            <w:vAlign w:val="bottom"/>
          </w:tcPr>
          <w:p>
            <w:pPr>
              <w:ind w:left="20"/>
              <w:spacing w:after="0" w:line="140" w:lineRule="exact"/>
              <w:rPr>
                <w:sz w:val="20"/>
                <w:szCs w:val="20"/>
                <w:color w:val="auto"/>
              </w:rPr>
            </w:pPr>
            <w:r>
              <w:rPr>
                <w:rFonts w:ascii="Arial" w:cs="Arial" w:eastAsia="Arial" w:hAnsi="Arial"/>
                <w:sz w:val="14"/>
                <w:szCs w:val="14"/>
                <w:color w:val="auto"/>
              </w:rPr>
              <w:t>Redemption of operating partnership units to common</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780" w:type="dxa"/>
            <w:vAlign w:val="bottom"/>
            <w:vMerge w:val="restart"/>
          </w:tcPr>
          <w:p>
            <w:pPr>
              <w:jc w:val="right"/>
              <w:ind w:right="13"/>
              <w:spacing w:after="0"/>
              <w:rPr>
                <w:sz w:val="20"/>
                <w:szCs w:val="20"/>
                <w:color w:val="auto"/>
              </w:rPr>
            </w:pPr>
            <w:r>
              <w:rPr>
                <w:rFonts w:ascii="Arial" w:cs="Arial" w:eastAsia="Arial" w:hAnsi="Arial"/>
                <w:sz w:val="14"/>
                <w:szCs w:val="14"/>
                <w:color w:val="auto"/>
              </w:rPr>
              <w:t>958</w:t>
            </w:r>
          </w:p>
        </w:tc>
        <w:tc>
          <w:tcPr>
            <w:tcW w:w="6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(959)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540" w:type="dxa"/>
            <w:vAlign w:val="bottom"/>
          </w:tcPr>
          <w:p>
            <w:pPr>
              <w:ind w:left="20"/>
              <w:spacing w:after="0"/>
              <w:rPr>
                <w:sz w:val="20"/>
                <w:szCs w:val="20"/>
                <w:color w:val="auto"/>
              </w:rPr>
            </w:pPr>
            <w:r>
              <w:rPr>
                <w:rFonts w:ascii="Arial" w:cs="Arial" w:eastAsia="Arial" w:hAnsi="Arial"/>
                <w:sz w:val="14"/>
                <w:szCs w:val="14"/>
                <w:color w:val="auto"/>
              </w:rPr>
              <w:t>stock</w:t>
            </w: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Allocated net income for the period</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361,100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40,760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18,801</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420,661</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Dividends/distributions declared</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(153,620)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(17,930)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(171,550)</w:t>
            </w:r>
          </w:p>
        </w:tc>
        <w:tc>
          <w:tcPr>
            <w:tcW w:w="0" w:type="dxa"/>
            <w:vAlign w:val="bottom"/>
          </w:tcPr>
          <w:p>
            <w:pPr>
              <w:spacing w:after="0"/>
              <w:rPr>
                <w:sz w:val="1"/>
                <w:szCs w:val="1"/>
                <w:color w:val="auto"/>
              </w:rPr>
            </w:pPr>
          </w:p>
        </w:tc>
      </w:tr>
      <w:tr>
        <w:trPr>
          <w:trHeight w:val="195"/>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pursuant to stock purchase plan</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436</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Net activity from stock option and incentive plan</w:t>
            </w: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1,648</w:t>
            </w:r>
          </w:p>
        </w:tc>
        <w:tc>
          <w:tcPr>
            <w:tcW w:w="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6,880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8,528</w:t>
            </w: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Contributions from noncontrolling interests in property</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partnerships</w:t>
            </w:r>
          </w:p>
        </w:tc>
        <w:tc>
          <w:tcPr>
            <w:tcW w:w="6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540" w:type="dxa"/>
            <w:vAlign w:val="bottom"/>
          </w:tcPr>
          <w:p>
            <w:pPr>
              <w:ind w:left="20"/>
              <w:spacing w:after="0" w:line="140" w:lineRule="exact"/>
              <w:rPr>
                <w:sz w:val="20"/>
                <w:szCs w:val="20"/>
                <w:color w:val="auto"/>
              </w:rPr>
            </w:pPr>
            <w:r>
              <w:rPr>
                <w:rFonts w:ascii="Arial" w:cs="Arial" w:eastAsia="Arial" w:hAnsi="Arial"/>
                <w:sz w:val="14"/>
                <w:szCs w:val="14"/>
                <w:color w:val="auto"/>
              </w:rPr>
              <w:t>Distributions to noncontrolling interests in property</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(20,150)</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(20,150)</w:t>
            </w:r>
          </w:p>
        </w:tc>
        <w:tc>
          <w:tcPr>
            <w:tcW w:w="0" w:type="dxa"/>
            <w:vAlign w:val="bottom"/>
          </w:tcPr>
          <w:p>
            <w:pPr>
              <w:spacing w:after="0"/>
              <w:rPr>
                <w:sz w:val="1"/>
                <w:szCs w:val="1"/>
                <w:color w:val="auto"/>
              </w:rPr>
            </w:pPr>
          </w:p>
        </w:tc>
      </w:tr>
      <w:tr>
        <w:trPr>
          <w:trHeight w:val="177"/>
        </w:trPr>
        <w:tc>
          <w:tcPr>
            <w:tcW w:w="3540" w:type="dxa"/>
            <w:vAlign w:val="bottom"/>
          </w:tcPr>
          <w:p>
            <w:pPr>
              <w:ind w:left="100"/>
              <w:spacing w:after="0"/>
              <w:rPr>
                <w:sz w:val="20"/>
                <w:szCs w:val="20"/>
                <w:color w:val="auto"/>
              </w:rPr>
            </w:pPr>
            <w:r>
              <w:rPr>
                <w:rFonts w:ascii="Arial" w:cs="Arial" w:eastAsia="Arial" w:hAnsi="Arial"/>
                <w:sz w:val="14"/>
                <w:szCs w:val="14"/>
                <w:color w:val="auto"/>
              </w:rPr>
              <w:t>partnerships</w:t>
            </w: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1,091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1,377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156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6"/>
                <w:szCs w:val="16"/>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1,677</w:t>
            </w:r>
          </w:p>
        </w:tc>
        <w:tc>
          <w:tcPr>
            <w:tcW w:w="0" w:type="dxa"/>
            <w:vAlign w:val="bottom"/>
          </w:tcPr>
          <w:p>
            <w:pPr>
              <w:spacing w:after="0"/>
              <w:rPr>
                <w:sz w:val="1"/>
                <w:szCs w:val="1"/>
                <w:color w:val="auto"/>
              </w:rPr>
            </w:pPr>
          </w:p>
        </w:tc>
      </w:tr>
      <w:tr>
        <w:trPr>
          <w:trHeight w:val="190"/>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4,260</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3540" w:type="dxa"/>
            <w:vAlign w:val="bottom"/>
          </w:tcPr>
          <w:p>
            <w:pPr>
              <w:ind w:left="20"/>
              <w:spacing w:after="0"/>
              <w:rPr>
                <w:sz w:val="20"/>
                <w:szCs w:val="20"/>
                <w:color w:val="auto"/>
              </w:rPr>
            </w:pPr>
            <w:r>
              <w:rPr>
                <w:rFonts w:ascii="Arial" w:cs="Arial" w:eastAsia="Arial" w:hAnsi="Arial"/>
                <w:sz w:val="14"/>
                <w:szCs w:val="14"/>
                <w:color w:val="auto"/>
              </w:rPr>
              <w:t>Equity, September 30, 2022</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156,755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1,568</w:t>
            </w:r>
          </w:p>
        </w:tc>
        <w:tc>
          <w:tcPr>
            <w:tcW w:w="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w w:val="91"/>
              </w:rPr>
              <w:t>$ 6,532,299</w:t>
            </w:r>
          </w:p>
        </w:tc>
        <w:tc>
          <w:tcPr>
            <w:tcW w:w="6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 (359,536)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w w:val="99"/>
              </w:rPr>
              <w:t>(2,722)</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(15,991)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685,952</w:t>
            </w: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1,551,501</w:t>
            </w:r>
          </w:p>
        </w:tc>
        <w:tc>
          <w:tcPr>
            <w:tcW w:w="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w w:val="91"/>
              </w:rPr>
              <w:t>$ 8,393,071</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Equity, June 30, 2021</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156,136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1,561</w:t>
            </w:r>
          </w:p>
        </w:tc>
        <w:tc>
          <w:tcPr>
            <w:tcW w:w="80" w:type="dxa"/>
            <w:vAlign w:val="bottom"/>
          </w:tcPr>
          <w:p>
            <w:pPr>
              <w:spacing w:after="0"/>
              <w:rPr>
                <w:sz w:val="16"/>
                <w:szCs w:val="16"/>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w w:val="91"/>
              </w:rPr>
              <w:t>$ 6,405,916</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7"/>
              </w:rPr>
              <w:t>$ (612,247)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ind w:left="100"/>
              <w:spacing w:after="0"/>
              <w:rPr>
                <w:sz w:val="20"/>
                <w:szCs w:val="20"/>
                <w:color w:val="auto"/>
              </w:rPr>
            </w:pPr>
            <w:r>
              <w:rPr>
                <w:rFonts w:ascii="Arial" w:cs="Arial" w:eastAsia="Arial" w:hAnsi="Arial"/>
                <w:sz w:val="14"/>
                <w:szCs w:val="14"/>
                <w:color w:val="auto"/>
                <w:w w:val="99"/>
              </w:rPr>
              <w:t>(2,722)</w:t>
            </w:r>
          </w:p>
        </w:tc>
        <w:tc>
          <w:tcPr>
            <w:tcW w:w="8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(43,166)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615,308</w:t>
            </w:r>
          </w:p>
        </w:tc>
        <w:tc>
          <w:tcPr>
            <w:tcW w:w="6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1,725,343</w:t>
            </w:r>
          </w:p>
        </w:tc>
        <w:tc>
          <w:tcPr>
            <w:tcW w:w="80" w:type="dxa"/>
            <w:vAlign w:val="bottom"/>
          </w:tcPr>
          <w:p>
            <w:pPr>
              <w:spacing w:after="0"/>
              <w:rPr>
                <w:sz w:val="16"/>
                <w:szCs w:val="16"/>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w w:val="91"/>
              </w:rPr>
              <w:t>$ 8,089,993</w:t>
            </w: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Redemption of operating partnership units to common</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1,747</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Allocated net income for the period</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108,308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11,971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18,971</w:t>
            </w:r>
          </w:p>
        </w:tc>
        <w:tc>
          <w:tcPr>
            <w:tcW w:w="80" w:type="dxa"/>
            <w:vAlign w:val="bottom"/>
          </w:tcPr>
          <w:p>
            <w:pPr>
              <w:spacing w:after="0"/>
              <w:rPr>
                <w:sz w:val="16"/>
                <w:szCs w:val="16"/>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139,250</w:t>
            </w:r>
          </w:p>
        </w:tc>
        <w:tc>
          <w:tcPr>
            <w:tcW w:w="0" w:type="dxa"/>
            <w:vAlign w:val="bottom"/>
          </w:tcPr>
          <w:p>
            <w:pPr>
              <w:spacing w:after="0"/>
              <w:rPr>
                <w:sz w:val="1"/>
                <w:szCs w:val="1"/>
                <w:color w:val="auto"/>
              </w:rPr>
            </w:pPr>
          </w:p>
        </w:tc>
      </w:tr>
      <w:tr>
        <w:trPr>
          <w:trHeight w:val="195"/>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Dividends/distributions declared</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(153,082)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(170,285)</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Shares issued pursuant to stock purchase plan</w:t>
            </w: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520</w:t>
            </w:r>
          </w:p>
        </w:tc>
        <w:tc>
          <w:tcPr>
            <w:tcW w:w="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95"/>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activity from stock option and incentive plan</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1,185</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7,679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8,864</w:t>
            </w:r>
          </w:p>
        </w:tc>
        <w:tc>
          <w:tcPr>
            <w:tcW w:w="0" w:type="dxa"/>
            <w:vAlign w:val="bottom"/>
          </w:tcPr>
          <w:p>
            <w:pPr>
              <w:spacing w:after="0"/>
              <w:rPr>
                <w:sz w:val="1"/>
                <w:szCs w:val="1"/>
                <w:color w:val="auto"/>
              </w:rPr>
            </w:pPr>
          </w:p>
        </w:tc>
      </w:tr>
      <w:tr>
        <w:trPr>
          <w:trHeight w:val="140"/>
        </w:trPr>
        <w:tc>
          <w:tcPr>
            <w:tcW w:w="3540" w:type="dxa"/>
            <w:vAlign w:val="bottom"/>
          </w:tcPr>
          <w:p>
            <w:pPr>
              <w:ind w:left="20"/>
              <w:spacing w:after="0" w:line="140" w:lineRule="exact"/>
              <w:rPr>
                <w:sz w:val="20"/>
                <w:szCs w:val="20"/>
                <w:color w:val="auto"/>
              </w:rPr>
            </w:pPr>
            <w:r>
              <w:rPr>
                <w:rFonts w:ascii="Arial" w:cs="Arial" w:eastAsia="Arial" w:hAnsi="Arial"/>
                <w:sz w:val="14"/>
                <w:szCs w:val="14"/>
                <w:color w:val="auto"/>
              </w:rPr>
              <w:t>Contributions from noncontrolling interests in property</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11,318</w:t>
            </w:r>
          </w:p>
        </w:tc>
        <w:tc>
          <w:tcPr>
            <w:tcW w:w="80" w:type="dxa"/>
            <w:vAlign w:val="bottom"/>
          </w:tcPr>
          <w:p>
            <w:pPr>
              <w:spacing w:after="0"/>
              <w:rPr>
                <w:sz w:val="12"/>
                <w:szCs w:val="12"/>
                <w:color w:val="auto"/>
              </w:rPr>
            </w:pPr>
          </w:p>
        </w:tc>
        <w:tc>
          <w:tcPr>
            <w:tcW w:w="780" w:type="dxa"/>
            <w:vAlign w:val="bottom"/>
            <w:vMerge w:val="restart"/>
          </w:tcPr>
          <w:p>
            <w:pPr>
              <w:jc w:val="right"/>
              <w:ind w:right="13"/>
              <w:spacing w:after="0"/>
              <w:rPr>
                <w:sz w:val="20"/>
                <w:szCs w:val="20"/>
                <w:color w:val="auto"/>
              </w:rPr>
            </w:pPr>
            <w:r>
              <w:rPr>
                <w:rFonts w:ascii="Arial" w:cs="Arial" w:eastAsia="Arial" w:hAnsi="Arial"/>
                <w:sz w:val="14"/>
                <w:szCs w:val="14"/>
                <w:color w:val="auto"/>
              </w:rPr>
              <w:t>11,318</w:t>
            </w:r>
          </w:p>
        </w:tc>
        <w:tc>
          <w:tcPr>
            <w:tcW w:w="0" w:type="dxa"/>
            <w:vAlign w:val="bottom"/>
          </w:tcPr>
          <w:p>
            <w:pPr>
              <w:spacing w:after="0"/>
              <w:rPr>
                <w:sz w:val="1"/>
                <w:szCs w:val="1"/>
                <w:color w:val="auto"/>
              </w:rPr>
            </w:pPr>
          </w:p>
        </w:tc>
      </w:tr>
      <w:tr>
        <w:trPr>
          <w:trHeight w:val="177"/>
        </w:trPr>
        <w:tc>
          <w:tcPr>
            <w:tcW w:w="3540" w:type="dxa"/>
            <w:vAlign w:val="bottom"/>
          </w:tcPr>
          <w:p>
            <w:pPr>
              <w:ind w:left="100"/>
              <w:spacing w:after="0"/>
              <w:rPr>
                <w:sz w:val="20"/>
                <w:szCs w:val="20"/>
                <w:color w:val="auto"/>
              </w:rPr>
            </w:pPr>
            <w:r>
              <w:rPr>
                <w:rFonts w:ascii="Arial" w:cs="Arial" w:eastAsia="Arial" w:hAnsi="Arial"/>
                <w:sz w:val="14"/>
                <w:szCs w:val="14"/>
                <w:color w:val="auto"/>
              </w:rPr>
              <w:t>partnerships</w:t>
            </w: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54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Distributions to noncontrolling interests in property</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(27,675)</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(27,675)</w:t>
            </w:r>
          </w:p>
        </w:tc>
        <w:tc>
          <w:tcPr>
            <w:tcW w:w="0" w:type="dxa"/>
            <w:vAlign w:val="bottom"/>
          </w:tcPr>
          <w:p>
            <w:pPr>
              <w:spacing w:after="0"/>
              <w:rPr>
                <w:sz w:val="1"/>
                <w:szCs w:val="1"/>
                <w:color w:val="auto"/>
              </w:rPr>
            </w:pPr>
          </w:p>
        </w:tc>
      </w:tr>
      <w:tr>
        <w:trPr>
          <w:trHeight w:val="178"/>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partnerships</w:t>
            </w:r>
          </w:p>
        </w:tc>
        <w:tc>
          <w:tcPr>
            <w:tcW w:w="6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195"/>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150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1,676</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6,434</w:t>
            </w:r>
          </w:p>
        </w:tc>
        <w:tc>
          <w:tcPr>
            <w:tcW w:w="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(6,434)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September 30, 2021</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156,206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91"/>
              </w:rPr>
              <w:t>$ 6,415,802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 (657,021)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w w:val="99"/>
              </w:rPr>
              <w:t>(2,722)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609,830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1,728,101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91"/>
              </w:rPr>
              <w:t>$ 8,054,749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40"/>
          </w:cols>
          <w:pgMar w:left="320" w:top="275" w:right="4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BOSTON PROPERTIES,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EQUITY</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(unaudited and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60" w:type="dxa"/>
            <w:vAlign w:val="bottom"/>
          </w:tcPr>
          <w:p>
            <w:pPr>
              <w:spacing w:after="0"/>
              <w:rPr>
                <w:sz w:val="12"/>
                <w:szCs w:val="12"/>
                <w:color w:val="auto"/>
              </w:rPr>
            </w:pPr>
          </w:p>
        </w:tc>
        <w:tc>
          <w:tcPr>
            <w:tcW w:w="1300" w:type="dxa"/>
            <w:vAlign w:val="bottom"/>
            <w:gridSpan w:val="5"/>
            <w:vMerge w:val="restart"/>
          </w:tcPr>
          <w:p>
            <w:pPr>
              <w:ind w:left="18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8"/>
              </w:rPr>
              <w:t>Additional</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8"/>
              </w:rPr>
              <w:t>Dividends in</w:t>
            </w:r>
          </w:p>
        </w:tc>
        <w:tc>
          <w:tcPr>
            <w:tcW w:w="72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94"/>
              </w:rPr>
              <w:t>Treasury</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Accumulated</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98"/>
              </w:rPr>
              <w:t>Noncontrolling</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Noncontrolling</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96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160"/>
              <w:spacing w:after="0" w:line="114" w:lineRule="exact"/>
              <w:rPr>
                <w:sz w:val="20"/>
                <w:szCs w:val="20"/>
                <w:color w:val="auto"/>
              </w:rPr>
            </w:pPr>
            <w:r>
              <w:rPr>
                <w:rFonts w:ascii="Arial" w:cs="Arial" w:eastAsia="Arial" w:hAnsi="Arial"/>
                <w:sz w:val="12"/>
                <w:szCs w:val="12"/>
                <w:b w:val="1"/>
                <w:bCs w:val="1"/>
                <w:color w:val="auto"/>
                <w:w w:val="99"/>
              </w:rPr>
              <w:t>Other</w:t>
            </w:r>
          </w:p>
        </w:tc>
        <w:tc>
          <w:tcPr>
            <w:tcW w:w="10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200"/>
              <w:spacing w:after="0" w:line="114" w:lineRule="exact"/>
              <w:rPr>
                <w:sz w:val="20"/>
                <w:szCs w:val="20"/>
                <w:color w:val="auto"/>
              </w:rPr>
            </w:pPr>
            <w:r>
              <w:rPr>
                <w:rFonts w:ascii="Arial" w:cs="Arial" w:eastAsia="Arial" w:hAnsi="Arial"/>
                <w:sz w:val="12"/>
                <w:szCs w:val="12"/>
                <w:b w:val="1"/>
                <w:bCs w:val="1"/>
                <w:color w:val="auto"/>
              </w:rPr>
              <w:t>Interests -</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296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vMerge w:val="restart"/>
          </w:tcPr>
          <w:p>
            <w:pPr>
              <w:ind w:left="60"/>
              <w:spacing w:after="0" w:line="127" w:lineRule="exact"/>
              <w:rPr>
                <w:sz w:val="20"/>
                <w:szCs w:val="20"/>
                <w:color w:val="auto"/>
              </w:rPr>
            </w:pPr>
            <w:r>
              <w:rPr>
                <w:rFonts w:ascii="Arial" w:cs="Arial" w:eastAsia="Arial" w:hAnsi="Arial"/>
                <w:sz w:val="12"/>
                <w:szCs w:val="12"/>
                <w:b w:val="1"/>
                <w:bCs w:val="1"/>
                <w:color w:val="auto"/>
              </w:rPr>
              <w:t>Preferred</w:t>
            </w:r>
          </w:p>
        </w:tc>
        <w:tc>
          <w:tcPr>
            <w:tcW w:w="860" w:type="dxa"/>
            <w:vAlign w:val="bottom"/>
            <w:gridSpan w:val="2"/>
            <w:vMerge w:val="restart"/>
          </w:tcPr>
          <w:p>
            <w:pPr>
              <w:jc w:val="center"/>
              <w:ind w:right="80"/>
              <w:spacing w:after="0" w:line="127" w:lineRule="exact"/>
              <w:rPr>
                <w:sz w:val="20"/>
                <w:szCs w:val="20"/>
                <w:color w:val="auto"/>
              </w:rPr>
            </w:pPr>
            <w:r>
              <w:rPr>
                <w:rFonts w:ascii="Arial" w:cs="Arial" w:eastAsia="Arial" w:hAnsi="Arial"/>
                <w:sz w:val="12"/>
                <w:szCs w:val="12"/>
                <w:b w:val="1"/>
                <w:bCs w:val="1"/>
                <w:color w:val="auto"/>
                <w:w w:val="94"/>
              </w:rPr>
              <w:t>Paid-in</w:t>
            </w:r>
          </w:p>
        </w:tc>
        <w:tc>
          <w:tcPr>
            <w:tcW w:w="840" w:type="dxa"/>
            <w:vAlign w:val="bottom"/>
            <w:gridSpan w:val="2"/>
            <w:vMerge w:val="restart"/>
          </w:tcPr>
          <w:p>
            <w:pPr>
              <w:jc w:val="center"/>
              <w:ind w:right="100"/>
              <w:spacing w:after="0" w:line="127" w:lineRule="exact"/>
              <w:rPr>
                <w:sz w:val="20"/>
                <w:szCs w:val="20"/>
                <w:color w:val="auto"/>
              </w:rPr>
            </w:pPr>
            <w:r>
              <w:rPr>
                <w:rFonts w:ascii="Arial" w:cs="Arial" w:eastAsia="Arial" w:hAnsi="Arial"/>
                <w:sz w:val="12"/>
                <w:szCs w:val="12"/>
                <w:b w:val="1"/>
                <w:bCs w:val="1"/>
                <w:color w:val="auto"/>
                <w:w w:val="96"/>
              </w:rPr>
              <w:t>Excess of</w:t>
            </w:r>
          </w:p>
        </w:tc>
        <w:tc>
          <w:tcPr>
            <w:tcW w:w="100" w:type="dxa"/>
            <w:vAlign w:val="bottom"/>
          </w:tcPr>
          <w:p>
            <w:pPr>
              <w:spacing w:after="0"/>
              <w:rPr>
                <w:sz w:val="3"/>
                <w:szCs w:val="3"/>
                <w:color w:val="auto"/>
              </w:rPr>
            </w:pPr>
          </w:p>
        </w:tc>
        <w:tc>
          <w:tcPr>
            <w:tcW w:w="620" w:type="dxa"/>
            <w:vAlign w:val="bottom"/>
            <w:gridSpan w:val="2"/>
            <w:vMerge w:val="restart"/>
          </w:tcPr>
          <w:p>
            <w:pPr>
              <w:jc w:val="center"/>
              <w:ind w:right="180"/>
              <w:spacing w:after="0" w:line="127" w:lineRule="exact"/>
              <w:rPr>
                <w:sz w:val="20"/>
                <w:szCs w:val="20"/>
                <w:color w:val="auto"/>
              </w:rPr>
            </w:pPr>
            <w:r>
              <w:rPr>
                <w:rFonts w:ascii="Arial" w:cs="Arial" w:eastAsia="Arial" w:hAnsi="Arial"/>
                <w:sz w:val="12"/>
                <w:szCs w:val="12"/>
                <w:b w:val="1"/>
                <w:bCs w:val="1"/>
                <w:color w:val="auto"/>
                <w:w w:val="99"/>
              </w:rPr>
              <w:t>Stock,</w:t>
            </w:r>
          </w:p>
        </w:tc>
        <w:tc>
          <w:tcPr>
            <w:tcW w:w="1020" w:type="dxa"/>
            <w:vAlign w:val="bottom"/>
            <w:gridSpan w:val="3"/>
            <w:vMerge w:val="restart"/>
          </w:tcPr>
          <w:p>
            <w:pPr>
              <w:ind w:left="40"/>
              <w:spacing w:after="0" w:line="127" w:lineRule="exact"/>
              <w:rPr>
                <w:sz w:val="20"/>
                <w:szCs w:val="20"/>
                <w:color w:val="auto"/>
              </w:rPr>
            </w:pPr>
            <w:r>
              <w:rPr>
                <w:rFonts w:ascii="Arial" w:cs="Arial" w:eastAsia="Arial" w:hAnsi="Arial"/>
                <w:sz w:val="12"/>
                <w:szCs w:val="12"/>
                <w:b w:val="1"/>
                <w:bCs w:val="1"/>
                <w:color w:val="auto"/>
              </w:rPr>
              <w:t>Comprehensive</w:t>
            </w:r>
          </w:p>
        </w:tc>
        <w:tc>
          <w:tcPr>
            <w:tcW w:w="140" w:type="dxa"/>
            <w:vAlign w:val="bottom"/>
          </w:tcPr>
          <w:p>
            <w:pPr>
              <w:spacing w:after="0"/>
              <w:rPr>
                <w:sz w:val="3"/>
                <w:szCs w:val="3"/>
                <w:color w:val="auto"/>
              </w:rPr>
            </w:pPr>
          </w:p>
        </w:tc>
        <w:tc>
          <w:tcPr>
            <w:tcW w:w="860" w:type="dxa"/>
            <w:vAlign w:val="bottom"/>
            <w:gridSpan w:val="2"/>
            <w:vMerge w:val="restart"/>
          </w:tcPr>
          <w:p>
            <w:pPr>
              <w:jc w:val="center"/>
              <w:ind w:right="220"/>
              <w:spacing w:after="0" w:line="127" w:lineRule="exact"/>
              <w:rPr>
                <w:sz w:val="20"/>
                <w:szCs w:val="20"/>
                <w:color w:val="auto"/>
              </w:rPr>
            </w:pPr>
            <w:r>
              <w:rPr>
                <w:rFonts w:ascii="Arial" w:cs="Arial" w:eastAsia="Arial" w:hAnsi="Arial"/>
                <w:sz w:val="12"/>
                <w:szCs w:val="12"/>
                <w:b w:val="1"/>
                <w:bCs w:val="1"/>
                <w:color w:val="auto"/>
                <w:w w:val="97"/>
              </w:rPr>
              <w:t>Interests -</w:t>
            </w:r>
          </w:p>
        </w:tc>
        <w:tc>
          <w:tcPr>
            <w:tcW w:w="120" w:type="dxa"/>
            <w:vAlign w:val="bottom"/>
          </w:tcPr>
          <w:p>
            <w:pPr>
              <w:spacing w:after="0"/>
              <w:rPr>
                <w:sz w:val="3"/>
                <w:szCs w:val="3"/>
                <w:color w:val="auto"/>
              </w:rPr>
            </w:pPr>
          </w:p>
        </w:tc>
        <w:tc>
          <w:tcPr>
            <w:tcW w:w="820" w:type="dxa"/>
            <w:vAlign w:val="bottom"/>
            <w:gridSpan w:val="2"/>
            <w:vMerge w:val="restart"/>
          </w:tcPr>
          <w:p>
            <w:pPr>
              <w:jc w:val="center"/>
              <w:ind w:right="200"/>
              <w:spacing w:after="0" w:line="127" w:lineRule="exact"/>
              <w:rPr>
                <w:sz w:val="20"/>
                <w:szCs w:val="20"/>
                <w:color w:val="auto"/>
              </w:rPr>
            </w:pPr>
            <w:r>
              <w:rPr>
                <w:rFonts w:ascii="Arial" w:cs="Arial" w:eastAsia="Arial" w:hAnsi="Arial"/>
                <w:sz w:val="12"/>
                <w:szCs w:val="12"/>
                <w:b w:val="1"/>
                <w:bCs w:val="1"/>
                <w:color w:val="auto"/>
              </w:rPr>
              <w:t>Property</w:t>
            </w: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9"/>
        </w:trPr>
        <w:tc>
          <w:tcPr>
            <w:tcW w:w="2960" w:type="dxa"/>
            <w:vAlign w:val="bottom"/>
          </w:tcPr>
          <w:p>
            <w:pPr>
              <w:spacing w:after="0"/>
              <w:rPr>
                <w:sz w:val="5"/>
                <w:szCs w:val="5"/>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3"/>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80" w:type="dxa"/>
            <w:vAlign w:val="bottom"/>
            <w:vMerge w:val="restart"/>
          </w:tcPr>
          <w:p>
            <w:pPr>
              <w:jc w:val="right"/>
              <w:ind w:right="193"/>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4"/>
        </w:trPr>
        <w:tc>
          <w:tcPr>
            <w:tcW w:w="29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Stock</w:t>
            </w:r>
          </w:p>
        </w:tc>
        <w:tc>
          <w:tcPr>
            <w:tcW w:w="8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4"/>
              </w:rPr>
              <w:t>Capital</w:t>
            </w:r>
          </w:p>
        </w:tc>
        <w:tc>
          <w:tcPr>
            <w:tcW w:w="8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7"/>
              </w:rPr>
              <w:t>Earnings</w:t>
            </w:r>
          </w:p>
        </w:tc>
        <w:tc>
          <w:tcPr>
            <w:tcW w:w="100" w:type="dxa"/>
            <w:vAlign w:val="bottom"/>
          </w:tcPr>
          <w:p>
            <w:pPr>
              <w:spacing w:after="0"/>
              <w:rPr>
                <w:sz w:val="14"/>
                <w:szCs w:val="14"/>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at cost</w:t>
            </w:r>
          </w:p>
        </w:tc>
        <w:tc>
          <w:tcPr>
            <w:tcW w:w="1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Loss</w:t>
            </w:r>
          </w:p>
        </w:tc>
        <w:tc>
          <w:tcPr>
            <w:tcW w:w="10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8"/>
              </w:rPr>
              <w:t>Common Units</w:t>
            </w:r>
          </w:p>
        </w:tc>
        <w:tc>
          <w:tcPr>
            <w:tcW w:w="9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Partnerships</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96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December 31, 2021</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156,545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$ 6,497,730</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(625,891)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9"/>
              </w:rPr>
              <w:t>(2,722)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(36,662)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642,655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1,556,553</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$ 8,033,228</w:t>
            </w:r>
          </w:p>
        </w:tc>
        <w:tc>
          <w:tcPr>
            <w:tcW w:w="0" w:type="dxa"/>
            <w:vAlign w:val="bottom"/>
          </w:tcPr>
          <w:p>
            <w:pPr>
              <w:spacing w:after="0"/>
              <w:rPr>
                <w:sz w:val="1"/>
                <w:szCs w:val="1"/>
                <w:color w:val="auto"/>
              </w:rPr>
            </w:pPr>
          </w:p>
        </w:tc>
      </w:tr>
      <w:tr>
        <w:trPr>
          <w:trHeight w:val="145"/>
        </w:trPr>
        <w:tc>
          <w:tcPr>
            <w:tcW w:w="2960" w:type="dxa"/>
            <w:vAlign w:val="bottom"/>
          </w:tcPr>
          <w:p>
            <w:pPr>
              <w:ind w:left="20"/>
              <w:spacing w:after="0" w:line="145" w:lineRule="exact"/>
              <w:rPr>
                <w:sz w:val="20"/>
                <w:szCs w:val="20"/>
                <w:color w:val="auto"/>
              </w:rPr>
            </w:pPr>
            <w:r>
              <w:rPr>
                <w:rFonts w:ascii="Arial" w:cs="Arial" w:eastAsia="Arial" w:hAnsi="Arial"/>
                <w:sz w:val="14"/>
                <w:szCs w:val="14"/>
                <w:color w:val="auto"/>
              </w:rPr>
              <w:t>Redemption of operating partnership units to</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178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6,385</w:t>
            </w:r>
          </w:p>
        </w:tc>
        <w:tc>
          <w:tcPr>
            <w:tcW w:w="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(6,388)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96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Allocated net income for the period</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727,144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82,821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54,896</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864,861</w:t>
            </w:r>
          </w:p>
        </w:tc>
        <w:tc>
          <w:tcPr>
            <w:tcW w:w="0" w:type="dxa"/>
            <w:vAlign w:val="bottom"/>
          </w:tcPr>
          <w:p>
            <w:pPr>
              <w:spacing w:after="0"/>
              <w:rPr>
                <w:sz w:val="1"/>
                <w:szCs w:val="1"/>
                <w:color w:val="auto"/>
              </w:rPr>
            </w:pPr>
          </w:p>
        </w:tc>
      </w:tr>
      <w:tr>
        <w:trPr>
          <w:trHeight w:val="186"/>
        </w:trPr>
        <w:tc>
          <w:tcPr>
            <w:tcW w:w="2960" w:type="dxa"/>
            <w:vAlign w:val="bottom"/>
          </w:tcPr>
          <w:p>
            <w:pPr>
              <w:ind w:left="20"/>
              <w:spacing w:after="0"/>
              <w:rPr>
                <w:sz w:val="20"/>
                <w:szCs w:val="20"/>
                <w:color w:val="auto"/>
              </w:rPr>
            </w:pPr>
            <w:r>
              <w:rPr>
                <w:rFonts w:ascii="Arial" w:cs="Arial" w:eastAsia="Arial" w:hAnsi="Arial"/>
                <w:sz w:val="14"/>
                <w:szCs w:val="14"/>
                <w:color w:val="auto"/>
              </w:rPr>
              <w:t>Dividends/distributions declared</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(460,789)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(53,789)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(514,578)</w:t>
            </w:r>
          </w:p>
        </w:tc>
        <w:tc>
          <w:tcPr>
            <w:tcW w:w="0" w:type="dxa"/>
            <w:vAlign w:val="bottom"/>
          </w:tcPr>
          <w:p>
            <w:pPr>
              <w:spacing w:after="0"/>
              <w:rPr>
                <w:sz w:val="1"/>
                <w:szCs w:val="1"/>
                <w:color w:val="auto"/>
              </w:rPr>
            </w:pPr>
          </w:p>
        </w:tc>
      </w:tr>
      <w:tr>
        <w:trPr>
          <w:trHeight w:val="195"/>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pursuant to stock purchase plan</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186"/>
        </w:trPr>
        <w:tc>
          <w:tcPr>
            <w:tcW w:w="2960" w:type="dxa"/>
            <w:vAlign w:val="bottom"/>
          </w:tcPr>
          <w:p>
            <w:pPr>
              <w:ind w:left="20"/>
              <w:spacing w:after="0"/>
              <w:rPr>
                <w:sz w:val="20"/>
                <w:szCs w:val="20"/>
                <w:color w:val="auto"/>
              </w:rPr>
            </w:pPr>
            <w:r>
              <w:rPr>
                <w:rFonts w:ascii="Arial" w:cs="Arial" w:eastAsia="Arial" w:hAnsi="Arial"/>
                <w:sz w:val="14"/>
                <w:szCs w:val="14"/>
                <w:color w:val="auto"/>
                <w:w w:val="98"/>
              </w:rPr>
              <w:t>Net activity from stock option and incentive plan</w:t>
            </w:r>
          </w:p>
        </w:tc>
        <w:tc>
          <w:tcPr>
            <w:tcW w:w="56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5,935</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39,539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45,474</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Contributions from noncontrolling interests in</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173"/>
        </w:trPr>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property partnerships</w:t>
            </w:r>
          </w:p>
        </w:tc>
        <w:tc>
          <w:tcPr>
            <w:tcW w:w="6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960" w:type="dxa"/>
            <w:vAlign w:val="bottom"/>
          </w:tcPr>
          <w:p>
            <w:pPr>
              <w:ind w:left="20"/>
              <w:spacing w:after="0" w:line="145" w:lineRule="exact"/>
              <w:rPr>
                <w:sz w:val="20"/>
                <w:szCs w:val="20"/>
                <w:color w:val="auto"/>
              </w:rPr>
            </w:pPr>
            <w:r>
              <w:rPr>
                <w:rFonts w:ascii="Arial" w:cs="Arial" w:eastAsia="Arial" w:hAnsi="Arial"/>
                <w:sz w:val="14"/>
                <w:szCs w:val="14"/>
                <w:color w:val="auto"/>
              </w:rPr>
              <w:t>Distributions to noncontrolling interests in</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(61,229)</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(61,229)</w:t>
            </w:r>
          </w:p>
        </w:tc>
        <w:tc>
          <w:tcPr>
            <w:tcW w:w="0" w:type="dxa"/>
            <w:vAlign w:val="bottom"/>
          </w:tcPr>
          <w:p>
            <w:pPr>
              <w:spacing w:after="0"/>
              <w:rPr>
                <w:sz w:val="1"/>
                <w:szCs w:val="1"/>
                <w:color w:val="auto"/>
              </w:rPr>
            </w:pPr>
          </w:p>
        </w:tc>
      </w:tr>
      <w:tr>
        <w:trPr>
          <w:trHeight w:val="173"/>
        </w:trPr>
        <w:tc>
          <w:tcPr>
            <w:tcW w:w="2960" w:type="dxa"/>
            <w:vAlign w:val="bottom"/>
          </w:tcPr>
          <w:p>
            <w:pPr>
              <w:ind w:left="100"/>
              <w:spacing w:after="0"/>
              <w:rPr>
                <w:sz w:val="20"/>
                <w:szCs w:val="20"/>
                <w:color w:val="auto"/>
              </w:rPr>
            </w:pPr>
            <w:r>
              <w:rPr>
                <w:rFonts w:ascii="Arial" w:cs="Arial" w:eastAsia="Arial" w:hAnsi="Arial"/>
                <w:sz w:val="14"/>
                <w:szCs w:val="14"/>
                <w:color w:val="auto"/>
              </w:rPr>
              <w:t>property partnerships</w:t>
            </w:r>
          </w:p>
        </w:tc>
        <w:tc>
          <w:tcPr>
            <w:tcW w:w="6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18,400</w:t>
            </w:r>
          </w:p>
        </w:tc>
        <w:tc>
          <w:tcPr>
            <w:tcW w:w="0" w:type="dxa"/>
            <w:vAlign w:val="bottom"/>
          </w:tcPr>
          <w:p>
            <w:pPr>
              <w:spacing w:after="0"/>
              <w:rPr>
                <w:sz w:val="1"/>
                <w:szCs w:val="1"/>
                <w:color w:val="auto"/>
              </w:rPr>
            </w:pPr>
          </w:p>
        </w:tc>
      </w:tr>
      <w:tr>
        <w:trPr>
          <w:trHeight w:val="186"/>
        </w:trPr>
        <w:tc>
          <w:tcPr>
            <w:tcW w:w="2960" w:type="dxa"/>
            <w:vAlign w:val="bottom"/>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432</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5,030</w:t>
            </w:r>
          </w:p>
        </w:tc>
        <w:tc>
          <w:tcPr>
            <w:tcW w:w="0" w:type="dxa"/>
            <w:vAlign w:val="bottom"/>
          </w:tcPr>
          <w:p>
            <w:pPr>
              <w:spacing w:after="0"/>
              <w:rPr>
                <w:sz w:val="1"/>
                <w:szCs w:val="1"/>
                <w:color w:val="auto"/>
              </w:rPr>
            </w:pPr>
          </w:p>
        </w:tc>
      </w:tr>
      <w:tr>
        <w:trPr>
          <w:trHeight w:val="190"/>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21,213</w:t>
            </w: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(21,213)</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960" w:type="dxa"/>
            <w:vAlign w:val="bottom"/>
          </w:tcPr>
          <w:p>
            <w:pPr>
              <w:ind w:left="20"/>
              <w:spacing w:after="0"/>
              <w:rPr>
                <w:sz w:val="20"/>
                <w:szCs w:val="20"/>
                <w:color w:val="auto"/>
              </w:rPr>
            </w:pPr>
            <w:r>
              <w:rPr>
                <w:rFonts w:ascii="Arial" w:cs="Arial" w:eastAsia="Arial" w:hAnsi="Arial"/>
                <w:sz w:val="14"/>
                <w:szCs w:val="14"/>
                <w:color w:val="auto"/>
              </w:rPr>
              <w:t>Equity, September 30, 2022</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156,755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1,568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4"/>
              </w:rPr>
              <w:t>$ 6,532,299</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7"/>
              </w:rPr>
              <w:t>$ (359,536)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ind w:left="100"/>
              <w:spacing w:after="0"/>
              <w:rPr>
                <w:sz w:val="20"/>
                <w:szCs w:val="20"/>
                <w:color w:val="auto"/>
              </w:rPr>
            </w:pPr>
            <w:r>
              <w:rPr>
                <w:rFonts w:ascii="Arial" w:cs="Arial" w:eastAsia="Arial" w:hAnsi="Arial"/>
                <w:sz w:val="14"/>
                <w:szCs w:val="14"/>
                <w:color w:val="auto"/>
                <w:w w:val="99"/>
              </w:rPr>
              <w:t>(2,722)</w:t>
            </w:r>
          </w:p>
        </w:tc>
        <w:tc>
          <w:tcPr>
            <w:tcW w:w="6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(15,991)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685,952</w:t>
            </w:r>
          </w:p>
        </w:tc>
        <w:tc>
          <w:tcPr>
            <w:tcW w:w="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1,551,501</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4"/>
              </w:rPr>
              <w:t>$ 8,393,071</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960" w:type="dxa"/>
            <w:vAlign w:val="bottom"/>
          </w:tcPr>
          <w:p>
            <w:pPr>
              <w:ind w:left="20"/>
              <w:spacing w:after="0"/>
              <w:rPr>
                <w:sz w:val="20"/>
                <w:szCs w:val="20"/>
                <w:color w:val="auto"/>
              </w:rPr>
            </w:pPr>
            <w:r>
              <w:rPr>
                <w:rFonts w:ascii="Arial" w:cs="Arial" w:eastAsia="Arial" w:hAnsi="Arial"/>
                <w:sz w:val="14"/>
                <w:szCs w:val="14"/>
                <w:color w:val="auto"/>
              </w:rPr>
              <w:t>Equity, December 31, 2020</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155,719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1,557</w:t>
            </w:r>
          </w:p>
        </w:tc>
        <w:tc>
          <w:tcPr>
            <w:tcW w:w="8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w w:val="93"/>
              </w:rPr>
              <w:t>$ 200,000</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4"/>
              </w:rPr>
              <w:t>$ 6,356,791</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7"/>
              </w:rPr>
              <w:t>$ (509,653)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ind w:left="100"/>
              <w:spacing w:after="0"/>
              <w:rPr>
                <w:sz w:val="20"/>
                <w:szCs w:val="20"/>
                <w:color w:val="auto"/>
              </w:rPr>
            </w:pPr>
            <w:r>
              <w:rPr>
                <w:rFonts w:ascii="Arial" w:cs="Arial" w:eastAsia="Arial" w:hAnsi="Arial"/>
                <w:sz w:val="14"/>
                <w:szCs w:val="14"/>
                <w:color w:val="auto"/>
                <w:w w:val="99"/>
              </w:rPr>
              <w:t>(2,722)</w:t>
            </w:r>
          </w:p>
        </w:tc>
        <w:tc>
          <w:tcPr>
            <w:tcW w:w="6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(49,890)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616,596</w:t>
            </w:r>
          </w:p>
        </w:tc>
        <w:tc>
          <w:tcPr>
            <w:tcW w:w="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1,726,933</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4"/>
              </w:rPr>
              <w:t>$ 8,339,612</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Redemption of operating partnership units to</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8,031</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(8,033)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60" w:type="dxa"/>
            <w:vAlign w:val="bottom"/>
          </w:tcPr>
          <w:p>
            <w:pPr>
              <w:ind w:left="20"/>
              <w:spacing w:after="0"/>
              <w:rPr>
                <w:sz w:val="20"/>
                <w:szCs w:val="20"/>
                <w:color w:val="auto"/>
              </w:rPr>
            </w:pPr>
            <w:r>
              <w:rPr>
                <w:rFonts w:ascii="Arial" w:cs="Arial" w:eastAsia="Arial" w:hAnsi="Arial"/>
                <w:sz w:val="14"/>
                <w:szCs w:val="14"/>
                <w:color w:val="auto"/>
              </w:rPr>
              <w:t>Allocated net income for the period</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320,652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35,393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52,602</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408,647</w:t>
            </w:r>
          </w:p>
        </w:tc>
        <w:tc>
          <w:tcPr>
            <w:tcW w:w="0" w:type="dxa"/>
            <w:vAlign w:val="bottom"/>
          </w:tcPr>
          <w:p>
            <w:pPr>
              <w:spacing w:after="0"/>
              <w:rPr>
                <w:sz w:val="1"/>
                <w:szCs w:val="1"/>
                <w:color w:val="auto"/>
              </w:rPr>
            </w:pPr>
          </w:p>
        </w:tc>
      </w:tr>
      <w:tr>
        <w:trPr>
          <w:trHeight w:val="195"/>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Dividends/distributions declared</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(461,608)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(51,743)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(513,351)</w:t>
            </w:r>
          </w:p>
        </w:tc>
        <w:tc>
          <w:tcPr>
            <w:tcW w:w="0" w:type="dxa"/>
            <w:vAlign w:val="bottom"/>
          </w:tcPr>
          <w:p>
            <w:pPr>
              <w:spacing w:after="0"/>
              <w:rPr>
                <w:sz w:val="1"/>
                <w:szCs w:val="1"/>
                <w:color w:val="auto"/>
              </w:rPr>
            </w:pPr>
          </w:p>
        </w:tc>
      </w:tr>
      <w:tr>
        <w:trPr>
          <w:trHeight w:val="186"/>
        </w:trPr>
        <w:tc>
          <w:tcPr>
            <w:tcW w:w="2960" w:type="dxa"/>
            <w:vAlign w:val="bottom"/>
          </w:tcPr>
          <w:p>
            <w:pPr>
              <w:ind w:left="20"/>
              <w:spacing w:after="0"/>
              <w:rPr>
                <w:sz w:val="20"/>
                <w:szCs w:val="20"/>
                <w:color w:val="auto"/>
              </w:rPr>
            </w:pPr>
            <w:r>
              <w:rPr>
                <w:rFonts w:ascii="Arial" w:cs="Arial" w:eastAsia="Arial" w:hAnsi="Arial"/>
                <w:sz w:val="14"/>
                <w:szCs w:val="14"/>
                <w:color w:val="auto"/>
              </w:rPr>
              <w:t>Shares issued pursuant to stock purchase plan</w:t>
            </w:r>
          </w:p>
        </w:tc>
        <w:tc>
          <w:tcPr>
            <w:tcW w:w="56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1,004</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1,004</w:t>
            </w:r>
          </w:p>
        </w:tc>
        <w:tc>
          <w:tcPr>
            <w:tcW w:w="0" w:type="dxa"/>
            <w:vAlign w:val="bottom"/>
          </w:tcPr>
          <w:p>
            <w:pPr>
              <w:spacing w:after="0"/>
              <w:rPr>
                <w:sz w:val="1"/>
                <w:szCs w:val="1"/>
                <w:color w:val="auto"/>
              </w:rPr>
            </w:pPr>
          </w:p>
        </w:tc>
      </w:tr>
      <w:tr>
        <w:trPr>
          <w:trHeight w:val="195"/>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Net activity from stock option and incentive plan</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20,893</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39,332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60,228</w:t>
            </w:r>
          </w:p>
        </w:tc>
        <w:tc>
          <w:tcPr>
            <w:tcW w:w="0" w:type="dxa"/>
            <w:vAlign w:val="bottom"/>
          </w:tcPr>
          <w:p>
            <w:pPr>
              <w:spacing w:after="0"/>
              <w:rPr>
                <w:sz w:val="1"/>
                <w:szCs w:val="1"/>
                <w:color w:val="auto"/>
              </w:rPr>
            </w:pPr>
          </w:p>
        </w:tc>
      </w:tr>
      <w:tr>
        <w:trPr>
          <w:trHeight w:val="186"/>
        </w:trPr>
        <w:tc>
          <w:tcPr>
            <w:tcW w:w="2960" w:type="dxa"/>
            <w:vAlign w:val="bottom"/>
          </w:tcPr>
          <w:p>
            <w:pPr>
              <w:ind w:left="20"/>
              <w:spacing w:after="0"/>
              <w:rPr>
                <w:sz w:val="20"/>
                <w:szCs w:val="20"/>
                <w:color w:val="auto"/>
              </w:rPr>
            </w:pPr>
            <w:r>
              <w:rPr>
                <w:rFonts w:ascii="Arial" w:cs="Arial" w:eastAsia="Arial" w:hAnsi="Arial"/>
                <w:sz w:val="14"/>
                <w:szCs w:val="14"/>
                <w:color w:val="auto"/>
              </w:rPr>
              <w:t>Preferred stock redemption</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60"/>
              <w:spacing w:after="0"/>
              <w:rPr>
                <w:sz w:val="20"/>
                <w:szCs w:val="20"/>
                <w:color w:val="auto"/>
              </w:rPr>
            </w:pPr>
            <w:r>
              <w:rPr>
                <w:rFonts w:ascii="Arial" w:cs="Arial" w:eastAsia="Arial" w:hAnsi="Arial"/>
                <w:sz w:val="14"/>
                <w:szCs w:val="14"/>
                <w:color w:val="auto"/>
                <w:w w:val="96"/>
              </w:rPr>
              <w:t>(200,000)</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6,377</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(193,623)</w:t>
            </w:r>
          </w:p>
        </w:tc>
        <w:tc>
          <w:tcPr>
            <w:tcW w:w="0" w:type="dxa"/>
            <w:vAlign w:val="bottom"/>
          </w:tcPr>
          <w:p>
            <w:pPr>
              <w:spacing w:after="0"/>
              <w:rPr>
                <w:sz w:val="1"/>
                <w:szCs w:val="1"/>
                <w:color w:val="auto"/>
              </w:rPr>
            </w:pPr>
          </w:p>
        </w:tc>
      </w:tr>
      <w:tr>
        <w:trPr>
          <w:trHeight w:val="195"/>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redemption charge</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(6,412)</w:t>
            </w:r>
          </w:p>
        </w:tc>
        <w:tc>
          <w:tcPr>
            <w:tcW w:w="0" w:type="dxa"/>
            <w:vAlign w:val="bottom"/>
          </w:tcPr>
          <w:p>
            <w:pPr>
              <w:spacing w:after="0"/>
              <w:rPr>
                <w:sz w:val="1"/>
                <w:szCs w:val="1"/>
                <w:color w:val="auto"/>
              </w:rPr>
            </w:pPr>
          </w:p>
        </w:tc>
      </w:tr>
      <w:tr>
        <w:trPr>
          <w:trHeight w:val="145"/>
        </w:trPr>
        <w:tc>
          <w:tcPr>
            <w:tcW w:w="2960" w:type="dxa"/>
            <w:vAlign w:val="bottom"/>
          </w:tcPr>
          <w:p>
            <w:pPr>
              <w:ind w:left="20"/>
              <w:spacing w:after="0" w:line="145" w:lineRule="exact"/>
              <w:rPr>
                <w:sz w:val="20"/>
                <w:szCs w:val="20"/>
                <w:color w:val="auto"/>
              </w:rPr>
            </w:pPr>
            <w:r>
              <w:rPr>
                <w:rFonts w:ascii="Arial" w:cs="Arial" w:eastAsia="Arial" w:hAnsi="Arial"/>
                <w:sz w:val="14"/>
                <w:szCs w:val="14"/>
                <w:color w:val="auto"/>
              </w:rPr>
              <w:t>Contributions from noncontrolling interests in</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13,738</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13,738</w:t>
            </w:r>
          </w:p>
        </w:tc>
        <w:tc>
          <w:tcPr>
            <w:tcW w:w="0" w:type="dxa"/>
            <w:vAlign w:val="bottom"/>
          </w:tcPr>
          <w:p>
            <w:pPr>
              <w:spacing w:after="0"/>
              <w:rPr>
                <w:sz w:val="1"/>
                <w:szCs w:val="1"/>
                <w:color w:val="auto"/>
              </w:rPr>
            </w:pPr>
          </w:p>
        </w:tc>
      </w:tr>
      <w:tr>
        <w:trPr>
          <w:trHeight w:val="173"/>
        </w:trPr>
        <w:tc>
          <w:tcPr>
            <w:tcW w:w="2960" w:type="dxa"/>
            <w:vAlign w:val="bottom"/>
          </w:tcPr>
          <w:p>
            <w:pPr>
              <w:ind w:left="100"/>
              <w:spacing w:after="0"/>
              <w:rPr>
                <w:sz w:val="20"/>
                <w:szCs w:val="20"/>
                <w:color w:val="auto"/>
              </w:rPr>
            </w:pPr>
            <w:r>
              <w:rPr>
                <w:rFonts w:ascii="Arial" w:cs="Arial" w:eastAsia="Arial" w:hAnsi="Arial"/>
                <w:sz w:val="14"/>
                <w:szCs w:val="14"/>
                <w:color w:val="auto"/>
              </w:rPr>
              <w:t>property partnerships</w:t>
            </w:r>
          </w:p>
        </w:tc>
        <w:tc>
          <w:tcPr>
            <w:tcW w:w="6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96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Distributions to noncontrolling interests in</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(65,604)</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(65,604)</w:t>
            </w:r>
          </w:p>
        </w:tc>
        <w:tc>
          <w:tcPr>
            <w:tcW w:w="0" w:type="dxa"/>
            <w:vAlign w:val="bottom"/>
          </w:tcPr>
          <w:p>
            <w:pPr>
              <w:spacing w:after="0"/>
              <w:rPr>
                <w:sz w:val="1"/>
                <w:szCs w:val="1"/>
                <w:color w:val="auto"/>
              </w:rPr>
            </w:pPr>
          </w:p>
        </w:tc>
      </w:tr>
      <w:tr>
        <w:trPr>
          <w:trHeight w:val="173"/>
        </w:trPr>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property partnerships</w:t>
            </w:r>
          </w:p>
        </w:tc>
        <w:tc>
          <w:tcPr>
            <w:tcW w:w="6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60" w:type="dxa"/>
            <w:vAlign w:val="bottom"/>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5,482</w:t>
            </w:r>
          </w:p>
        </w:tc>
        <w:tc>
          <w:tcPr>
            <w:tcW w:w="0" w:type="dxa"/>
            <w:vAlign w:val="bottom"/>
          </w:tcPr>
          <w:p>
            <w:pPr>
              <w:spacing w:after="0"/>
              <w:rPr>
                <w:sz w:val="1"/>
                <w:szCs w:val="1"/>
                <w:color w:val="auto"/>
              </w:rPr>
            </w:pPr>
          </w:p>
        </w:tc>
      </w:tr>
      <w:tr>
        <w:trPr>
          <w:trHeight w:val="195"/>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5,028</w:t>
            </w:r>
          </w:p>
        </w:tc>
        <w:tc>
          <w:tcPr>
            <w:tcW w:w="0" w:type="dxa"/>
            <w:vAlign w:val="bottom"/>
          </w:tcPr>
          <w:p>
            <w:pPr>
              <w:spacing w:after="0"/>
              <w:rPr>
                <w:sz w:val="1"/>
                <w:szCs w:val="1"/>
                <w:color w:val="auto"/>
              </w:rPr>
            </w:pPr>
          </w:p>
        </w:tc>
      </w:tr>
      <w:tr>
        <w:trPr>
          <w:trHeight w:val="186"/>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22,706</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(22,706)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September 30, 2021</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156,206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$ 6,415,802</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(657,021)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9"/>
              </w:rPr>
              <w:t>(2,722)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609,830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1,728,101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$ 8,054,749</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60"/>
          </w:cols>
          <w:pgMar w:left="320" w:top="275" w:right="41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BOSTON PROPERTIES,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304"/>
              <w:spacing w:after="0"/>
              <w:rPr>
                <w:sz w:val="20"/>
                <w:szCs w:val="20"/>
                <w:color w:val="auto"/>
              </w:rPr>
            </w:pPr>
            <w:r>
              <w:rPr>
                <w:rFonts w:ascii="Arial" w:cs="Arial" w:eastAsia="Arial" w:hAnsi="Arial"/>
                <w:sz w:val="15"/>
                <w:szCs w:val="15"/>
                <w:b w:val="1"/>
                <w:bCs w:val="1"/>
                <w:color w:val="auto"/>
              </w:rPr>
              <w:t>Nine months ended September 30,</w:t>
            </w:r>
          </w:p>
        </w:tc>
      </w:tr>
      <w:tr>
        <w:trPr>
          <w:trHeight w:val="196"/>
        </w:trPr>
        <w:tc>
          <w:tcPr>
            <w:tcW w:w="79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2022</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r>
      <w:tr>
        <w:trPr>
          <w:trHeight w:val="183"/>
        </w:trPr>
        <w:tc>
          <w:tcPr>
            <w:tcW w:w="7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2"/>
        </w:trPr>
        <w:tc>
          <w:tcPr>
            <w:tcW w:w="7960" w:type="dxa"/>
            <w:vAlign w:val="bottom"/>
          </w:tcPr>
          <w:p>
            <w:pPr>
              <w:ind w:left="320"/>
              <w:spacing w:after="0"/>
              <w:rPr>
                <w:sz w:val="20"/>
                <w:szCs w:val="20"/>
                <w:color w:val="auto"/>
              </w:rPr>
            </w:pPr>
            <w:r>
              <w:rPr>
                <w:rFonts w:ascii="Arial" w:cs="Arial" w:eastAsia="Arial" w:hAnsi="Arial"/>
                <w:sz w:val="15"/>
                <w:szCs w:val="15"/>
                <w:color w:val="auto"/>
              </w:rPr>
              <w:t>Net income</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864,861</w:t>
            </w:r>
          </w:p>
        </w:tc>
        <w:tc>
          <w:tcPr>
            <w:tcW w:w="16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408,647</w:t>
            </w:r>
          </w:p>
        </w:tc>
      </w:tr>
      <w:tr>
        <w:trPr>
          <w:trHeight w:val="204"/>
        </w:trPr>
        <w:tc>
          <w:tcPr>
            <w:tcW w:w="7960" w:type="dxa"/>
            <w:vAlign w:val="bottom"/>
            <w:shd w:val="clear" w:color="auto" w:fill="CCEEFF"/>
          </w:tcPr>
          <w:p>
            <w:pPr>
              <w:ind w:left="48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Depreciation and amortization</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551,445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539,815</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Amortization of right of use assets - operating leases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3,208</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Non-cash compensation expense</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44,208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43,098</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Loss from unconsolidated joint ventures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1,389</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1,745</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Distributions of net cash flow from operations of unconsolidated joint ventures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20,511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18,462</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Losses (gains) from investments in securities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8,549</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(3,744)</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Allowance for current expected credit losses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(476)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(758)</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Non-cash portion of interest expense</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19,704</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17,584</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Settlement of accreted debt discount on redemption of unsecured senior notes</w:t>
            </w:r>
          </w:p>
        </w:tc>
        <w:tc>
          <w:tcPr>
            <w:tcW w:w="24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(6,290)</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Losses from early extinguishments of debt</w:t>
            </w:r>
          </w:p>
        </w:tc>
        <w:tc>
          <w:tcPr>
            <w:tcW w:w="2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898</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Other income - assignment fee</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(6,624)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Gains on sales of real estate</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(381,293)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(8,104)</w:t>
            </w:r>
          </w:p>
        </w:tc>
      </w:tr>
      <w:tr>
        <w:trPr>
          <w:trHeight w:val="202"/>
        </w:trPr>
        <w:tc>
          <w:tcPr>
            <w:tcW w:w="7960" w:type="dxa"/>
            <w:vAlign w:val="bottom"/>
          </w:tcPr>
          <w:p>
            <w:pPr>
              <w:ind w:left="320"/>
              <w:spacing w:after="0"/>
              <w:rPr>
                <w:sz w:val="20"/>
                <w:szCs w:val="20"/>
                <w:color w:val="auto"/>
              </w:rPr>
            </w:pPr>
            <w:r>
              <w:rPr>
                <w:rFonts w:ascii="Arial" w:cs="Arial" w:eastAsia="Arial" w:hAnsi="Arial"/>
                <w:sz w:val="15"/>
                <w:szCs w:val="15"/>
                <w:color w:val="auto"/>
              </w:rPr>
              <w:t>Change in assets and liabilities:</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Tenant and other receivables, net</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13,738</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Notes receivable, net</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(152)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(419)</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Accrued rental income, net</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(76,268)</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(74,283)</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Prepaid expenses and other assets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(46,104)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(61,019)</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Lease liabilities - operating leases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(24,023)</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Accounts payable and accrued expenses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3,167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26,097</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Accrued interest payable</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(18,237)</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Other liabilities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(35,490)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(51,938)</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Tenant leasing costs</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(58,547)</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(37,618)</w:t>
            </w:r>
          </w:p>
        </w:tc>
      </w:tr>
      <w:tr>
        <w:trPr>
          <w:trHeight w:val="194"/>
        </w:trPr>
        <w:tc>
          <w:tcPr>
            <w:tcW w:w="7960" w:type="dxa"/>
            <w:vAlign w:val="bottom"/>
            <w:tcBorders>
              <w:bottom w:val="single" w:sz="8" w:color="CCEEFF"/>
            </w:tcBorders>
          </w:tcPr>
          <w:p>
            <w:pPr>
              <w:ind w:left="1040"/>
              <w:spacing w:after="0"/>
              <w:rPr>
                <w:sz w:val="20"/>
                <w:szCs w:val="20"/>
                <w:color w:val="auto"/>
              </w:rPr>
            </w:pPr>
            <w:r>
              <w:rPr>
                <w:rFonts w:ascii="Arial" w:cs="Arial" w:eastAsia="Arial" w:hAnsi="Arial"/>
                <w:sz w:val="15"/>
                <w:szCs w:val="15"/>
                <w:color w:val="auto"/>
              </w:rPr>
              <w:t>Total adjustments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47,542</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378,212</w:t>
            </w:r>
          </w:p>
        </w:tc>
      </w:tr>
      <w:tr>
        <w:trPr>
          <w:trHeight w:val="197"/>
        </w:trPr>
        <w:tc>
          <w:tcPr>
            <w:tcW w:w="7960" w:type="dxa"/>
            <w:vAlign w:val="bottom"/>
            <w:shd w:val="clear" w:color="auto" w:fill="CCEEFF"/>
          </w:tcPr>
          <w:p>
            <w:pPr>
              <w:ind w:left="1040"/>
              <w:spacing w:after="0"/>
              <w:rPr>
                <w:sz w:val="20"/>
                <w:szCs w:val="20"/>
                <w:color w:val="auto"/>
              </w:rPr>
            </w:pPr>
            <w:r>
              <w:rPr>
                <w:rFonts w:ascii="Arial" w:cs="Arial" w:eastAsia="Arial" w:hAnsi="Arial"/>
                <w:sz w:val="15"/>
                <w:szCs w:val="15"/>
                <w:color w:val="auto"/>
              </w:rPr>
              <w:t>Net cash provided by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912,403</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786,859</w:t>
            </w:r>
          </w:p>
        </w:tc>
      </w:tr>
      <w:tr>
        <w:trPr>
          <w:trHeight w:val="182"/>
        </w:trPr>
        <w:tc>
          <w:tcPr>
            <w:tcW w:w="7960" w:type="dxa"/>
            <w:vAlign w:val="bottom"/>
          </w:tcPr>
          <w:p>
            <w:pPr>
              <w:ind w:left="20"/>
              <w:spacing w:after="0"/>
              <w:rPr>
                <w:sz w:val="20"/>
                <w:szCs w:val="20"/>
                <w:color w:val="auto"/>
              </w:rPr>
            </w:pPr>
            <w:r>
              <w:rPr>
                <w:rFonts w:ascii="Arial" w:cs="Arial" w:eastAsia="Arial" w:hAnsi="Arial"/>
                <w:sz w:val="15"/>
                <w:szCs w:val="15"/>
                <w:color w:val="auto"/>
              </w:rPr>
              <w:t>Cash flows from investing activities: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Acquisitions of real estate</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(1,320,273)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(218,679)</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Construction in progress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(384,083)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(381,104)</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Building and other capital improvements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(112,755)</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(103,840)</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Tenant improvements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(139,986)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(218,878)</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Proceeds from sales of real estate</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695,231</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Proceeds from assignment fee</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6,624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Capital contributions to unconsolidated joint ventures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(109,643)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(95,462)</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Capital distributions from unconsolidated joint ventures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36,622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122</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Proceeds from sale of investment in unconsolidated joint venture</w:t>
            </w:r>
          </w:p>
        </w:tc>
        <w:tc>
          <w:tcPr>
            <w:tcW w:w="2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17,789</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Proceeds from notes receivable</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10,000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Investments in securities, net</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5,043</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1,684</w:t>
            </w:r>
          </w:p>
        </w:tc>
      </w:tr>
      <w:tr>
        <w:trPr>
          <w:trHeight w:val="194"/>
        </w:trPr>
        <w:tc>
          <w:tcPr>
            <w:tcW w:w="7960" w:type="dxa"/>
            <w:vAlign w:val="bottom"/>
            <w:tcBorders>
              <w:bottom w:val="single" w:sz="8" w:color="CCEEFF"/>
            </w:tcBorders>
          </w:tcPr>
          <w:p>
            <w:pPr>
              <w:ind w:left="1040"/>
              <w:spacing w:after="0"/>
              <w:rPr>
                <w:sz w:val="20"/>
                <w:szCs w:val="20"/>
                <w:color w:val="auto"/>
              </w:rPr>
            </w:pPr>
            <w:r>
              <w:rPr>
                <w:rFonts w:ascii="Arial" w:cs="Arial" w:eastAsia="Arial" w:hAnsi="Arial"/>
                <w:sz w:val="15"/>
                <w:szCs w:val="15"/>
                <w:color w:val="auto"/>
              </w:rPr>
              <w:t>Net cash used in investing activities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(1,313,220)</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(998,368)</w:t>
            </w:r>
          </w:p>
        </w:tc>
      </w:tr>
      <w:tr>
        <w:trPr>
          <w:trHeight w:val="184"/>
        </w:trPr>
        <w:tc>
          <w:tcPr>
            <w:tcW w:w="7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financing activities:</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2"/>
        </w:trPr>
        <w:tc>
          <w:tcPr>
            <w:tcW w:w="7960" w:type="dxa"/>
            <w:vAlign w:val="bottom"/>
          </w:tcPr>
          <w:p>
            <w:pPr>
              <w:ind w:left="320"/>
              <w:spacing w:after="0"/>
              <w:rPr>
                <w:sz w:val="20"/>
                <w:szCs w:val="20"/>
                <w:color w:val="auto"/>
              </w:rPr>
            </w:pPr>
            <w:r>
              <w:rPr>
                <w:rFonts w:ascii="Arial" w:cs="Arial" w:eastAsia="Arial" w:hAnsi="Arial"/>
                <w:sz w:val="15"/>
                <w:szCs w:val="15"/>
                <w:color w:val="auto"/>
              </w:rPr>
              <w:t>Repayments of mortgage notes payable</w:t>
            </w:r>
          </w:p>
        </w:tc>
        <w:tc>
          <w:tcPr>
            <w:tcW w:w="24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(13,261)</w:t>
            </w:r>
          </w:p>
        </w:tc>
      </w:tr>
      <w:tr>
        <w:trPr>
          <w:trHeight w:val="20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unsecured senior notes</w:t>
            </w:r>
          </w:p>
        </w:tc>
        <w:tc>
          <w:tcPr>
            <w:tcW w:w="2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1,695,996</w:t>
            </w:r>
          </w:p>
        </w:tc>
      </w:tr>
      <w:tr>
        <w:trPr>
          <w:trHeight w:val="200"/>
        </w:trPr>
        <w:tc>
          <w:tcPr>
            <w:tcW w:w="7960" w:type="dxa"/>
            <w:vAlign w:val="bottom"/>
          </w:tcPr>
          <w:p>
            <w:pPr>
              <w:ind w:left="320"/>
              <w:spacing w:after="0"/>
              <w:rPr>
                <w:sz w:val="20"/>
                <w:szCs w:val="20"/>
                <w:color w:val="auto"/>
              </w:rPr>
            </w:pPr>
            <w:r>
              <w:rPr>
                <w:rFonts w:ascii="Arial" w:cs="Arial" w:eastAsia="Arial" w:hAnsi="Arial"/>
                <w:sz w:val="15"/>
                <w:szCs w:val="15"/>
                <w:color w:val="auto"/>
              </w:rPr>
              <w:t>Redemption of unsecured senior notes</w:t>
            </w:r>
          </w:p>
        </w:tc>
        <w:tc>
          <w:tcPr>
            <w:tcW w:w="24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(843,710)</w:t>
            </w:r>
          </w:p>
        </w:tc>
      </w:tr>
    </w:tbl>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BOSTON PROPERTIES,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304"/>
              <w:spacing w:after="0"/>
              <w:rPr>
                <w:sz w:val="20"/>
                <w:szCs w:val="20"/>
                <w:color w:val="auto"/>
              </w:rPr>
            </w:pPr>
            <w:r>
              <w:rPr>
                <w:rFonts w:ascii="Arial" w:cs="Arial" w:eastAsia="Arial" w:hAnsi="Arial"/>
                <w:sz w:val="15"/>
                <w:szCs w:val="15"/>
                <w:b w:val="1"/>
                <w:bCs w:val="1"/>
                <w:color w:val="auto"/>
              </w:rPr>
              <w:t>Nine months ended September 30,</w:t>
            </w:r>
          </w:p>
        </w:tc>
      </w:tr>
      <w:tr>
        <w:trPr>
          <w:trHeight w:val="196"/>
        </w:trPr>
        <w:tc>
          <w:tcPr>
            <w:tcW w:w="79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2022</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r>
      <w:tr>
        <w:trPr>
          <w:trHeight w:val="196"/>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Borrowings on unsecured line of credit</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885,000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300,000</w:t>
            </w:r>
          </w:p>
        </w:tc>
      </w:tr>
      <w:tr>
        <w:trPr>
          <w:trHeight w:val="202"/>
        </w:trPr>
        <w:tc>
          <w:tcPr>
            <w:tcW w:w="7960" w:type="dxa"/>
            <w:vAlign w:val="bottom"/>
          </w:tcPr>
          <w:p>
            <w:pPr>
              <w:ind w:left="320"/>
              <w:spacing w:after="0"/>
              <w:rPr>
                <w:sz w:val="20"/>
                <w:szCs w:val="20"/>
                <w:color w:val="auto"/>
              </w:rPr>
            </w:pPr>
            <w:r>
              <w:rPr>
                <w:rFonts w:ascii="Arial" w:cs="Arial" w:eastAsia="Arial" w:hAnsi="Arial"/>
                <w:sz w:val="15"/>
                <w:szCs w:val="15"/>
                <w:color w:val="auto"/>
              </w:rPr>
              <w:t>Repayments of unsecured line of credit</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(690,000)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(300,000)</w:t>
            </w:r>
          </w:p>
        </w:tc>
      </w:tr>
      <w:tr>
        <w:trPr>
          <w:trHeight w:val="20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Borrowings on unsecured term loan</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730,000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7960" w:type="dxa"/>
            <w:vAlign w:val="bottom"/>
          </w:tcPr>
          <w:p>
            <w:pPr>
              <w:ind w:left="320"/>
              <w:spacing w:after="0"/>
              <w:rPr>
                <w:sz w:val="20"/>
                <w:szCs w:val="20"/>
                <w:color w:val="auto"/>
              </w:rPr>
            </w:pPr>
            <w:r>
              <w:rPr>
                <w:rFonts w:ascii="Arial" w:cs="Arial" w:eastAsia="Arial" w:hAnsi="Arial"/>
                <w:sz w:val="15"/>
                <w:szCs w:val="15"/>
                <w:color w:val="auto"/>
              </w:rPr>
              <w:t>Redemption of preferred stock</w:t>
            </w:r>
          </w:p>
        </w:tc>
        <w:tc>
          <w:tcPr>
            <w:tcW w:w="24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(200,000)</w:t>
            </w:r>
          </w:p>
        </w:tc>
      </w:tr>
      <w:tr>
        <w:trPr>
          <w:trHeight w:val="20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Payments on finance lease obligations</w:t>
            </w:r>
          </w:p>
        </w:tc>
        <w:tc>
          <w:tcPr>
            <w:tcW w:w="2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1,250</w:t>
            </w:r>
          </w:p>
        </w:tc>
      </w:tr>
      <w:tr>
        <w:trPr>
          <w:trHeight w:val="202"/>
        </w:trPr>
        <w:tc>
          <w:tcPr>
            <w:tcW w:w="7960" w:type="dxa"/>
            <w:vAlign w:val="bottom"/>
          </w:tcPr>
          <w:p>
            <w:pPr>
              <w:ind w:left="320"/>
              <w:spacing w:after="0"/>
              <w:rPr>
                <w:sz w:val="20"/>
                <w:szCs w:val="20"/>
                <w:color w:val="auto"/>
              </w:rPr>
            </w:pPr>
            <w:r>
              <w:rPr>
                <w:rFonts w:ascii="Arial" w:cs="Arial" w:eastAsia="Arial" w:hAnsi="Arial"/>
                <w:sz w:val="15"/>
                <w:szCs w:val="15"/>
                <w:color w:val="auto"/>
              </w:rPr>
              <w:t>Repayment of unsecured term loan</w:t>
            </w:r>
          </w:p>
        </w:tc>
        <w:tc>
          <w:tcPr>
            <w:tcW w:w="24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(500,000)</w:t>
            </w:r>
          </w:p>
        </w:tc>
      </w:tr>
      <w:tr>
        <w:trPr>
          <w:trHeight w:val="20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financing costs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(20,770)</w:t>
            </w:r>
          </w:p>
        </w:tc>
      </w:tr>
      <w:tr>
        <w:trPr>
          <w:trHeight w:val="202"/>
        </w:trPr>
        <w:tc>
          <w:tcPr>
            <w:tcW w:w="7960" w:type="dxa"/>
            <w:vAlign w:val="bottom"/>
          </w:tcPr>
          <w:p>
            <w:pPr>
              <w:ind w:left="320"/>
              <w:spacing w:after="0"/>
              <w:rPr>
                <w:sz w:val="20"/>
                <w:szCs w:val="20"/>
                <w:color w:val="auto"/>
              </w:rPr>
            </w:pPr>
            <w:r>
              <w:rPr>
                <w:rFonts w:ascii="Arial" w:cs="Arial" w:eastAsia="Arial" w:hAnsi="Arial"/>
                <w:sz w:val="15"/>
                <w:szCs w:val="15"/>
                <w:color w:val="auto"/>
              </w:rPr>
              <w:t>Debt prepayment and extinguishment costs</w:t>
            </w:r>
          </w:p>
        </w:tc>
        <w:tc>
          <w:tcPr>
            <w:tcW w:w="24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(185)</w:t>
            </w:r>
          </w:p>
        </w:tc>
      </w:tr>
      <w:tr>
        <w:trPr>
          <w:trHeight w:val="20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Net activity from equity transactions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20,028</w:t>
            </w:r>
          </w:p>
        </w:tc>
      </w:tr>
      <w:tr>
        <w:trPr>
          <w:trHeight w:val="202"/>
        </w:trPr>
        <w:tc>
          <w:tcPr>
            <w:tcW w:w="7960" w:type="dxa"/>
            <w:vAlign w:val="bottom"/>
          </w:tcPr>
          <w:p>
            <w:pPr>
              <w:ind w:left="320"/>
              <w:spacing w:after="0"/>
              <w:rPr>
                <w:sz w:val="20"/>
                <w:szCs w:val="20"/>
                <w:color w:val="auto"/>
              </w:rPr>
            </w:pPr>
            <w:r>
              <w:rPr>
                <w:rFonts w:ascii="Arial" w:cs="Arial" w:eastAsia="Arial" w:hAnsi="Arial"/>
                <w:sz w:val="15"/>
                <w:szCs w:val="15"/>
                <w:color w:val="auto"/>
              </w:rPr>
              <w:t>Dividends and distributions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(513,486)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(513,381)</w:t>
            </w:r>
          </w:p>
        </w:tc>
      </w:tr>
      <w:tr>
        <w:trPr>
          <w:trHeight w:val="20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Contributions from noncontrolling interests in property partnerships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13,738</w:t>
            </w:r>
          </w:p>
        </w:tc>
      </w:tr>
      <w:tr>
        <w:trPr>
          <w:trHeight w:val="202"/>
        </w:trPr>
        <w:tc>
          <w:tcPr>
            <w:tcW w:w="79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Distributions to noncontrolling interests in property partnerships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(61,229)</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(65,604)</w:t>
            </w:r>
          </w:p>
        </w:tc>
      </w:tr>
      <w:tr>
        <w:trPr>
          <w:trHeight w:val="197"/>
        </w:trPr>
        <w:tc>
          <w:tcPr>
            <w:tcW w:w="7960" w:type="dxa"/>
            <w:vAlign w:val="bottom"/>
            <w:shd w:val="clear" w:color="auto" w:fill="CCEEFF"/>
          </w:tcPr>
          <w:p>
            <w:pPr>
              <w:ind w:left="1040"/>
              <w:spacing w:after="0"/>
              <w:rPr>
                <w:sz w:val="20"/>
                <w:szCs w:val="20"/>
                <w:color w:val="auto"/>
              </w:rPr>
            </w:pPr>
            <w:r>
              <w:rPr>
                <w:rFonts w:ascii="Arial" w:cs="Arial" w:eastAsia="Arial" w:hAnsi="Arial"/>
                <w:sz w:val="15"/>
                <w:szCs w:val="15"/>
                <w:color w:val="auto"/>
              </w:rPr>
              <w:t>Net cash provided by (used in)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348,545</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(425,899)</w:t>
            </w:r>
          </w:p>
        </w:tc>
      </w:tr>
      <w:tr>
        <w:trPr>
          <w:trHeight w:val="194"/>
        </w:trPr>
        <w:tc>
          <w:tcPr>
            <w:tcW w:w="7960" w:type="dxa"/>
            <w:vAlign w:val="bottom"/>
          </w:tcPr>
          <w:p>
            <w:pPr>
              <w:ind w:left="20"/>
              <w:spacing w:after="0"/>
              <w:rPr>
                <w:sz w:val="20"/>
                <w:szCs w:val="20"/>
                <w:color w:val="auto"/>
              </w:rPr>
            </w:pPr>
            <w:r>
              <w:rPr>
                <w:rFonts w:ascii="Arial" w:cs="Arial" w:eastAsia="Arial" w:hAnsi="Arial"/>
                <w:sz w:val="15"/>
                <w:szCs w:val="15"/>
                <w:color w:val="auto"/>
              </w:rPr>
              <w:t>Net increase (decrease) in cash and cash equivalents and cash held in escrows</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(52,272)</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(637,408)</w:t>
            </w:r>
          </w:p>
        </w:tc>
      </w:tr>
      <w:tr>
        <w:trPr>
          <w:trHeight w:val="204"/>
        </w:trPr>
        <w:tc>
          <w:tcPr>
            <w:tcW w:w="7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 and cash held in escrows, beginning of period</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501,158</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1,719,329</w:t>
            </w:r>
          </w:p>
        </w:tc>
      </w:tr>
      <w:tr>
        <w:trPr>
          <w:trHeight w:val="194"/>
        </w:trPr>
        <w:tc>
          <w:tcPr>
            <w:tcW w:w="7960" w:type="dxa"/>
            <w:vAlign w:val="bottom"/>
          </w:tcPr>
          <w:p>
            <w:pPr>
              <w:ind w:left="20"/>
              <w:spacing w:after="0"/>
              <w:rPr>
                <w:sz w:val="20"/>
                <w:szCs w:val="20"/>
                <w:color w:val="auto"/>
              </w:rPr>
            </w:pPr>
            <w:r>
              <w:rPr>
                <w:rFonts w:ascii="Arial" w:cs="Arial" w:eastAsia="Arial" w:hAnsi="Arial"/>
                <w:sz w:val="15"/>
                <w:szCs w:val="15"/>
                <w:color w:val="auto"/>
              </w:rPr>
              <w:t>Cash and cash equivalents and cash held in escrows, end of period</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448,886</w:t>
            </w:r>
          </w:p>
        </w:tc>
        <w:tc>
          <w:tcPr>
            <w:tcW w:w="160" w:type="dxa"/>
            <w:vAlign w:val="bottom"/>
          </w:tcPr>
          <w:p>
            <w:pPr>
              <w:spacing w:after="0"/>
              <w:rPr>
                <w:sz w:val="16"/>
                <w:szCs w:val="16"/>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1,081,921</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0"/>
        </w:trPr>
        <w:tc>
          <w:tcPr>
            <w:tcW w:w="7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02"/>
        </w:trPr>
        <w:tc>
          <w:tcPr>
            <w:tcW w:w="7960" w:type="dxa"/>
            <w:vAlign w:val="bottom"/>
          </w:tcPr>
          <w:p>
            <w:pPr>
              <w:ind w:left="20"/>
              <w:spacing w:after="0"/>
              <w:rPr>
                <w:sz w:val="20"/>
                <w:szCs w:val="20"/>
                <w:color w:val="auto"/>
              </w:rPr>
            </w:pPr>
            <w:r>
              <w:rPr>
                <w:rFonts w:ascii="Arial" w:cs="Arial" w:eastAsia="Arial" w:hAnsi="Arial"/>
                <w:sz w:val="15"/>
                <w:szCs w:val="15"/>
                <w:color w:val="auto"/>
              </w:rPr>
              <w:t>Reconciliation of cash and cash equivalents and cash held in escrows:</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 beginning of period</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452,692</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1,668,742</w:t>
            </w:r>
          </w:p>
        </w:tc>
      </w:tr>
      <w:tr>
        <w:trPr>
          <w:trHeight w:val="202"/>
        </w:trPr>
        <w:tc>
          <w:tcPr>
            <w:tcW w:w="79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Cash held in escrows, beginning of period</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48,466</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50,587</w:t>
            </w:r>
          </w:p>
        </w:tc>
      </w:tr>
      <w:tr>
        <w:trPr>
          <w:trHeight w:val="196"/>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 and cash held in escrows, beginning of period</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501,158</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1,719,329</w:t>
            </w:r>
          </w:p>
        </w:tc>
      </w:tr>
      <w:tr>
        <w:trPr>
          <w:trHeight w:val="223"/>
        </w:trPr>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3"/>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 end of period</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375,774</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1,002,728</w:t>
            </w:r>
          </w:p>
        </w:tc>
      </w:tr>
      <w:tr>
        <w:trPr>
          <w:trHeight w:val="202"/>
        </w:trPr>
        <w:tc>
          <w:tcPr>
            <w:tcW w:w="79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Cash held in escrows, end of period</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73,112</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79,193</w:t>
            </w:r>
          </w:p>
        </w:tc>
      </w:tr>
      <w:tr>
        <w:trPr>
          <w:trHeight w:val="196"/>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 and cash held in escrows, end of period</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448,886</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1,081,921</w:t>
            </w:r>
          </w:p>
        </w:tc>
      </w:tr>
      <w:tr>
        <w:trPr>
          <w:trHeight w:val="223"/>
        </w:trPr>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3"/>
        </w:trPr>
        <w:tc>
          <w:tcPr>
            <w:tcW w:w="7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disclosures: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2"/>
        </w:trPr>
        <w:tc>
          <w:tcPr>
            <w:tcW w:w="79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Cash paid for interest</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339,067</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358,015</w:t>
            </w:r>
          </w:p>
        </w:tc>
      </w:tr>
      <w:tr>
        <w:trPr>
          <w:trHeight w:val="196"/>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Interest capitalized</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40,048</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36,632</w:t>
            </w:r>
          </w:p>
        </w:tc>
      </w:tr>
      <w:tr>
        <w:trPr>
          <w:trHeight w:val="223"/>
        </w:trPr>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3"/>
        </w:trPr>
        <w:tc>
          <w:tcPr>
            <w:tcW w:w="7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Non-cash investing and financing activities: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2"/>
        </w:trPr>
        <w:tc>
          <w:tcPr>
            <w:tcW w:w="79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Write-off of fully depreciated real estate</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(95,996)</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(159,108)</w:t>
            </w:r>
          </w:p>
        </w:tc>
      </w:tr>
      <w:tr>
        <w:trPr>
          <w:trHeight w:val="197"/>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Change in real estate included in accounts payable and accrued expenses</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29,290</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(22,104)</w:t>
            </w:r>
          </w:p>
        </w:tc>
      </w:tr>
      <w:tr>
        <w:trPr>
          <w:trHeight w:val="194"/>
        </w:trPr>
        <w:tc>
          <w:tcPr>
            <w:tcW w:w="79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Construction in progress, net deconsolidated</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(11,316)</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Investment in unconsolidated joint ventures recorded upon deconsolidation</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11,316</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4"/>
        </w:trPr>
        <w:tc>
          <w:tcPr>
            <w:tcW w:w="7960" w:type="dxa"/>
            <w:vAlign w:val="bottom"/>
          </w:tcPr>
          <w:p>
            <w:pPr>
              <w:ind w:left="320"/>
              <w:spacing w:after="0"/>
              <w:rPr>
                <w:sz w:val="20"/>
                <w:szCs w:val="20"/>
                <w:color w:val="auto"/>
              </w:rPr>
            </w:pPr>
            <w:r>
              <w:rPr>
                <w:rFonts w:ascii="Arial" w:cs="Arial" w:eastAsia="Arial" w:hAnsi="Arial"/>
                <w:sz w:val="15"/>
                <w:szCs w:val="15"/>
                <w:color w:val="auto"/>
              </w:rPr>
              <w:t>Right-of-use assets obtained in exchange for lease liabilities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26,887</w:t>
            </w:r>
          </w:p>
        </w:tc>
      </w:tr>
      <w:tr>
        <w:trPr>
          <w:trHeight w:val="197"/>
        </w:trPr>
        <w:tc>
          <w:tcPr>
            <w:tcW w:w="79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Dividends and distributions declared but not paid</w:t>
            </w: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170,952</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169,739</w:t>
            </w:r>
          </w:p>
        </w:tc>
      </w:tr>
      <w:tr>
        <w:trPr>
          <w:trHeight w:val="194"/>
        </w:trPr>
        <w:tc>
          <w:tcPr>
            <w:tcW w:w="79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Conversions of noncontrolling interests to stockholders’ equity</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6,388</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8,033</w:t>
            </w:r>
          </w:p>
        </w:tc>
      </w:tr>
      <w:tr>
        <w:trPr>
          <w:trHeight w:val="196"/>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Issuance of restricted securities to employees and non-employee directors</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48,605</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44,257</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BOSTON PROPERTIES LIMITED PARTNERSHIP</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 except for unit amounts)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780" w:type="dxa"/>
            <w:vAlign w:val="bottom"/>
            <w:gridSpan w:val="3"/>
          </w:tcPr>
          <w:p>
            <w:pPr>
              <w:ind w:left="80"/>
              <w:spacing w:after="0"/>
              <w:rPr>
                <w:sz w:val="20"/>
                <w:szCs w:val="20"/>
                <w:color w:val="auto"/>
              </w:rPr>
            </w:pPr>
            <w:r>
              <w:rPr>
                <w:rFonts w:ascii="Arial" w:cs="Arial" w:eastAsia="Arial" w:hAnsi="Arial"/>
                <w:sz w:val="15"/>
                <w:szCs w:val="15"/>
                <w:b w:val="1"/>
                <w:bCs w:val="1"/>
                <w:color w:val="auto"/>
              </w:rPr>
              <w:t>September 30, 2022</w:t>
            </w:r>
          </w:p>
        </w:tc>
        <w:tc>
          <w:tcPr>
            <w:tcW w:w="120" w:type="dxa"/>
            <w:vAlign w:val="bottom"/>
          </w:tcPr>
          <w:p>
            <w:pPr>
              <w:spacing w:after="0"/>
              <w:rPr>
                <w:sz w:val="16"/>
                <w:szCs w:val="16"/>
                <w:color w:val="auto"/>
              </w:rPr>
            </w:pPr>
          </w:p>
        </w:tc>
        <w:tc>
          <w:tcPr>
            <w:tcW w:w="1480" w:type="dxa"/>
            <w:vAlign w:val="bottom"/>
          </w:tcPr>
          <w:p>
            <w:pPr>
              <w:jc w:val="right"/>
              <w:ind w:right="24"/>
              <w:spacing w:after="0"/>
              <w:rPr>
                <w:sz w:val="20"/>
                <w:szCs w:val="20"/>
                <w:color w:val="auto"/>
              </w:rPr>
            </w:pPr>
            <w:r>
              <w:rPr>
                <w:rFonts w:ascii="Arial" w:cs="Arial" w:eastAsia="Arial" w:hAnsi="Arial"/>
                <w:sz w:val="15"/>
                <w:szCs w:val="15"/>
                <w:b w:val="1"/>
                <w:bCs w:val="1"/>
                <w:color w:val="auto"/>
              </w:rPr>
              <w:t>December 31, 2021</w:t>
            </w:r>
          </w:p>
        </w:tc>
        <w:tc>
          <w:tcPr>
            <w:tcW w:w="0" w:type="dxa"/>
            <w:vAlign w:val="bottom"/>
          </w:tcPr>
          <w:p>
            <w:pPr>
              <w:spacing w:after="0"/>
              <w:rPr>
                <w:sz w:val="1"/>
                <w:szCs w:val="1"/>
                <w:color w:val="auto"/>
              </w:rPr>
            </w:pPr>
          </w:p>
        </w:tc>
      </w:tr>
      <w:tr>
        <w:trPr>
          <w:trHeight w:val="163"/>
        </w:trPr>
        <w:tc>
          <w:tcPr>
            <w:tcW w:w="288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CCEEFF"/>
              <w:bottom w:val="single" w:sz="8" w:color="auto"/>
            </w:tcBorders>
            <w:shd w:val="clear" w:color="auto" w:fill="CCEEFF"/>
          </w:tcPr>
          <w:p>
            <w:pPr>
              <w:jc w:val="center"/>
              <w:spacing w:after="0" w:line="145" w:lineRule="exact"/>
              <w:rPr>
                <w:sz w:val="20"/>
                <w:szCs w:val="20"/>
                <w:color w:val="auto"/>
              </w:rPr>
            </w:pPr>
            <w:r>
              <w:rPr>
                <w:rFonts w:ascii="Arial" w:cs="Arial" w:eastAsia="Arial" w:hAnsi="Arial"/>
                <w:sz w:val="15"/>
                <w:szCs w:val="15"/>
                <w:b w:val="1"/>
                <w:bCs w:val="1"/>
                <w:color w:val="auto"/>
              </w:rPr>
              <w:t>ASSETS</w:t>
            </w:r>
          </w:p>
        </w:tc>
        <w:tc>
          <w:tcPr>
            <w:tcW w:w="37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40" w:type="dxa"/>
            <w:vAlign w:val="bottom"/>
            <w:tcBorders>
              <w:top w:val="single" w:sz="8" w:color="auto"/>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48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60" w:type="dxa"/>
            <w:vAlign w:val="bottom"/>
            <w:gridSpan w:val="5"/>
          </w:tcPr>
          <w:p>
            <w:pPr>
              <w:ind w:left="20"/>
              <w:spacing w:after="0" w:line="153" w:lineRule="exact"/>
              <w:rPr>
                <w:sz w:val="20"/>
                <w:szCs w:val="20"/>
                <w:color w:val="auto"/>
              </w:rPr>
            </w:pPr>
            <w:r>
              <w:rPr>
                <w:rFonts w:ascii="Arial" w:cs="Arial" w:eastAsia="Arial" w:hAnsi="Arial"/>
                <w:sz w:val="15"/>
                <w:szCs w:val="15"/>
                <w:color w:val="auto"/>
              </w:rPr>
              <w:t>Real estate, at cost (amounts related to variable interest entities (“VIEs”) of $6,753,779 and $6,702,830 at</w:t>
            </w:r>
          </w:p>
        </w:tc>
        <w:tc>
          <w:tcPr>
            <w:tcW w:w="440" w:type="dxa"/>
            <w:vAlign w:val="bottom"/>
            <w:vMerge w:val="restart"/>
          </w:tcPr>
          <w:p>
            <w:pPr>
              <w:jc w:val="right"/>
              <w:ind w:right="264"/>
              <w:spacing w:after="0"/>
              <w:rPr>
                <w:sz w:val="20"/>
                <w:szCs w:val="20"/>
                <w:color w:val="auto"/>
              </w:rPr>
            </w:pPr>
            <w:r>
              <w:rPr>
                <w:rFonts w:ascii="Arial" w:cs="Arial" w:eastAsia="Arial" w:hAnsi="Arial"/>
                <w:sz w:val="15"/>
                <w:szCs w:val="15"/>
                <w:color w:val="auto"/>
                <w:w w:val="95"/>
              </w:rPr>
              <w:t>$</w:t>
            </w: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24,824,862</w:t>
            </w:r>
          </w:p>
        </w:tc>
        <w:tc>
          <w:tcPr>
            <w:tcW w:w="1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23,379,243</w:t>
            </w:r>
          </w:p>
        </w:tc>
        <w:tc>
          <w:tcPr>
            <w:tcW w:w="0" w:type="dxa"/>
            <w:vAlign w:val="bottom"/>
          </w:tcPr>
          <w:p>
            <w:pPr>
              <w:spacing w:after="0"/>
              <w:rPr>
                <w:sz w:val="1"/>
                <w:szCs w:val="1"/>
                <w:color w:val="auto"/>
              </w:rPr>
            </w:pPr>
          </w:p>
        </w:tc>
      </w:tr>
      <w:tr>
        <w:trPr>
          <w:trHeight w:val="201"/>
        </w:trPr>
        <w:tc>
          <w:tcPr>
            <w:tcW w:w="7860" w:type="dxa"/>
            <w:vAlign w:val="bottom"/>
            <w:gridSpan w:val="5"/>
          </w:tcPr>
          <w:p>
            <w:pPr>
              <w:ind w:left="320"/>
              <w:spacing w:after="0"/>
              <w:rPr>
                <w:sz w:val="20"/>
                <w:szCs w:val="20"/>
                <w:color w:val="auto"/>
              </w:rPr>
            </w:pPr>
            <w:r>
              <w:rPr>
                <w:rFonts w:ascii="Arial" w:cs="Arial" w:eastAsia="Arial" w:hAnsi="Arial"/>
                <w:sz w:val="15"/>
                <w:szCs w:val="15"/>
                <w:color w:val="auto"/>
              </w:rPr>
              <w:t>September 30, 2022 and December 31, 2021, respectively)</w:t>
            </w:r>
          </w:p>
        </w:tc>
        <w:tc>
          <w:tcPr>
            <w:tcW w:w="4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7860" w:type="dxa"/>
            <w:vAlign w:val="bottom"/>
            <w:gridSpan w:val="5"/>
            <w:shd w:val="clear" w:color="auto" w:fill="CCEEFF"/>
          </w:tcPr>
          <w:p>
            <w:pPr>
              <w:ind w:left="20"/>
              <w:spacing w:after="0" w:line="154" w:lineRule="exact"/>
              <w:rPr>
                <w:sz w:val="20"/>
                <w:szCs w:val="20"/>
                <w:color w:val="auto"/>
              </w:rPr>
            </w:pPr>
            <w:r>
              <w:rPr>
                <w:rFonts w:ascii="Arial" w:cs="Arial" w:eastAsia="Arial" w:hAnsi="Arial"/>
                <w:sz w:val="15"/>
                <w:szCs w:val="15"/>
                <w:color w:val="auto"/>
              </w:rPr>
              <w:t>Right of use assets - finance leases (amounts related to VIEs of $21,000 and $21,000 at September 30, 2022</w:t>
            </w:r>
          </w:p>
        </w:tc>
        <w:tc>
          <w:tcPr>
            <w:tcW w:w="4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237,505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237,507</w:t>
            </w:r>
          </w:p>
        </w:tc>
        <w:tc>
          <w:tcPr>
            <w:tcW w:w="0" w:type="dxa"/>
            <w:vAlign w:val="bottom"/>
          </w:tcPr>
          <w:p>
            <w:pPr>
              <w:spacing w:after="0"/>
              <w:rPr>
                <w:sz w:val="1"/>
                <w:szCs w:val="1"/>
                <w:color w:val="auto"/>
              </w:rPr>
            </w:pPr>
          </w:p>
        </w:tc>
      </w:tr>
      <w:tr>
        <w:trPr>
          <w:trHeight w:val="203"/>
        </w:trPr>
        <w:tc>
          <w:tcPr>
            <w:tcW w:w="7860" w:type="dxa"/>
            <w:vAlign w:val="bottom"/>
            <w:gridSpan w:val="5"/>
            <w:shd w:val="clear" w:color="auto" w:fill="CCEEFF"/>
          </w:tcPr>
          <w:p>
            <w:pPr>
              <w:ind w:left="320"/>
              <w:spacing w:after="0"/>
              <w:rPr>
                <w:sz w:val="20"/>
                <w:szCs w:val="20"/>
                <w:color w:val="auto"/>
              </w:rPr>
            </w:pPr>
            <w:r>
              <w:rPr>
                <w:rFonts w:ascii="Arial" w:cs="Arial" w:eastAsia="Arial" w:hAnsi="Arial"/>
                <w:sz w:val="15"/>
                <w:szCs w:val="15"/>
                <w:color w:val="auto"/>
              </w:rPr>
              <w:t>and December 31, 2021, respectively)</w:t>
            </w:r>
          </w:p>
        </w:tc>
        <w:tc>
          <w:tcPr>
            <w:tcW w:w="44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60" w:type="dxa"/>
            <w:vAlign w:val="bottom"/>
            <w:gridSpan w:val="5"/>
          </w:tcPr>
          <w:p>
            <w:pPr>
              <w:ind w:left="20"/>
              <w:spacing w:after="0"/>
              <w:rPr>
                <w:sz w:val="20"/>
                <w:szCs w:val="20"/>
                <w:color w:val="auto"/>
              </w:rPr>
            </w:pPr>
            <w:r>
              <w:rPr>
                <w:rFonts w:ascii="Arial" w:cs="Arial" w:eastAsia="Arial" w:hAnsi="Arial"/>
                <w:sz w:val="15"/>
                <w:szCs w:val="15"/>
                <w:color w:val="auto"/>
              </w:rPr>
              <w:t>Right of use assets - operating leases</w:t>
            </w:r>
          </w:p>
        </w:tc>
        <w:tc>
          <w:tcPr>
            <w:tcW w:w="44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167,935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169,778</w:t>
            </w:r>
          </w:p>
        </w:tc>
        <w:tc>
          <w:tcPr>
            <w:tcW w:w="0" w:type="dxa"/>
            <w:vAlign w:val="bottom"/>
          </w:tcPr>
          <w:p>
            <w:pPr>
              <w:spacing w:after="0"/>
              <w:rPr>
                <w:sz w:val="1"/>
                <w:szCs w:val="1"/>
                <w:color w:val="auto"/>
              </w:rPr>
            </w:pPr>
          </w:p>
        </w:tc>
      </w:tr>
      <w:tr>
        <w:trPr>
          <w:trHeight w:val="154"/>
        </w:trPr>
        <w:tc>
          <w:tcPr>
            <w:tcW w:w="7860" w:type="dxa"/>
            <w:vAlign w:val="bottom"/>
            <w:gridSpan w:val="5"/>
            <w:shd w:val="clear" w:color="auto" w:fill="CCEEFF"/>
          </w:tcPr>
          <w:p>
            <w:pPr>
              <w:ind w:left="320"/>
              <w:spacing w:after="0" w:line="154" w:lineRule="exact"/>
              <w:rPr>
                <w:sz w:val="20"/>
                <w:szCs w:val="20"/>
                <w:color w:val="auto"/>
              </w:rPr>
            </w:pPr>
            <w:r>
              <w:rPr>
                <w:rFonts w:ascii="Arial" w:cs="Arial" w:eastAsia="Arial" w:hAnsi="Arial"/>
                <w:sz w:val="15"/>
                <w:szCs w:val="15"/>
                <w:color w:val="auto"/>
              </w:rPr>
              <w:t>Less: accumulated depreciation (amounts related to VIEs of $(1,352,781) and $(1,283,060) at September</w:t>
            </w:r>
          </w:p>
        </w:tc>
        <w:tc>
          <w:tcPr>
            <w:tcW w:w="4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(6,055,172)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(5,772,018)</w:t>
            </w:r>
          </w:p>
        </w:tc>
        <w:tc>
          <w:tcPr>
            <w:tcW w:w="0" w:type="dxa"/>
            <w:vAlign w:val="bottom"/>
          </w:tcPr>
          <w:p>
            <w:pPr>
              <w:spacing w:after="0"/>
              <w:rPr>
                <w:sz w:val="1"/>
                <w:szCs w:val="1"/>
                <w:color w:val="auto"/>
              </w:rPr>
            </w:pPr>
          </w:p>
        </w:tc>
      </w:tr>
      <w:tr>
        <w:trPr>
          <w:trHeight w:val="203"/>
        </w:trPr>
        <w:tc>
          <w:tcPr>
            <w:tcW w:w="7860" w:type="dxa"/>
            <w:vAlign w:val="bottom"/>
            <w:gridSpan w:val="5"/>
            <w:shd w:val="clear" w:color="auto" w:fill="CCEEFF"/>
          </w:tcPr>
          <w:p>
            <w:pPr>
              <w:ind w:left="620"/>
              <w:spacing w:after="0"/>
              <w:rPr>
                <w:sz w:val="20"/>
                <w:szCs w:val="20"/>
                <w:color w:val="auto"/>
              </w:rPr>
            </w:pPr>
            <w:r>
              <w:rPr>
                <w:rFonts w:ascii="Arial" w:cs="Arial" w:eastAsia="Arial" w:hAnsi="Arial"/>
                <w:sz w:val="15"/>
                <w:szCs w:val="15"/>
                <w:color w:val="auto"/>
              </w:rPr>
              <w:t>30, 2022 and December 31, 2021, respectively)</w:t>
            </w:r>
          </w:p>
        </w:tc>
        <w:tc>
          <w:tcPr>
            <w:tcW w:w="4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860" w:type="dxa"/>
            <w:vAlign w:val="bottom"/>
            <w:gridSpan w:val="5"/>
          </w:tcPr>
          <w:p>
            <w:pPr>
              <w:ind w:left="620"/>
              <w:spacing w:after="0"/>
              <w:rPr>
                <w:sz w:val="20"/>
                <w:szCs w:val="20"/>
                <w:color w:val="auto"/>
              </w:rPr>
            </w:pPr>
            <w:r>
              <w:rPr>
                <w:rFonts w:ascii="Arial" w:cs="Arial" w:eastAsia="Arial" w:hAnsi="Arial"/>
                <w:sz w:val="15"/>
                <w:szCs w:val="15"/>
                <w:color w:val="auto"/>
              </w:rPr>
              <w:t>Total real estate</w:t>
            </w:r>
          </w:p>
        </w:tc>
        <w:tc>
          <w:tcPr>
            <w:tcW w:w="440" w:type="dxa"/>
            <w:vAlign w:val="bottom"/>
          </w:tcPr>
          <w:p>
            <w:pPr>
              <w:spacing w:after="0"/>
              <w:rPr>
                <w:sz w:val="16"/>
                <w:szCs w:val="16"/>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19,175,130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18,014,510</w:t>
            </w:r>
          </w:p>
        </w:tc>
        <w:tc>
          <w:tcPr>
            <w:tcW w:w="0" w:type="dxa"/>
            <w:vAlign w:val="bottom"/>
          </w:tcPr>
          <w:p>
            <w:pPr>
              <w:spacing w:after="0"/>
              <w:rPr>
                <w:sz w:val="1"/>
                <w:szCs w:val="1"/>
                <w:color w:val="auto"/>
              </w:rPr>
            </w:pPr>
          </w:p>
        </w:tc>
      </w:tr>
      <w:tr>
        <w:trPr>
          <w:trHeight w:val="154"/>
        </w:trPr>
        <w:tc>
          <w:tcPr>
            <w:tcW w:w="7860" w:type="dxa"/>
            <w:vAlign w:val="bottom"/>
            <w:gridSpan w:val="5"/>
            <w:shd w:val="clear" w:color="auto" w:fill="CCEEFF"/>
          </w:tcPr>
          <w:p>
            <w:pPr>
              <w:ind w:left="20"/>
              <w:spacing w:after="0" w:line="154" w:lineRule="exact"/>
              <w:rPr>
                <w:sz w:val="20"/>
                <w:szCs w:val="20"/>
                <w:color w:val="auto"/>
              </w:rPr>
            </w:pPr>
            <w:r>
              <w:rPr>
                <w:rFonts w:ascii="Arial" w:cs="Arial" w:eastAsia="Arial" w:hAnsi="Arial"/>
                <w:sz w:val="15"/>
                <w:szCs w:val="15"/>
                <w:color w:val="auto"/>
              </w:rPr>
              <w:t>Cash and cash equivalents (amounts related to VIEs of $249,124 and $300,937 at September 30, 2022 and</w:t>
            </w:r>
          </w:p>
        </w:tc>
        <w:tc>
          <w:tcPr>
            <w:tcW w:w="4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375,774</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452,692</w:t>
            </w:r>
          </w:p>
        </w:tc>
        <w:tc>
          <w:tcPr>
            <w:tcW w:w="0" w:type="dxa"/>
            <w:vAlign w:val="bottom"/>
          </w:tcPr>
          <w:p>
            <w:pPr>
              <w:spacing w:after="0"/>
              <w:rPr>
                <w:sz w:val="1"/>
                <w:szCs w:val="1"/>
                <w:color w:val="auto"/>
              </w:rPr>
            </w:pPr>
          </w:p>
        </w:tc>
      </w:tr>
      <w:tr>
        <w:trPr>
          <w:trHeight w:val="203"/>
        </w:trPr>
        <w:tc>
          <w:tcPr>
            <w:tcW w:w="7860" w:type="dxa"/>
            <w:vAlign w:val="bottom"/>
            <w:gridSpan w:val="5"/>
            <w:shd w:val="clear" w:color="auto" w:fill="CCEEFF"/>
          </w:tcPr>
          <w:p>
            <w:pPr>
              <w:ind w:left="320"/>
              <w:spacing w:after="0"/>
              <w:rPr>
                <w:sz w:val="20"/>
                <w:szCs w:val="20"/>
                <w:color w:val="auto"/>
              </w:rPr>
            </w:pPr>
            <w:r>
              <w:rPr>
                <w:rFonts w:ascii="Arial" w:cs="Arial" w:eastAsia="Arial" w:hAnsi="Arial"/>
                <w:sz w:val="15"/>
                <w:szCs w:val="15"/>
                <w:color w:val="auto"/>
              </w:rPr>
              <w:t>December 31, 2021, respectively)</w:t>
            </w:r>
          </w:p>
        </w:tc>
        <w:tc>
          <w:tcPr>
            <w:tcW w:w="44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60" w:type="dxa"/>
            <w:vAlign w:val="bottom"/>
            <w:gridSpan w:val="5"/>
          </w:tcPr>
          <w:p>
            <w:pPr>
              <w:ind w:left="20"/>
              <w:spacing w:after="0"/>
              <w:rPr>
                <w:sz w:val="20"/>
                <w:szCs w:val="20"/>
                <w:color w:val="auto"/>
              </w:rPr>
            </w:pPr>
            <w:r>
              <w:rPr>
                <w:rFonts w:ascii="Arial" w:cs="Arial" w:eastAsia="Arial" w:hAnsi="Arial"/>
                <w:sz w:val="15"/>
                <w:szCs w:val="15"/>
                <w:color w:val="auto"/>
              </w:rPr>
              <w:t>Cash held in escrows</w:t>
            </w:r>
          </w:p>
        </w:tc>
        <w:tc>
          <w:tcPr>
            <w:tcW w:w="44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73,112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48,466</w:t>
            </w:r>
          </w:p>
        </w:tc>
        <w:tc>
          <w:tcPr>
            <w:tcW w:w="0" w:type="dxa"/>
            <w:vAlign w:val="bottom"/>
          </w:tcPr>
          <w:p>
            <w:pPr>
              <w:spacing w:after="0"/>
              <w:rPr>
                <w:sz w:val="1"/>
                <w:szCs w:val="1"/>
                <w:color w:val="auto"/>
              </w:rPr>
            </w:pPr>
          </w:p>
        </w:tc>
      </w:tr>
      <w:tr>
        <w:trPr>
          <w:trHeight w:val="204"/>
        </w:trPr>
        <w:tc>
          <w:tcPr>
            <w:tcW w:w="7860" w:type="dxa"/>
            <w:vAlign w:val="bottom"/>
            <w:gridSpan w:val="5"/>
            <w:shd w:val="clear" w:color="auto" w:fill="CCEEFF"/>
          </w:tcPr>
          <w:p>
            <w:pPr>
              <w:ind w:left="20"/>
              <w:spacing w:after="0"/>
              <w:rPr>
                <w:sz w:val="20"/>
                <w:szCs w:val="20"/>
                <w:color w:val="auto"/>
              </w:rPr>
            </w:pPr>
            <w:r>
              <w:rPr>
                <w:rFonts w:ascii="Arial" w:cs="Arial" w:eastAsia="Arial" w:hAnsi="Arial"/>
                <w:sz w:val="15"/>
                <w:szCs w:val="15"/>
                <w:color w:val="auto"/>
              </w:rPr>
              <w:t>Investments in securities</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30,040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43,632</w:t>
            </w:r>
          </w:p>
        </w:tc>
        <w:tc>
          <w:tcPr>
            <w:tcW w:w="0" w:type="dxa"/>
            <w:vAlign w:val="bottom"/>
          </w:tcPr>
          <w:p>
            <w:pPr>
              <w:spacing w:after="0"/>
              <w:rPr>
                <w:sz w:val="1"/>
                <w:szCs w:val="1"/>
                <w:color w:val="auto"/>
              </w:rPr>
            </w:pPr>
          </w:p>
        </w:tc>
      </w:tr>
      <w:tr>
        <w:trPr>
          <w:trHeight w:val="153"/>
        </w:trPr>
        <w:tc>
          <w:tcPr>
            <w:tcW w:w="7860" w:type="dxa"/>
            <w:vAlign w:val="bottom"/>
            <w:gridSpan w:val="5"/>
          </w:tcPr>
          <w:p>
            <w:pPr>
              <w:ind w:left="20"/>
              <w:spacing w:after="0" w:line="153" w:lineRule="exact"/>
              <w:rPr>
                <w:sz w:val="20"/>
                <w:szCs w:val="20"/>
                <w:color w:val="auto"/>
              </w:rPr>
            </w:pPr>
            <w:r>
              <w:rPr>
                <w:rFonts w:ascii="Arial" w:cs="Arial" w:eastAsia="Arial" w:hAnsi="Arial"/>
                <w:sz w:val="15"/>
                <w:szCs w:val="15"/>
                <w:color w:val="auto"/>
              </w:rPr>
              <w:t>Tenant and other receivables, net (amounts related to VIEs of $11,842 and $6,824 at September 30, 2022 and</w:t>
            </w:r>
          </w:p>
        </w:tc>
        <w:tc>
          <w:tcPr>
            <w:tcW w:w="440" w:type="dxa"/>
            <w:vAlign w:val="bottom"/>
          </w:tcPr>
          <w:p>
            <w:pPr>
              <w:spacing w:after="0"/>
              <w:rPr>
                <w:sz w:val="13"/>
                <w:szCs w:val="13"/>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69,633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70,186</w:t>
            </w:r>
          </w:p>
        </w:tc>
        <w:tc>
          <w:tcPr>
            <w:tcW w:w="0" w:type="dxa"/>
            <w:vAlign w:val="bottom"/>
          </w:tcPr>
          <w:p>
            <w:pPr>
              <w:spacing w:after="0"/>
              <w:rPr>
                <w:sz w:val="1"/>
                <w:szCs w:val="1"/>
                <w:color w:val="auto"/>
              </w:rPr>
            </w:pPr>
          </w:p>
        </w:tc>
      </w:tr>
      <w:tr>
        <w:trPr>
          <w:trHeight w:val="201"/>
        </w:trPr>
        <w:tc>
          <w:tcPr>
            <w:tcW w:w="7860" w:type="dxa"/>
            <w:vAlign w:val="bottom"/>
            <w:gridSpan w:val="5"/>
          </w:tcPr>
          <w:p>
            <w:pPr>
              <w:ind w:left="320"/>
              <w:spacing w:after="0"/>
              <w:rPr>
                <w:sz w:val="20"/>
                <w:szCs w:val="20"/>
                <w:color w:val="auto"/>
              </w:rPr>
            </w:pPr>
            <w:r>
              <w:rPr>
                <w:rFonts w:ascii="Arial" w:cs="Arial" w:eastAsia="Arial" w:hAnsi="Arial"/>
                <w:sz w:val="15"/>
                <w:szCs w:val="15"/>
                <w:color w:val="auto"/>
              </w:rPr>
              <w:t>December 31, 2021, respectively)</w:t>
            </w:r>
          </w:p>
        </w:tc>
        <w:tc>
          <w:tcPr>
            <w:tcW w:w="4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60" w:type="dxa"/>
            <w:vAlign w:val="bottom"/>
            <w:gridSpan w:val="5"/>
            <w:shd w:val="clear" w:color="auto" w:fill="CCEEFF"/>
          </w:tcPr>
          <w:p>
            <w:pPr>
              <w:ind w:left="20"/>
              <w:spacing w:after="0"/>
              <w:rPr>
                <w:sz w:val="20"/>
                <w:szCs w:val="20"/>
                <w:color w:val="auto"/>
              </w:rPr>
            </w:pPr>
            <w:r>
              <w:rPr>
                <w:rFonts w:ascii="Arial" w:cs="Arial" w:eastAsia="Arial" w:hAnsi="Arial"/>
                <w:sz w:val="15"/>
                <w:szCs w:val="15"/>
                <w:color w:val="auto"/>
              </w:rPr>
              <w:t>Related party note receivable, net</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78,592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78,336</w:t>
            </w:r>
          </w:p>
        </w:tc>
        <w:tc>
          <w:tcPr>
            <w:tcW w:w="0" w:type="dxa"/>
            <w:vAlign w:val="bottom"/>
          </w:tcPr>
          <w:p>
            <w:pPr>
              <w:spacing w:after="0"/>
              <w:rPr>
                <w:sz w:val="1"/>
                <w:szCs w:val="1"/>
                <w:color w:val="auto"/>
              </w:rPr>
            </w:pPr>
          </w:p>
        </w:tc>
      </w:tr>
      <w:tr>
        <w:trPr>
          <w:trHeight w:val="202"/>
        </w:trPr>
        <w:tc>
          <w:tcPr>
            <w:tcW w:w="7860" w:type="dxa"/>
            <w:vAlign w:val="bottom"/>
            <w:gridSpan w:val="5"/>
          </w:tcPr>
          <w:p>
            <w:pPr>
              <w:ind w:left="20"/>
              <w:spacing w:after="0"/>
              <w:rPr>
                <w:sz w:val="20"/>
                <w:szCs w:val="20"/>
                <w:color w:val="auto"/>
              </w:rPr>
            </w:pPr>
            <w:r>
              <w:rPr>
                <w:rFonts w:ascii="Arial" w:cs="Arial" w:eastAsia="Arial" w:hAnsi="Arial"/>
                <w:sz w:val="15"/>
                <w:szCs w:val="15"/>
                <w:color w:val="auto"/>
              </w:rPr>
              <w:t>Notes receivable, net</w:t>
            </w:r>
          </w:p>
        </w:tc>
        <w:tc>
          <w:tcPr>
            <w:tcW w:w="44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9,641</w:t>
            </w:r>
          </w:p>
        </w:tc>
        <w:tc>
          <w:tcPr>
            <w:tcW w:w="0" w:type="dxa"/>
            <w:vAlign w:val="bottom"/>
          </w:tcPr>
          <w:p>
            <w:pPr>
              <w:spacing w:after="0"/>
              <w:rPr>
                <w:sz w:val="1"/>
                <w:szCs w:val="1"/>
                <w:color w:val="auto"/>
              </w:rPr>
            </w:pPr>
          </w:p>
        </w:tc>
      </w:tr>
      <w:tr>
        <w:trPr>
          <w:trHeight w:val="154"/>
        </w:trPr>
        <w:tc>
          <w:tcPr>
            <w:tcW w:w="7860" w:type="dxa"/>
            <w:vAlign w:val="bottom"/>
            <w:gridSpan w:val="5"/>
            <w:shd w:val="clear" w:color="auto" w:fill="CCEEFF"/>
          </w:tcPr>
          <w:p>
            <w:pPr>
              <w:ind w:left="20"/>
              <w:spacing w:after="0" w:line="154" w:lineRule="exact"/>
              <w:rPr>
                <w:sz w:val="20"/>
                <w:szCs w:val="20"/>
                <w:color w:val="auto"/>
              </w:rPr>
            </w:pPr>
            <w:r>
              <w:rPr>
                <w:rFonts w:ascii="Arial" w:cs="Arial" w:eastAsia="Arial" w:hAnsi="Arial"/>
                <w:sz w:val="15"/>
                <w:szCs w:val="15"/>
                <w:color w:val="auto"/>
              </w:rPr>
              <w:t>Accrued rental income, net (amounts related to VIEs of $359,439 and $357,395 at September 30, 2022 and</w:t>
            </w:r>
          </w:p>
        </w:tc>
        <w:tc>
          <w:tcPr>
            <w:tcW w:w="4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1,250,176</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1,226,745</w:t>
            </w:r>
          </w:p>
        </w:tc>
        <w:tc>
          <w:tcPr>
            <w:tcW w:w="0" w:type="dxa"/>
            <w:vAlign w:val="bottom"/>
          </w:tcPr>
          <w:p>
            <w:pPr>
              <w:spacing w:after="0"/>
              <w:rPr>
                <w:sz w:val="1"/>
                <w:szCs w:val="1"/>
                <w:color w:val="auto"/>
              </w:rPr>
            </w:pPr>
          </w:p>
        </w:tc>
      </w:tr>
      <w:tr>
        <w:trPr>
          <w:trHeight w:val="203"/>
        </w:trPr>
        <w:tc>
          <w:tcPr>
            <w:tcW w:w="7860" w:type="dxa"/>
            <w:vAlign w:val="bottom"/>
            <w:gridSpan w:val="5"/>
            <w:shd w:val="clear" w:color="auto" w:fill="CCEEFF"/>
          </w:tcPr>
          <w:p>
            <w:pPr>
              <w:ind w:left="320"/>
              <w:spacing w:after="0"/>
              <w:rPr>
                <w:sz w:val="20"/>
                <w:szCs w:val="20"/>
                <w:color w:val="auto"/>
              </w:rPr>
            </w:pPr>
            <w:r>
              <w:rPr>
                <w:rFonts w:ascii="Arial" w:cs="Arial" w:eastAsia="Arial" w:hAnsi="Arial"/>
                <w:sz w:val="15"/>
                <w:szCs w:val="15"/>
                <w:color w:val="auto"/>
              </w:rPr>
              <w:t>December 31, 2021, respectively)</w:t>
            </w:r>
          </w:p>
        </w:tc>
        <w:tc>
          <w:tcPr>
            <w:tcW w:w="44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860" w:type="dxa"/>
            <w:vAlign w:val="bottom"/>
            <w:gridSpan w:val="5"/>
          </w:tcPr>
          <w:p>
            <w:pPr>
              <w:ind w:left="20"/>
              <w:spacing w:after="0" w:line="153" w:lineRule="exact"/>
              <w:rPr>
                <w:sz w:val="20"/>
                <w:szCs w:val="20"/>
                <w:color w:val="auto"/>
              </w:rPr>
            </w:pPr>
            <w:r>
              <w:rPr>
                <w:rFonts w:ascii="Arial" w:cs="Arial" w:eastAsia="Arial" w:hAnsi="Arial"/>
                <w:sz w:val="15"/>
                <w:szCs w:val="15"/>
                <w:color w:val="auto"/>
              </w:rPr>
              <w:t>Deferred charges, net (amounts related to VIEs of $176,908 and $174,637 at September 30, 2022 and</w:t>
            </w:r>
          </w:p>
        </w:tc>
        <w:tc>
          <w:tcPr>
            <w:tcW w:w="440" w:type="dxa"/>
            <w:vAlign w:val="bottom"/>
          </w:tcPr>
          <w:p>
            <w:pPr>
              <w:spacing w:after="0"/>
              <w:rPr>
                <w:sz w:val="13"/>
                <w:szCs w:val="13"/>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720,648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618,798</w:t>
            </w:r>
          </w:p>
        </w:tc>
        <w:tc>
          <w:tcPr>
            <w:tcW w:w="0" w:type="dxa"/>
            <w:vAlign w:val="bottom"/>
          </w:tcPr>
          <w:p>
            <w:pPr>
              <w:spacing w:after="0"/>
              <w:rPr>
                <w:sz w:val="1"/>
                <w:szCs w:val="1"/>
                <w:color w:val="auto"/>
              </w:rPr>
            </w:pPr>
          </w:p>
        </w:tc>
      </w:tr>
      <w:tr>
        <w:trPr>
          <w:trHeight w:val="201"/>
        </w:trPr>
        <w:tc>
          <w:tcPr>
            <w:tcW w:w="7860" w:type="dxa"/>
            <w:vAlign w:val="bottom"/>
            <w:gridSpan w:val="5"/>
          </w:tcPr>
          <w:p>
            <w:pPr>
              <w:ind w:left="320"/>
              <w:spacing w:after="0"/>
              <w:rPr>
                <w:sz w:val="20"/>
                <w:szCs w:val="20"/>
                <w:color w:val="auto"/>
              </w:rPr>
            </w:pPr>
            <w:r>
              <w:rPr>
                <w:rFonts w:ascii="Arial" w:cs="Arial" w:eastAsia="Arial" w:hAnsi="Arial"/>
                <w:sz w:val="15"/>
                <w:szCs w:val="15"/>
                <w:color w:val="auto"/>
              </w:rPr>
              <w:t>December 31, 2021, respectively)</w:t>
            </w:r>
          </w:p>
        </w:tc>
        <w:tc>
          <w:tcPr>
            <w:tcW w:w="4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7860" w:type="dxa"/>
            <w:vAlign w:val="bottom"/>
            <w:gridSpan w:val="5"/>
            <w:shd w:val="clear" w:color="auto" w:fill="CCEEFF"/>
          </w:tcPr>
          <w:p>
            <w:pPr>
              <w:ind w:left="20"/>
              <w:spacing w:after="0" w:line="154" w:lineRule="exact"/>
              <w:rPr>
                <w:sz w:val="20"/>
                <w:szCs w:val="20"/>
                <w:color w:val="auto"/>
              </w:rPr>
            </w:pPr>
            <w:r>
              <w:rPr>
                <w:rFonts w:ascii="Arial" w:cs="Arial" w:eastAsia="Arial" w:hAnsi="Arial"/>
                <w:sz w:val="15"/>
                <w:szCs w:val="15"/>
                <w:color w:val="auto"/>
              </w:rPr>
              <w:t>Prepaid expenses and other assets (amounts related to VIEs of $44,525 and $29,668 at September 30, 2022 and</w:t>
            </w:r>
          </w:p>
        </w:tc>
        <w:tc>
          <w:tcPr>
            <w:tcW w:w="4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107,538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57,811</w:t>
            </w:r>
          </w:p>
        </w:tc>
        <w:tc>
          <w:tcPr>
            <w:tcW w:w="0" w:type="dxa"/>
            <w:vAlign w:val="bottom"/>
          </w:tcPr>
          <w:p>
            <w:pPr>
              <w:spacing w:after="0"/>
              <w:rPr>
                <w:sz w:val="1"/>
                <w:szCs w:val="1"/>
                <w:color w:val="auto"/>
              </w:rPr>
            </w:pPr>
          </w:p>
        </w:tc>
      </w:tr>
      <w:tr>
        <w:trPr>
          <w:trHeight w:val="203"/>
        </w:trPr>
        <w:tc>
          <w:tcPr>
            <w:tcW w:w="7860" w:type="dxa"/>
            <w:vAlign w:val="bottom"/>
            <w:gridSpan w:val="5"/>
            <w:shd w:val="clear" w:color="auto" w:fill="CCEEFF"/>
          </w:tcPr>
          <w:p>
            <w:pPr>
              <w:ind w:left="320"/>
              <w:spacing w:after="0"/>
              <w:rPr>
                <w:sz w:val="20"/>
                <w:szCs w:val="20"/>
                <w:color w:val="auto"/>
              </w:rPr>
            </w:pPr>
            <w:r>
              <w:rPr>
                <w:rFonts w:ascii="Arial" w:cs="Arial" w:eastAsia="Arial" w:hAnsi="Arial"/>
                <w:sz w:val="15"/>
                <w:szCs w:val="15"/>
                <w:color w:val="auto"/>
              </w:rPr>
              <w:t>December 31, 2021, respectively)</w:t>
            </w:r>
          </w:p>
        </w:tc>
        <w:tc>
          <w:tcPr>
            <w:tcW w:w="44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60" w:type="dxa"/>
            <w:vAlign w:val="bottom"/>
            <w:tcBorders>
              <w:bottom w:val="single" w:sz="8" w:color="CCEEFF"/>
            </w:tcBorders>
            <w:gridSpan w:val="5"/>
          </w:tcPr>
          <w:p>
            <w:pPr>
              <w:ind w:left="20"/>
              <w:spacing w:after="0"/>
              <w:rPr>
                <w:sz w:val="20"/>
                <w:szCs w:val="20"/>
                <w:color w:val="auto"/>
              </w:rPr>
            </w:pPr>
            <w:r>
              <w:rPr>
                <w:rFonts w:ascii="Arial" w:cs="Arial" w:eastAsia="Arial" w:hAnsi="Arial"/>
                <w:sz w:val="15"/>
                <w:szCs w:val="15"/>
                <w:color w:val="auto"/>
              </w:rPr>
              <w:t>Investments in unconsolidated joint ventures</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1,593,834</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1,482,997</w:t>
            </w:r>
          </w:p>
        </w:tc>
        <w:tc>
          <w:tcPr>
            <w:tcW w:w="0" w:type="dxa"/>
            <w:vAlign w:val="bottom"/>
          </w:tcPr>
          <w:p>
            <w:pPr>
              <w:spacing w:after="0"/>
              <w:rPr>
                <w:sz w:val="1"/>
                <w:szCs w:val="1"/>
                <w:color w:val="auto"/>
              </w:rPr>
            </w:pPr>
          </w:p>
        </w:tc>
      </w:tr>
      <w:tr>
        <w:trPr>
          <w:trHeight w:val="221"/>
        </w:trPr>
        <w:tc>
          <w:tcPr>
            <w:tcW w:w="786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5"/>
                <w:szCs w:val="15"/>
                <w:color w:val="auto"/>
              </w:rPr>
              <w:t>Total assets</w:t>
            </w: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23,474,477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22,103,814</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spacing w:after="0" w:line="20" w:lineRule="exact"/>
              <w:rPr>
                <w:sz w:val="1"/>
                <w:szCs w:val="1"/>
                <w:color w:val="auto"/>
              </w:rPr>
            </w:pPr>
          </w:p>
        </w:tc>
        <w:tc>
          <w:tcPr>
            <w:tcW w:w="1940" w:type="dxa"/>
            <w:vAlign w:val="bottom"/>
            <w:tcBorders>
              <w:top w:val="single" w:sz="8" w:color="CCEEFF"/>
              <w:bottom w:val="single" w:sz="8" w:color="CCEEFF"/>
            </w:tcBorders>
            <w:gridSpan w:val="3"/>
            <w:vMerge w:val="restart"/>
          </w:tcPr>
          <w:p>
            <w:pPr>
              <w:jc w:val="center"/>
              <w:spacing w:after="0" w:line="152" w:lineRule="exact"/>
              <w:rPr>
                <w:sz w:val="20"/>
                <w:szCs w:val="20"/>
                <w:color w:val="auto"/>
              </w:rPr>
            </w:pPr>
            <w:r>
              <w:rPr>
                <w:rFonts w:ascii="Arial" w:cs="Arial" w:eastAsia="Arial" w:hAnsi="Arial"/>
                <w:sz w:val="15"/>
                <w:szCs w:val="15"/>
                <w:b w:val="1"/>
                <w:bCs w:val="1"/>
                <w:color w:val="auto"/>
              </w:rPr>
              <w:t>LIABILITIES AND CAPITAL</w:t>
            </w:r>
          </w:p>
        </w:tc>
        <w:tc>
          <w:tcPr>
            <w:tcW w:w="304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880" w:type="dxa"/>
            <w:vAlign w:val="bottom"/>
            <w:vMerge w:val="continue"/>
          </w:tcPr>
          <w:p>
            <w:pPr>
              <w:spacing w:after="0"/>
              <w:rPr>
                <w:sz w:val="10"/>
                <w:szCs w:val="10"/>
                <w:color w:val="auto"/>
              </w:rPr>
            </w:pPr>
          </w:p>
        </w:tc>
        <w:tc>
          <w:tcPr>
            <w:tcW w:w="1940" w:type="dxa"/>
            <w:vAlign w:val="bottom"/>
            <w:tcBorders>
              <w:bottom w:val="single" w:sz="8" w:color="auto"/>
            </w:tcBorders>
            <w:gridSpan w:val="3"/>
            <w:vMerge w:val="continue"/>
          </w:tcPr>
          <w:p>
            <w:pPr>
              <w:spacing w:after="0"/>
              <w:rPr>
                <w:sz w:val="10"/>
                <w:szCs w:val="10"/>
                <w:color w:val="auto"/>
              </w:rPr>
            </w:pPr>
          </w:p>
        </w:tc>
        <w:tc>
          <w:tcPr>
            <w:tcW w:w="30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7860" w:type="dxa"/>
            <w:vAlign w:val="bottom"/>
            <w:gridSpan w:val="5"/>
            <w:shd w:val="clear" w:color="auto" w:fill="CCEEFF"/>
          </w:tcPr>
          <w:p>
            <w:pPr>
              <w:ind w:left="20"/>
              <w:spacing w:after="0"/>
              <w:rPr>
                <w:sz w:val="20"/>
                <w:szCs w:val="20"/>
                <w:color w:val="auto"/>
              </w:rPr>
            </w:pPr>
            <w:r>
              <w:rPr>
                <w:rFonts w:ascii="Arial" w:cs="Arial" w:eastAsia="Arial" w:hAnsi="Arial"/>
                <w:sz w:val="15"/>
                <w:szCs w:val="15"/>
                <w:color w:val="auto"/>
              </w:rPr>
              <w:t>Liabilities:</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7860" w:type="dxa"/>
            <w:vAlign w:val="bottom"/>
            <w:gridSpan w:val="5"/>
          </w:tcPr>
          <w:p>
            <w:pPr>
              <w:ind w:left="320"/>
              <w:spacing w:after="0" w:line="153" w:lineRule="exact"/>
              <w:rPr>
                <w:sz w:val="20"/>
                <w:szCs w:val="20"/>
                <w:color w:val="auto"/>
              </w:rPr>
            </w:pPr>
            <w:r>
              <w:rPr>
                <w:rFonts w:ascii="Arial" w:cs="Arial" w:eastAsia="Arial" w:hAnsi="Arial"/>
                <w:sz w:val="15"/>
                <w:szCs w:val="15"/>
                <w:color w:val="auto"/>
              </w:rPr>
              <w:t>Mortgage notes payable, net (amounts related to VIEs of $3,271,157 and $3,267,914 at September 30, 2022</w:t>
            </w:r>
          </w:p>
        </w:tc>
        <w:tc>
          <w:tcPr>
            <w:tcW w:w="440" w:type="dxa"/>
            <w:vAlign w:val="bottom"/>
            <w:vMerge w:val="restart"/>
          </w:tcPr>
          <w:p>
            <w:pPr>
              <w:jc w:val="right"/>
              <w:ind w:right="264"/>
              <w:spacing w:after="0"/>
              <w:rPr>
                <w:sz w:val="20"/>
                <w:szCs w:val="20"/>
                <w:color w:val="auto"/>
              </w:rPr>
            </w:pPr>
            <w:r>
              <w:rPr>
                <w:rFonts w:ascii="Arial" w:cs="Arial" w:eastAsia="Arial" w:hAnsi="Arial"/>
                <w:sz w:val="15"/>
                <w:szCs w:val="15"/>
                <w:color w:val="auto"/>
                <w:w w:val="95"/>
              </w:rPr>
              <w:t>$</w:t>
            </w: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3,271,157</w:t>
            </w:r>
          </w:p>
        </w:tc>
        <w:tc>
          <w:tcPr>
            <w:tcW w:w="1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3,267,914</w:t>
            </w:r>
          </w:p>
        </w:tc>
        <w:tc>
          <w:tcPr>
            <w:tcW w:w="0" w:type="dxa"/>
            <w:vAlign w:val="bottom"/>
          </w:tcPr>
          <w:p>
            <w:pPr>
              <w:spacing w:after="0"/>
              <w:rPr>
                <w:sz w:val="1"/>
                <w:szCs w:val="1"/>
                <w:color w:val="auto"/>
              </w:rPr>
            </w:pPr>
          </w:p>
        </w:tc>
      </w:tr>
      <w:tr>
        <w:trPr>
          <w:trHeight w:val="201"/>
        </w:trPr>
        <w:tc>
          <w:tcPr>
            <w:tcW w:w="7860" w:type="dxa"/>
            <w:vAlign w:val="bottom"/>
            <w:gridSpan w:val="5"/>
          </w:tcPr>
          <w:p>
            <w:pPr>
              <w:ind w:left="620"/>
              <w:spacing w:after="0"/>
              <w:rPr>
                <w:sz w:val="20"/>
                <w:szCs w:val="20"/>
                <w:color w:val="auto"/>
              </w:rPr>
            </w:pPr>
            <w:r>
              <w:rPr>
                <w:rFonts w:ascii="Arial" w:cs="Arial" w:eastAsia="Arial" w:hAnsi="Arial"/>
                <w:sz w:val="15"/>
                <w:szCs w:val="15"/>
                <w:color w:val="auto"/>
              </w:rPr>
              <w:t>and December 31, 2021, respectively)</w:t>
            </w:r>
          </w:p>
        </w:tc>
        <w:tc>
          <w:tcPr>
            <w:tcW w:w="4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60" w:type="dxa"/>
            <w:vAlign w:val="bottom"/>
            <w:gridSpan w:val="5"/>
            <w:shd w:val="clear" w:color="auto" w:fill="CCEEFF"/>
          </w:tcPr>
          <w:p>
            <w:pPr>
              <w:ind w:left="320"/>
              <w:spacing w:after="0"/>
              <w:rPr>
                <w:sz w:val="20"/>
                <w:szCs w:val="20"/>
                <w:color w:val="auto"/>
              </w:rPr>
            </w:pPr>
            <w:r>
              <w:rPr>
                <w:rFonts w:ascii="Arial" w:cs="Arial" w:eastAsia="Arial" w:hAnsi="Arial"/>
                <w:sz w:val="15"/>
                <w:szCs w:val="15"/>
                <w:color w:val="auto"/>
              </w:rPr>
              <w:t>Unsecured senior notes, net</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9,491,714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9,483,695</w:t>
            </w:r>
          </w:p>
        </w:tc>
        <w:tc>
          <w:tcPr>
            <w:tcW w:w="0" w:type="dxa"/>
            <w:vAlign w:val="bottom"/>
          </w:tcPr>
          <w:p>
            <w:pPr>
              <w:spacing w:after="0"/>
              <w:rPr>
                <w:sz w:val="1"/>
                <w:szCs w:val="1"/>
                <w:color w:val="auto"/>
              </w:rPr>
            </w:pPr>
          </w:p>
        </w:tc>
      </w:tr>
      <w:tr>
        <w:trPr>
          <w:trHeight w:val="202"/>
        </w:trPr>
        <w:tc>
          <w:tcPr>
            <w:tcW w:w="7860" w:type="dxa"/>
            <w:vAlign w:val="bottom"/>
            <w:gridSpan w:val="5"/>
          </w:tcPr>
          <w:p>
            <w:pPr>
              <w:ind w:left="320"/>
              <w:spacing w:after="0"/>
              <w:rPr>
                <w:sz w:val="20"/>
                <w:szCs w:val="20"/>
                <w:color w:val="auto"/>
              </w:rPr>
            </w:pPr>
            <w:r>
              <w:rPr>
                <w:rFonts w:ascii="Arial" w:cs="Arial" w:eastAsia="Arial" w:hAnsi="Arial"/>
                <w:sz w:val="15"/>
                <w:szCs w:val="15"/>
                <w:color w:val="auto"/>
              </w:rPr>
              <w:t>Unsecured line of credit</w:t>
            </w:r>
          </w:p>
        </w:tc>
        <w:tc>
          <w:tcPr>
            <w:tcW w:w="44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340,000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145,000</w:t>
            </w:r>
          </w:p>
        </w:tc>
        <w:tc>
          <w:tcPr>
            <w:tcW w:w="0" w:type="dxa"/>
            <w:vAlign w:val="bottom"/>
          </w:tcPr>
          <w:p>
            <w:pPr>
              <w:spacing w:after="0"/>
              <w:rPr>
                <w:sz w:val="1"/>
                <w:szCs w:val="1"/>
                <w:color w:val="auto"/>
              </w:rPr>
            </w:pPr>
          </w:p>
        </w:tc>
      </w:tr>
      <w:tr>
        <w:trPr>
          <w:trHeight w:val="204"/>
        </w:trPr>
        <w:tc>
          <w:tcPr>
            <w:tcW w:w="7860" w:type="dxa"/>
            <w:vAlign w:val="bottom"/>
            <w:gridSpan w:val="5"/>
            <w:shd w:val="clear" w:color="auto" w:fill="CCEEFF"/>
          </w:tcPr>
          <w:p>
            <w:pPr>
              <w:ind w:left="320"/>
              <w:spacing w:after="0"/>
              <w:rPr>
                <w:sz w:val="20"/>
                <w:szCs w:val="20"/>
                <w:color w:val="auto"/>
              </w:rPr>
            </w:pPr>
            <w:r>
              <w:rPr>
                <w:rFonts w:ascii="Arial" w:cs="Arial" w:eastAsia="Arial" w:hAnsi="Arial"/>
                <w:sz w:val="15"/>
                <w:szCs w:val="15"/>
                <w:color w:val="auto"/>
              </w:rPr>
              <w:t>Unsecured term loan, net</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730,000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7860" w:type="dxa"/>
            <w:vAlign w:val="bottom"/>
            <w:gridSpan w:val="5"/>
          </w:tcPr>
          <w:p>
            <w:pPr>
              <w:ind w:left="320"/>
              <w:spacing w:after="0" w:line="153" w:lineRule="exact"/>
              <w:rPr>
                <w:sz w:val="20"/>
                <w:szCs w:val="20"/>
                <w:color w:val="auto"/>
              </w:rPr>
            </w:pPr>
            <w:r>
              <w:rPr>
                <w:rFonts w:ascii="Arial" w:cs="Arial" w:eastAsia="Arial" w:hAnsi="Arial"/>
                <w:sz w:val="15"/>
                <w:szCs w:val="15"/>
                <w:color w:val="auto"/>
              </w:rPr>
              <w:t>Lease liabilities - finance leases (amounts related to VIEs of $20,568 and $20,458 at September 30, 2022</w:t>
            </w:r>
          </w:p>
        </w:tc>
        <w:tc>
          <w:tcPr>
            <w:tcW w:w="440" w:type="dxa"/>
            <w:vAlign w:val="bottom"/>
          </w:tcPr>
          <w:p>
            <w:pPr>
              <w:spacing w:after="0"/>
              <w:rPr>
                <w:sz w:val="13"/>
                <w:szCs w:val="13"/>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248,092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244,421</w:t>
            </w:r>
          </w:p>
        </w:tc>
        <w:tc>
          <w:tcPr>
            <w:tcW w:w="0" w:type="dxa"/>
            <w:vAlign w:val="bottom"/>
          </w:tcPr>
          <w:p>
            <w:pPr>
              <w:spacing w:after="0"/>
              <w:rPr>
                <w:sz w:val="1"/>
                <w:szCs w:val="1"/>
                <w:color w:val="auto"/>
              </w:rPr>
            </w:pPr>
          </w:p>
        </w:tc>
      </w:tr>
      <w:tr>
        <w:trPr>
          <w:trHeight w:val="201"/>
        </w:trPr>
        <w:tc>
          <w:tcPr>
            <w:tcW w:w="7860" w:type="dxa"/>
            <w:vAlign w:val="bottom"/>
            <w:gridSpan w:val="5"/>
          </w:tcPr>
          <w:p>
            <w:pPr>
              <w:ind w:left="620"/>
              <w:spacing w:after="0"/>
              <w:rPr>
                <w:sz w:val="20"/>
                <w:szCs w:val="20"/>
                <w:color w:val="auto"/>
              </w:rPr>
            </w:pPr>
            <w:r>
              <w:rPr>
                <w:rFonts w:ascii="Arial" w:cs="Arial" w:eastAsia="Arial" w:hAnsi="Arial"/>
                <w:sz w:val="15"/>
                <w:szCs w:val="15"/>
                <w:color w:val="auto"/>
              </w:rPr>
              <w:t>and December 31, 2021, respectively)</w:t>
            </w:r>
          </w:p>
        </w:tc>
        <w:tc>
          <w:tcPr>
            <w:tcW w:w="4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60" w:type="dxa"/>
            <w:vAlign w:val="bottom"/>
            <w:gridSpan w:val="5"/>
            <w:shd w:val="clear" w:color="auto" w:fill="CCEEFF"/>
          </w:tcPr>
          <w:p>
            <w:pPr>
              <w:ind w:left="320"/>
              <w:spacing w:after="0"/>
              <w:rPr>
                <w:sz w:val="20"/>
                <w:szCs w:val="20"/>
                <w:color w:val="auto"/>
              </w:rPr>
            </w:pPr>
            <w:r>
              <w:rPr>
                <w:rFonts w:ascii="Arial" w:cs="Arial" w:eastAsia="Arial" w:hAnsi="Arial"/>
                <w:sz w:val="15"/>
                <w:szCs w:val="15"/>
                <w:color w:val="auto"/>
              </w:rPr>
              <w:t>Lease liabilities - operating leases</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205,008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204,561</w:t>
            </w:r>
          </w:p>
        </w:tc>
        <w:tc>
          <w:tcPr>
            <w:tcW w:w="0" w:type="dxa"/>
            <w:vAlign w:val="bottom"/>
          </w:tcPr>
          <w:p>
            <w:pPr>
              <w:spacing w:after="0"/>
              <w:rPr>
                <w:sz w:val="1"/>
                <w:szCs w:val="1"/>
                <w:color w:val="auto"/>
              </w:rPr>
            </w:pPr>
          </w:p>
        </w:tc>
      </w:tr>
      <w:tr>
        <w:trPr>
          <w:trHeight w:val="153"/>
        </w:trPr>
        <w:tc>
          <w:tcPr>
            <w:tcW w:w="7860" w:type="dxa"/>
            <w:vAlign w:val="bottom"/>
            <w:gridSpan w:val="5"/>
          </w:tcPr>
          <w:p>
            <w:pPr>
              <w:ind w:left="320"/>
              <w:spacing w:after="0" w:line="153" w:lineRule="exact"/>
              <w:rPr>
                <w:sz w:val="20"/>
                <w:szCs w:val="20"/>
                <w:color w:val="auto"/>
              </w:rPr>
            </w:pPr>
            <w:r>
              <w:rPr>
                <w:rFonts w:ascii="Arial" w:cs="Arial" w:eastAsia="Arial" w:hAnsi="Arial"/>
                <w:sz w:val="15"/>
                <w:szCs w:val="15"/>
                <w:color w:val="auto"/>
              </w:rPr>
              <w:t>Accounts payable and accrued expenses (amounts related to VIEs of $35,043 and $29,464 at September</w:t>
            </w:r>
          </w:p>
        </w:tc>
        <w:tc>
          <w:tcPr>
            <w:tcW w:w="440" w:type="dxa"/>
            <w:vAlign w:val="bottom"/>
          </w:tcPr>
          <w:p>
            <w:pPr>
              <w:spacing w:after="0"/>
              <w:rPr>
                <w:sz w:val="13"/>
                <w:szCs w:val="13"/>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360,572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320,775</w:t>
            </w:r>
          </w:p>
        </w:tc>
        <w:tc>
          <w:tcPr>
            <w:tcW w:w="0" w:type="dxa"/>
            <w:vAlign w:val="bottom"/>
          </w:tcPr>
          <w:p>
            <w:pPr>
              <w:spacing w:after="0"/>
              <w:rPr>
                <w:sz w:val="1"/>
                <w:szCs w:val="1"/>
                <w:color w:val="auto"/>
              </w:rPr>
            </w:pPr>
          </w:p>
        </w:tc>
      </w:tr>
      <w:tr>
        <w:trPr>
          <w:trHeight w:val="201"/>
        </w:trPr>
        <w:tc>
          <w:tcPr>
            <w:tcW w:w="7860" w:type="dxa"/>
            <w:vAlign w:val="bottom"/>
            <w:gridSpan w:val="5"/>
          </w:tcPr>
          <w:p>
            <w:pPr>
              <w:ind w:left="620"/>
              <w:spacing w:after="0"/>
              <w:rPr>
                <w:sz w:val="20"/>
                <w:szCs w:val="20"/>
                <w:color w:val="auto"/>
              </w:rPr>
            </w:pPr>
            <w:r>
              <w:rPr>
                <w:rFonts w:ascii="Arial" w:cs="Arial" w:eastAsia="Arial" w:hAnsi="Arial"/>
                <w:sz w:val="15"/>
                <w:szCs w:val="15"/>
                <w:color w:val="auto"/>
              </w:rPr>
              <w:t>30, 2022 and December 31, 2021, respectively)</w:t>
            </w:r>
          </w:p>
        </w:tc>
        <w:tc>
          <w:tcPr>
            <w:tcW w:w="4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60" w:type="dxa"/>
            <w:vAlign w:val="bottom"/>
            <w:gridSpan w:val="5"/>
            <w:shd w:val="clear" w:color="auto" w:fill="CCEEFF"/>
          </w:tcPr>
          <w:p>
            <w:pPr>
              <w:ind w:left="320"/>
              <w:spacing w:after="0"/>
              <w:rPr>
                <w:sz w:val="20"/>
                <w:szCs w:val="20"/>
                <w:color w:val="auto"/>
              </w:rPr>
            </w:pPr>
            <w:r>
              <w:rPr>
                <w:rFonts w:ascii="Arial" w:cs="Arial" w:eastAsia="Arial" w:hAnsi="Arial"/>
                <w:sz w:val="15"/>
                <w:szCs w:val="15"/>
                <w:color w:val="auto"/>
              </w:rPr>
              <w:t>Dividends and distributions payable</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170,952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169,859</w:t>
            </w:r>
          </w:p>
        </w:tc>
        <w:tc>
          <w:tcPr>
            <w:tcW w:w="0" w:type="dxa"/>
            <w:vAlign w:val="bottom"/>
          </w:tcPr>
          <w:p>
            <w:pPr>
              <w:spacing w:after="0"/>
              <w:rPr>
                <w:sz w:val="1"/>
                <w:szCs w:val="1"/>
                <w:color w:val="auto"/>
              </w:rPr>
            </w:pPr>
          </w:p>
        </w:tc>
      </w:tr>
      <w:tr>
        <w:trPr>
          <w:trHeight w:val="202"/>
        </w:trPr>
        <w:tc>
          <w:tcPr>
            <w:tcW w:w="7860" w:type="dxa"/>
            <w:vAlign w:val="bottom"/>
            <w:gridSpan w:val="5"/>
          </w:tcPr>
          <w:p>
            <w:pPr>
              <w:ind w:left="320"/>
              <w:spacing w:after="0"/>
              <w:rPr>
                <w:sz w:val="20"/>
                <w:szCs w:val="20"/>
                <w:color w:val="auto"/>
              </w:rPr>
            </w:pPr>
            <w:r>
              <w:rPr>
                <w:rFonts w:ascii="Arial" w:cs="Arial" w:eastAsia="Arial" w:hAnsi="Arial"/>
                <w:sz w:val="15"/>
                <w:szCs w:val="15"/>
                <w:color w:val="auto"/>
              </w:rPr>
              <w:t>Accrued interest payable</w:t>
            </w:r>
          </w:p>
        </w:tc>
        <w:tc>
          <w:tcPr>
            <w:tcW w:w="44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91,885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94,796</w:t>
            </w:r>
          </w:p>
        </w:tc>
        <w:tc>
          <w:tcPr>
            <w:tcW w:w="0" w:type="dxa"/>
            <w:vAlign w:val="bottom"/>
          </w:tcPr>
          <w:p>
            <w:pPr>
              <w:spacing w:after="0"/>
              <w:rPr>
                <w:sz w:val="1"/>
                <w:szCs w:val="1"/>
                <w:color w:val="auto"/>
              </w:rPr>
            </w:pPr>
          </w:p>
        </w:tc>
      </w:tr>
      <w:tr>
        <w:trPr>
          <w:trHeight w:val="154"/>
        </w:trPr>
        <w:tc>
          <w:tcPr>
            <w:tcW w:w="7860" w:type="dxa"/>
            <w:vAlign w:val="bottom"/>
            <w:gridSpan w:val="5"/>
            <w:shd w:val="clear" w:color="auto" w:fill="CCEEFF"/>
          </w:tcPr>
          <w:p>
            <w:pPr>
              <w:ind w:left="320"/>
              <w:spacing w:after="0" w:line="154" w:lineRule="exact"/>
              <w:rPr>
                <w:sz w:val="20"/>
                <w:szCs w:val="20"/>
                <w:color w:val="auto"/>
              </w:rPr>
            </w:pPr>
            <w:r>
              <w:rPr>
                <w:rFonts w:ascii="Arial" w:cs="Arial" w:eastAsia="Arial" w:hAnsi="Arial"/>
                <w:sz w:val="15"/>
                <w:szCs w:val="15"/>
                <w:color w:val="auto"/>
              </w:rPr>
              <w:t>Other liabilities (amounts related to VIEs of $104,663 and $150,131 at September 30, 2022 and</w:t>
            </w:r>
          </w:p>
        </w:tc>
        <w:tc>
          <w:tcPr>
            <w:tcW w:w="4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417,255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391,441</w:t>
            </w:r>
          </w:p>
        </w:tc>
        <w:tc>
          <w:tcPr>
            <w:tcW w:w="0" w:type="dxa"/>
            <w:vAlign w:val="bottom"/>
          </w:tcPr>
          <w:p>
            <w:pPr>
              <w:spacing w:after="0"/>
              <w:rPr>
                <w:sz w:val="1"/>
                <w:szCs w:val="1"/>
                <w:color w:val="auto"/>
              </w:rPr>
            </w:pPr>
          </w:p>
        </w:tc>
      </w:tr>
      <w:tr>
        <w:trPr>
          <w:trHeight w:val="203"/>
        </w:trPr>
        <w:tc>
          <w:tcPr>
            <w:tcW w:w="7860" w:type="dxa"/>
            <w:vAlign w:val="bottom"/>
            <w:gridSpan w:val="5"/>
            <w:shd w:val="clear" w:color="auto" w:fill="CCEEFF"/>
          </w:tcPr>
          <w:p>
            <w:pPr>
              <w:ind w:left="620"/>
              <w:spacing w:after="0"/>
              <w:rPr>
                <w:sz w:val="20"/>
                <w:szCs w:val="20"/>
                <w:color w:val="auto"/>
              </w:rPr>
            </w:pPr>
            <w:r>
              <w:rPr>
                <w:rFonts w:ascii="Arial" w:cs="Arial" w:eastAsia="Arial" w:hAnsi="Arial"/>
                <w:sz w:val="15"/>
                <w:szCs w:val="15"/>
                <w:color w:val="auto"/>
              </w:rPr>
              <w:t>December 31, 2021, respectively)</w:t>
            </w:r>
          </w:p>
        </w:tc>
        <w:tc>
          <w:tcPr>
            <w:tcW w:w="4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860" w:type="dxa"/>
            <w:vAlign w:val="bottom"/>
            <w:tcBorders>
              <w:bottom w:val="single" w:sz="8" w:color="CCEEFF"/>
            </w:tcBorders>
            <w:gridSpan w:val="5"/>
          </w:tcPr>
          <w:p>
            <w:pPr>
              <w:ind w:left="620"/>
              <w:spacing w:after="0"/>
              <w:rPr>
                <w:sz w:val="20"/>
                <w:szCs w:val="20"/>
                <w:color w:val="auto"/>
              </w:rPr>
            </w:pPr>
            <w:r>
              <w:rPr>
                <w:rFonts w:ascii="Arial" w:cs="Arial" w:eastAsia="Arial" w:hAnsi="Arial"/>
                <w:sz w:val="15"/>
                <w:szCs w:val="15"/>
                <w:color w:val="auto"/>
              </w:rPr>
              <w:t>Total liabilities</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15,326,635</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14,322,462</w:t>
            </w:r>
          </w:p>
        </w:tc>
        <w:tc>
          <w:tcPr>
            <w:tcW w:w="0" w:type="dxa"/>
            <w:vAlign w:val="bottom"/>
          </w:tcPr>
          <w:p>
            <w:pPr>
              <w:spacing w:after="0"/>
              <w:rPr>
                <w:sz w:val="1"/>
                <w:szCs w:val="1"/>
                <w:color w:val="auto"/>
              </w:rPr>
            </w:pPr>
          </w:p>
        </w:tc>
      </w:tr>
      <w:tr>
        <w:trPr>
          <w:trHeight w:val="184"/>
        </w:trPr>
        <w:tc>
          <w:tcPr>
            <w:tcW w:w="7860" w:type="dxa"/>
            <w:vAlign w:val="bottom"/>
            <w:gridSpan w:val="5"/>
            <w:shd w:val="clear" w:color="auto" w:fill="CCEEFF"/>
          </w:tcPr>
          <w:p>
            <w:pPr>
              <w:ind w:left="20"/>
              <w:spacing w:after="0"/>
              <w:rPr>
                <w:sz w:val="20"/>
                <w:szCs w:val="20"/>
                <w:color w:val="auto"/>
              </w:rPr>
            </w:pPr>
            <w:r>
              <w:rPr>
                <w:rFonts w:ascii="Arial" w:cs="Arial" w:eastAsia="Arial" w:hAnsi="Arial"/>
                <w:sz w:val="15"/>
                <w:szCs w:val="15"/>
                <w:color w:val="auto"/>
              </w:rPr>
              <w:t>Commitments and contingencies (See Note 7)</w:t>
            </w:r>
          </w:p>
        </w:tc>
        <w:tc>
          <w:tcPr>
            <w:tcW w:w="4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860" w:type="dxa"/>
            <w:vAlign w:val="bottom"/>
            <w:gridSpan w:val="5"/>
          </w:tcPr>
          <w:p>
            <w:pPr>
              <w:ind w:left="20"/>
              <w:spacing w:after="0" w:line="153" w:lineRule="exact"/>
              <w:rPr>
                <w:sz w:val="20"/>
                <w:szCs w:val="20"/>
                <w:color w:val="auto"/>
              </w:rPr>
            </w:pPr>
            <w:r>
              <w:rPr>
                <w:rFonts w:ascii="Arial" w:cs="Arial" w:eastAsia="Arial" w:hAnsi="Arial"/>
                <w:sz w:val="15"/>
                <w:szCs w:val="15"/>
                <w:color w:val="auto"/>
              </w:rPr>
              <w:t>Redeemable deferred stock units— 93,175 and 83,073 units outstanding at redemption value at September 30,</w:t>
            </w:r>
          </w:p>
        </w:tc>
        <w:tc>
          <w:tcPr>
            <w:tcW w:w="440" w:type="dxa"/>
            <w:vAlign w:val="bottom"/>
          </w:tcPr>
          <w:p>
            <w:pPr>
              <w:spacing w:after="0"/>
              <w:rPr>
                <w:sz w:val="13"/>
                <w:szCs w:val="13"/>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6,985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9,568</w:t>
            </w:r>
          </w:p>
        </w:tc>
        <w:tc>
          <w:tcPr>
            <w:tcW w:w="0" w:type="dxa"/>
            <w:vAlign w:val="bottom"/>
          </w:tcPr>
          <w:p>
            <w:pPr>
              <w:spacing w:after="0"/>
              <w:rPr>
                <w:sz w:val="1"/>
                <w:szCs w:val="1"/>
                <w:color w:val="auto"/>
              </w:rPr>
            </w:pPr>
          </w:p>
        </w:tc>
      </w:tr>
      <w:tr>
        <w:trPr>
          <w:trHeight w:val="201"/>
        </w:trPr>
        <w:tc>
          <w:tcPr>
            <w:tcW w:w="7860" w:type="dxa"/>
            <w:vAlign w:val="bottom"/>
            <w:gridSpan w:val="5"/>
          </w:tcPr>
          <w:p>
            <w:pPr>
              <w:ind w:left="320"/>
              <w:spacing w:after="0"/>
              <w:rPr>
                <w:sz w:val="20"/>
                <w:szCs w:val="20"/>
                <w:color w:val="auto"/>
              </w:rPr>
            </w:pPr>
            <w:r>
              <w:rPr>
                <w:rFonts w:ascii="Arial" w:cs="Arial" w:eastAsia="Arial" w:hAnsi="Arial"/>
                <w:sz w:val="15"/>
                <w:szCs w:val="15"/>
                <w:color w:val="auto"/>
              </w:rPr>
              <w:t>2022 and December 31, 2021, respectively</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BOSTON PROPERTIES LIMITED PARTNERSHIP</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 except for unit amounts)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780" w:type="dxa"/>
            <w:vAlign w:val="bottom"/>
            <w:gridSpan w:val="3"/>
          </w:tcPr>
          <w:p>
            <w:pPr>
              <w:ind w:left="80"/>
              <w:spacing w:after="0"/>
              <w:rPr>
                <w:sz w:val="20"/>
                <w:szCs w:val="20"/>
                <w:color w:val="auto"/>
              </w:rPr>
            </w:pPr>
            <w:r>
              <w:rPr>
                <w:rFonts w:ascii="Arial" w:cs="Arial" w:eastAsia="Arial" w:hAnsi="Arial"/>
                <w:sz w:val="15"/>
                <w:szCs w:val="15"/>
                <w:b w:val="1"/>
                <w:bCs w:val="1"/>
                <w:color w:val="auto"/>
              </w:rPr>
              <w:t>September 30, 2022</w:t>
            </w:r>
          </w:p>
        </w:tc>
        <w:tc>
          <w:tcPr>
            <w:tcW w:w="120" w:type="dxa"/>
            <w:vAlign w:val="bottom"/>
          </w:tcPr>
          <w:p>
            <w:pPr>
              <w:spacing w:after="0"/>
              <w:rPr>
                <w:sz w:val="16"/>
                <w:szCs w:val="16"/>
                <w:color w:val="auto"/>
              </w:rPr>
            </w:pPr>
          </w:p>
        </w:tc>
        <w:tc>
          <w:tcPr>
            <w:tcW w:w="1480" w:type="dxa"/>
            <w:vAlign w:val="bottom"/>
          </w:tcPr>
          <w:p>
            <w:pPr>
              <w:jc w:val="right"/>
              <w:ind w:right="24"/>
              <w:spacing w:after="0"/>
              <w:rPr>
                <w:sz w:val="20"/>
                <w:szCs w:val="20"/>
                <w:color w:val="auto"/>
              </w:rPr>
            </w:pPr>
            <w:r>
              <w:rPr>
                <w:rFonts w:ascii="Arial" w:cs="Arial" w:eastAsia="Arial" w:hAnsi="Arial"/>
                <w:sz w:val="15"/>
                <w:szCs w:val="15"/>
                <w:b w:val="1"/>
                <w:bCs w:val="1"/>
                <w:color w:val="auto"/>
              </w:rPr>
              <w:t>December 31, 2021</w:t>
            </w:r>
          </w:p>
        </w:tc>
        <w:tc>
          <w:tcPr>
            <w:tcW w:w="0" w:type="dxa"/>
            <w:vAlign w:val="bottom"/>
          </w:tcPr>
          <w:p>
            <w:pPr>
              <w:spacing w:after="0"/>
              <w:rPr>
                <w:sz w:val="1"/>
                <w:szCs w:val="1"/>
                <w:color w:val="auto"/>
              </w:rPr>
            </w:pPr>
          </w:p>
        </w:tc>
      </w:tr>
      <w:tr>
        <w:trPr>
          <w:trHeight w:val="18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Noncontrolling interests:</w:t>
            </w:r>
          </w:p>
        </w:tc>
        <w:tc>
          <w:tcPr>
            <w:tcW w:w="4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860" w:type="dxa"/>
            <w:vAlign w:val="bottom"/>
          </w:tcPr>
          <w:p>
            <w:pPr>
              <w:ind w:left="320"/>
              <w:spacing w:after="0" w:line="153" w:lineRule="exact"/>
              <w:rPr>
                <w:sz w:val="20"/>
                <w:szCs w:val="20"/>
                <w:color w:val="auto"/>
              </w:rPr>
            </w:pPr>
            <w:r>
              <w:rPr>
                <w:rFonts w:ascii="Arial" w:cs="Arial" w:eastAsia="Arial" w:hAnsi="Arial"/>
                <w:sz w:val="15"/>
                <w:szCs w:val="15"/>
                <w:color w:val="auto"/>
              </w:rPr>
              <w:t>Redeemable partnership units— 16,535,172 and 16,561,186 common units and 1,680,123 and 1,485,376</w:t>
            </w: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860" w:type="dxa"/>
            <w:vAlign w:val="bottom"/>
          </w:tcPr>
          <w:p>
            <w:pPr>
              <w:ind w:left="620"/>
              <w:spacing w:after="0" w:line="152" w:lineRule="exact"/>
              <w:rPr>
                <w:sz w:val="20"/>
                <w:szCs w:val="20"/>
                <w:color w:val="auto"/>
              </w:rPr>
            </w:pPr>
            <w:r>
              <w:rPr>
                <w:rFonts w:ascii="Arial" w:cs="Arial" w:eastAsia="Arial" w:hAnsi="Arial"/>
                <w:sz w:val="15"/>
                <w:szCs w:val="15"/>
                <w:color w:val="auto"/>
              </w:rPr>
              <w:t>long term incentive units outstanding at redemption value at September 30, 2022 and December 31,</w:t>
            </w:r>
          </w:p>
        </w:tc>
        <w:tc>
          <w:tcPr>
            <w:tcW w:w="440" w:type="dxa"/>
            <w:vAlign w:val="bottom"/>
          </w:tcPr>
          <w:p>
            <w:pPr>
              <w:spacing w:after="0"/>
              <w:rPr>
                <w:sz w:val="13"/>
                <w:szCs w:val="13"/>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1,407,762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2,078,603</w:t>
            </w:r>
          </w:p>
        </w:tc>
        <w:tc>
          <w:tcPr>
            <w:tcW w:w="0" w:type="dxa"/>
            <w:vAlign w:val="bottom"/>
          </w:tcPr>
          <w:p>
            <w:pPr>
              <w:spacing w:after="0"/>
              <w:rPr>
                <w:sz w:val="1"/>
                <w:szCs w:val="1"/>
                <w:color w:val="auto"/>
              </w:rPr>
            </w:pPr>
          </w:p>
        </w:tc>
      </w:tr>
      <w:tr>
        <w:trPr>
          <w:trHeight w:val="201"/>
        </w:trPr>
        <w:tc>
          <w:tcPr>
            <w:tcW w:w="7860" w:type="dxa"/>
            <w:vAlign w:val="bottom"/>
            <w:tcBorders>
              <w:bottom w:val="single" w:sz="8" w:color="CCEEFF"/>
            </w:tcBorders>
          </w:tcPr>
          <w:p>
            <w:pPr>
              <w:ind w:left="620"/>
              <w:spacing w:after="0"/>
              <w:rPr>
                <w:sz w:val="20"/>
                <w:szCs w:val="20"/>
                <w:color w:val="auto"/>
              </w:rPr>
            </w:pPr>
            <w:r>
              <w:rPr>
                <w:rFonts w:ascii="Arial" w:cs="Arial" w:eastAsia="Arial" w:hAnsi="Arial"/>
                <w:sz w:val="15"/>
                <w:szCs w:val="15"/>
                <w:color w:val="auto"/>
              </w:rPr>
              <w:t>2021, respectively</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Capital:</w:t>
            </w:r>
          </w:p>
        </w:tc>
        <w:tc>
          <w:tcPr>
            <w:tcW w:w="4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860" w:type="dxa"/>
            <w:vAlign w:val="bottom"/>
          </w:tcPr>
          <w:p>
            <w:pPr>
              <w:ind w:left="320"/>
              <w:spacing w:after="0" w:line="153" w:lineRule="exact"/>
              <w:rPr>
                <w:sz w:val="20"/>
                <w:szCs w:val="20"/>
                <w:color w:val="auto"/>
              </w:rPr>
            </w:pPr>
            <w:r>
              <w:rPr>
                <w:rFonts w:ascii="Arial" w:cs="Arial" w:eastAsia="Arial" w:hAnsi="Arial"/>
                <w:sz w:val="15"/>
                <w:szCs w:val="15"/>
                <w:color w:val="auto"/>
              </w:rPr>
              <w:t>Boston Properties Limited Partnership partners’ capital— 1,749,700 and 1,745,914 general partner units and</w:t>
            </w: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860" w:type="dxa"/>
            <w:vAlign w:val="bottom"/>
          </w:tcPr>
          <w:p>
            <w:pPr>
              <w:ind w:left="620"/>
              <w:spacing w:after="0" w:line="152" w:lineRule="exact"/>
              <w:rPr>
                <w:sz w:val="20"/>
                <w:szCs w:val="20"/>
                <w:color w:val="auto"/>
              </w:rPr>
            </w:pPr>
            <w:r>
              <w:rPr>
                <w:rFonts w:ascii="Arial" w:cs="Arial" w:eastAsia="Arial" w:hAnsi="Arial"/>
                <w:sz w:val="15"/>
                <w:szCs w:val="15"/>
                <w:color w:val="auto"/>
              </w:rPr>
              <w:t>155,005,012 and 154,798,935 limited partner units outstanding at September 30, 2022 and</w:t>
            </w:r>
          </w:p>
        </w:tc>
        <w:tc>
          <w:tcPr>
            <w:tcW w:w="440" w:type="dxa"/>
            <w:vAlign w:val="bottom"/>
          </w:tcPr>
          <w:p>
            <w:pPr>
              <w:spacing w:after="0"/>
              <w:rPr>
                <w:sz w:val="13"/>
                <w:szCs w:val="13"/>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5,197,585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4,173,290</w:t>
            </w:r>
          </w:p>
        </w:tc>
        <w:tc>
          <w:tcPr>
            <w:tcW w:w="0" w:type="dxa"/>
            <w:vAlign w:val="bottom"/>
          </w:tcPr>
          <w:p>
            <w:pPr>
              <w:spacing w:after="0"/>
              <w:rPr>
                <w:sz w:val="1"/>
                <w:szCs w:val="1"/>
                <w:color w:val="auto"/>
              </w:rPr>
            </w:pPr>
          </w:p>
        </w:tc>
      </w:tr>
      <w:tr>
        <w:trPr>
          <w:trHeight w:val="201"/>
        </w:trPr>
        <w:tc>
          <w:tcPr>
            <w:tcW w:w="7860" w:type="dxa"/>
            <w:vAlign w:val="bottom"/>
          </w:tcPr>
          <w:p>
            <w:pPr>
              <w:ind w:left="620"/>
              <w:spacing w:after="0"/>
              <w:rPr>
                <w:sz w:val="20"/>
                <w:szCs w:val="20"/>
                <w:color w:val="auto"/>
              </w:rPr>
            </w:pPr>
            <w:r>
              <w:rPr>
                <w:rFonts w:ascii="Arial" w:cs="Arial" w:eastAsia="Arial" w:hAnsi="Arial"/>
                <w:sz w:val="15"/>
                <w:szCs w:val="15"/>
                <w:color w:val="auto"/>
              </w:rPr>
              <w:t>December 31, 2021, respectively</w:t>
            </w:r>
          </w:p>
        </w:tc>
        <w:tc>
          <w:tcPr>
            <w:tcW w:w="4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Accumulated other comprehensive loss</w:t>
            </w:r>
          </w:p>
        </w:tc>
        <w:tc>
          <w:tcPr>
            <w:tcW w:w="4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(15,991)</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(36,662)</w:t>
            </w:r>
          </w:p>
        </w:tc>
        <w:tc>
          <w:tcPr>
            <w:tcW w:w="0" w:type="dxa"/>
            <w:vAlign w:val="bottom"/>
          </w:tcPr>
          <w:p>
            <w:pPr>
              <w:spacing w:after="0"/>
              <w:rPr>
                <w:sz w:val="1"/>
                <w:szCs w:val="1"/>
                <w:color w:val="auto"/>
              </w:rPr>
            </w:pPr>
          </w:p>
        </w:tc>
      </w:tr>
      <w:tr>
        <w:trPr>
          <w:trHeight w:val="194"/>
        </w:trPr>
        <w:tc>
          <w:tcPr>
            <w:tcW w:w="7860" w:type="dxa"/>
            <w:vAlign w:val="bottom"/>
          </w:tcPr>
          <w:p>
            <w:pPr>
              <w:ind w:left="620"/>
              <w:spacing w:after="0"/>
              <w:rPr>
                <w:sz w:val="20"/>
                <w:szCs w:val="20"/>
                <w:color w:val="auto"/>
              </w:rPr>
            </w:pPr>
            <w:r>
              <w:rPr>
                <w:rFonts w:ascii="Arial" w:cs="Arial" w:eastAsia="Arial" w:hAnsi="Arial"/>
                <w:sz w:val="15"/>
                <w:szCs w:val="15"/>
                <w:color w:val="auto"/>
              </w:rPr>
              <w:t>Total partners’ capital</w:t>
            </w:r>
          </w:p>
        </w:tc>
        <w:tc>
          <w:tcPr>
            <w:tcW w:w="440" w:type="dxa"/>
            <w:vAlign w:val="bottom"/>
          </w:tcPr>
          <w:p>
            <w:pPr>
              <w:spacing w:after="0"/>
              <w:rPr>
                <w:sz w:val="16"/>
                <w:szCs w:val="16"/>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5,181,594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4,136,628</w:t>
            </w:r>
          </w:p>
        </w:tc>
        <w:tc>
          <w:tcPr>
            <w:tcW w:w="0" w:type="dxa"/>
            <w:vAlign w:val="bottom"/>
          </w:tcPr>
          <w:p>
            <w:pPr>
              <w:spacing w:after="0"/>
              <w:rPr>
                <w:sz w:val="1"/>
                <w:szCs w:val="1"/>
                <w:color w:val="auto"/>
              </w:rPr>
            </w:pPr>
          </w:p>
        </w:tc>
      </w:tr>
      <w:tr>
        <w:trPr>
          <w:trHeight w:val="204"/>
        </w:trPr>
        <w:tc>
          <w:tcPr>
            <w:tcW w:w="7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Noncontrolling interests in property partnerships</w:t>
            </w:r>
          </w:p>
        </w:tc>
        <w:tc>
          <w:tcPr>
            <w:tcW w:w="4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1,551,501</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1,556,553</w:t>
            </w:r>
          </w:p>
        </w:tc>
        <w:tc>
          <w:tcPr>
            <w:tcW w:w="0" w:type="dxa"/>
            <w:vAlign w:val="bottom"/>
          </w:tcPr>
          <w:p>
            <w:pPr>
              <w:spacing w:after="0"/>
              <w:rPr>
                <w:sz w:val="1"/>
                <w:szCs w:val="1"/>
                <w:color w:val="auto"/>
              </w:rPr>
            </w:pPr>
          </w:p>
        </w:tc>
      </w:tr>
      <w:tr>
        <w:trPr>
          <w:trHeight w:val="194"/>
        </w:trPr>
        <w:tc>
          <w:tcPr>
            <w:tcW w:w="7860" w:type="dxa"/>
            <w:vAlign w:val="bottom"/>
            <w:tcBorders>
              <w:bottom w:val="single" w:sz="8" w:color="CCEEFF"/>
            </w:tcBorders>
          </w:tcPr>
          <w:p>
            <w:pPr>
              <w:ind w:left="620"/>
              <w:spacing w:after="0"/>
              <w:rPr>
                <w:sz w:val="20"/>
                <w:szCs w:val="20"/>
                <w:color w:val="auto"/>
              </w:rPr>
            </w:pPr>
            <w:r>
              <w:rPr>
                <w:rFonts w:ascii="Arial" w:cs="Arial" w:eastAsia="Arial" w:hAnsi="Arial"/>
                <w:sz w:val="15"/>
                <w:szCs w:val="15"/>
                <w:color w:val="auto"/>
              </w:rPr>
              <w:t>Total capital</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6,733,095</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5,693,181</w:t>
            </w:r>
          </w:p>
        </w:tc>
        <w:tc>
          <w:tcPr>
            <w:tcW w:w="0" w:type="dxa"/>
            <w:vAlign w:val="bottom"/>
          </w:tcPr>
          <w:p>
            <w:pPr>
              <w:spacing w:after="0"/>
              <w:rPr>
                <w:sz w:val="1"/>
                <w:szCs w:val="1"/>
                <w:color w:val="auto"/>
              </w:rPr>
            </w:pPr>
          </w:p>
        </w:tc>
      </w:tr>
      <w:tr>
        <w:trPr>
          <w:trHeight w:val="221"/>
        </w:trPr>
        <w:tc>
          <w:tcPr>
            <w:tcW w:w="7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5"/>
                <w:szCs w:val="15"/>
                <w:color w:val="auto"/>
              </w:rPr>
              <w:t>Total liabilities and capital</w:t>
            </w: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23,474,477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22,103,814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ectPr>
          <w:pgSz w:w="11900" w:h="16838" w:orient="portrait"/>
          <w:cols w:equalWidth="0" w:num="1">
            <w:col w:w="11240"/>
          </w:cols>
          <w:pgMar w:left="320" w:top="275"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74295</wp:posOffset>
            </wp:positionV>
            <wp:extent cx="716597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BOSTON PROPERTIES LIMITED PARTNERSHIP</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 except for per unit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5"/>
          </w:tcPr>
          <w:p>
            <w:pPr>
              <w:jc w:val="center"/>
              <w:ind w:right="460"/>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Pr>
          <w:p>
            <w:pPr>
              <w:spacing w:after="0"/>
              <w:rPr>
                <w:sz w:val="14"/>
                <w:szCs w:val="14"/>
                <w:color w:val="auto"/>
              </w:rPr>
            </w:pPr>
          </w:p>
        </w:tc>
        <w:tc>
          <w:tcPr>
            <w:tcW w:w="2060" w:type="dxa"/>
            <w:vAlign w:val="bottom"/>
            <w:gridSpan w:val="4"/>
          </w:tcPr>
          <w:p>
            <w:pPr>
              <w:jc w:val="right"/>
              <w:ind w:right="344"/>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203"/>
        </w:trPr>
        <w:tc>
          <w:tcPr>
            <w:tcW w:w="6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center"/>
              <w:ind w:right="460"/>
              <w:spacing w:after="0"/>
              <w:rPr>
                <w:sz w:val="20"/>
                <w:szCs w:val="20"/>
                <w:color w:val="auto"/>
              </w:rPr>
            </w:pPr>
            <w:r>
              <w:rPr>
                <w:rFonts w:ascii="Arial" w:cs="Arial" w:eastAsia="Arial" w:hAnsi="Arial"/>
                <w:sz w:val="15"/>
                <w:szCs w:val="15"/>
                <w:b w:val="1"/>
                <w:bCs w:val="1"/>
                <w:color w:val="auto"/>
              </w:rPr>
              <w:t>September 30,</w:t>
            </w:r>
          </w:p>
        </w:tc>
        <w:tc>
          <w:tcPr>
            <w:tcW w:w="200" w:type="dxa"/>
            <w:vAlign w:val="bottom"/>
          </w:tcPr>
          <w:p>
            <w:pPr>
              <w:spacing w:after="0"/>
              <w:rPr>
                <w:sz w:val="17"/>
                <w:szCs w:val="17"/>
                <w:color w:val="auto"/>
              </w:rPr>
            </w:pPr>
          </w:p>
        </w:tc>
        <w:tc>
          <w:tcPr>
            <w:tcW w:w="2060" w:type="dxa"/>
            <w:vAlign w:val="bottom"/>
            <w:gridSpan w:val="4"/>
          </w:tcPr>
          <w:p>
            <w:pPr>
              <w:jc w:val="right"/>
              <w:ind w:right="524"/>
              <w:spacing w:after="0"/>
              <w:rPr>
                <w:sz w:val="20"/>
                <w:szCs w:val="20"/>
                <w:color w:val="auto"/>
              </w:rPr>
            </w:pPr>
            <w:r>
              <w:rPr>
                <w:rFonts w:ascii="Arial" w:cs="Arial" w:eastAsia="Arial" w:hAnsi="Arial"/>
                <w:sz w:val="15"/>
                <w:szCs w:val="15"/>
                <w:b w:val="1"/>
                <w:bCs w:val="1"/>
                <w:color w:val="auto"/>
              </w:rPr>
              <w:t>September 30,</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2022</w:t>
            </w:r>
          </w:p>
        </w:tc>
        <w:tc>
          <w:tcPr>
            <w:tcW w:w="18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2022</w:t>
            </w:r>
          </w:p>
        </w:tc>
        <w:tc>
          <w:tcPr>
            <w:tcW w:w="18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83"/>
        </w:trPr>
        <w:tc>
          <w:tcPr>
            <w:tcW w:w="6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480" w:type="dxa"/>
            <w:vAlign w:val="bottom"/>
          </w:tcPr>
          <w:p>
            <w:pPr>
              <w:ind w:left="320"/>
              <w:spacing w:after="0"/>
              <w:rPr>
                <w:sz w:val="20"/>
                <w:szCs w:val="20"/>
                <w:color w:val="auto"/>
              </w:rPr>
            </w:pPr>
            <w:r>
              <w:rPr>
                <w:rFonts w:ascii="Arial" w:cs="Arial" w:eastAsia="Arial" w:hAnsi="Arial"/>
                <w:sz w:val="15"/>
                <w:szCs w:val="15"/>
                <w:color w:val="auto"/>
              </w:rPr>
              <w:t>Lease</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739,255</w:t>
            </w:r>
          </w:p>
        </w:tc>
        <w:tc>
          <w:tcPr>
            <w:tcW w:w="1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692,260</w:t>
            </w:r>
          </w:p>
        </w:tc>
        <w:tc>
          <w:tcPr>
            <w:tcW w:w="24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2,179,274</w:t>
            </w:r>
          </w:p>
        </w:tc>
        <w:tc>
          <w:tcPr>
            <w:tcW w:w="1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2,062,102</w:t>
            </w:r>
          </w:p>
        </w:tc>
        <w:tc>
          <w:tcPr>
            <w:tcW w:w="0" w:type="dxa"/>
            <w:vAlign w:val="bottom"/>
          </w:tcPr>
          <w:p>
            <w:pPr>
              <w:spacing w:after="0"/>
              <w:rPr>
                <w:sz w:val="1"/>
                <w:szCs w:val="1"/>
                <w:color w:val="auto"/>
              </w:rPr>
            </w:pP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Parking and other</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28,154</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23,507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80,234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58,727</w:t>
            </w:r>
          </w:p>
        </w:tc>
        <w:tc>
          <w:tcPr>
            <w:tcW w:w="0" w:type="dxa"/>
            <w:vAlign w:val="bottom"/>
          </w:tcPr>
          <w:p>
            <w:pPr>
              <w:spacing w:after="0"/>
              <w:rPr>
                <w:sz w:val="1"/>
                <w:szCs w:val="1"/>
                <w:color w:val="auto"/>
              </w:rPr>
            </w:pPr>
          </w:p>
        </w:tc>
      </w:tr>
      <w:tr>
        <w:trPr>
          <w:trHeight w:val="202"/>
        </w:trPr>
        <w:tc>
          <w:tcPr>
            <w:tcW w:w="6480" w:type="dxa"/>
            <w:vAlign w:val="bottom"/>
          </w:tcPr>
          <w:p>
            <w:pPr>
              <w:ind w:left="320"/>
              <w:spacing w:after="0"/>
              <w:rPr>
                <w:sz w:val="20"/>
                <w:szCs w:val="20"/>
                <w:color w:val="auto"/>
              </w:rPr>
            </w:pPr>
            <w:r>
              <w:rPr>
                <w:rFonts w:ascii="Arial" w:cs="Arial" w:eastAsia="Arial" w:hAnsi="Arial"/>
                <w:sz w:val="15"/>
                <w:szCs w:val="15"/>
                <w:color w:val="auto"/>
              </w:rPr>
              <w:t>Hotel</w:t>
            </w:r>
          </w:p>
        </w:tc>
        <w:tc>
          <w:tcPr>
            <w:tcW w:w="2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11,749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5,189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28,395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7,382</w:t>
            </w:r>
          </w:p>
        </w:tc>
        <w:tc>
          <w:tcPr>
            <w:tcW w:w="0" w:type="dxa"/>
            <w:vAlign w:val="bottom"/>
          </w:tcPr>
          <w:p>
            <w:pPr>
              <w:spacing w:after="0"/>
              <w:rPr>
                <w:sz w:val="1"/>
                <w:szCs w:val="1"/>
                <w:color w:val="auto"/>
              </w:rPr>
            </w:pP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Development and management services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7,465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19,650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20,181</w:t>
            </w:r>
          </w:p>
        </w:tc>
        <w:tc>
          <w:tcPr>
            <w:tcW w:w="0" w:type="dxa"/>
            <w:vAlign w:val="bottom"/>
          </w:tcPr>
          <w:p>
            <w:pPr>
              <w:spacing w:after="0"/>
              <w:rPr>
                <w:sz w:val="1"/>
                <w:szCs w:val="1"/>
                <w:color w:val="auto"/>
              </w:rPr>
            </w:pPr>
          </w:p>
        </w:tc>
      </w:tr>
      <w:tr>
        <w:trPr>
          <w:trHeight w:val="202"/>
        </w:trPr>
        <w:tc>
          <w:tcPr>
            <w:tcW w:w="64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Direct reimbursements of payroll and related costs from management services contracts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3,900</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3,006</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11,204</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9,166</w:t>
            </w:r>
          </w:p>
        </w:tc>
        <w:tc>
          <w:tcPr>
            <w:tcW w:w="0" w:type="dxa"/>
            <w:vAlign w:val="bottom"/>
          </w:tcPr>
          <w:p>
            <w:pPr>
              <w:spacing w:after="0"/>
              <w:rPr>
                <w:sz w:val="1"/>
                <w:szCs w:val="1"/>
                <w:color w:val="auto"/>
              </w:rPr>
            </w:pPr>
          </w:p>
        </w:tc>
      </w:tr>
      <w:tr>
        <w:trPr>
          <w:trHeight w:val="197"/>
        </w:trPr>
        <w:tc>
          <w:tcPr>
            <w:tcW w:w="6480" w:type="dxa"/>
            <w:vAlign w:val="bottom"/>
            <w:shd w:val="clear" w:color="auto" w:fill="CCEEFF"/>
          </w:tcPr>
          <w:p>
            <w:pPr>
              <w:ind w:left="1040"/>
              <w:spacing w:after="0"/>
              <w:rPr>
                <w:sz w:val="20"/>
                <w:szCs w:val="20"/>
                <w:color w:val="auto"/>
              </w:rPr>
            </w:pPr>
            <w:r>
              <w:rPr>
                <w:rFonts w:ascii="Arial" w:cs="Arial" w:eastAsia="Arial" w:hAnsi="Arial"/>
                <w:sz w:val="15"/>
                <w:szCs w:val="15"/>
                <w:color w:val="auto"/>
              </w:rPr>
              <w:t>Total revenue</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790,523</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730,056</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2,318,757</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2,157,558</w:t>
            </w:r>
          </w:p>
        </w:tc>
        <w:tc>
          <w:tcPr>
            <w:tcW w:w="0" w:type="dxa"/>
            <w:vAlign w:val="bottom"/>
          </w:tcPr>
          <w:p>
            <w:pPr>
              <w:spacing w:after="0"/>
              <w:rPr>
                <w:sz w:val="1"/>
                <w:szCs w:val="1"/>
                <w:color w:val="auto"/>
              </w:rPr>
            </w:pPr>
          </w:p>
        </w:tc>
      </w:tr>
      <w:tr>
        <w:trPr>
          <w:trHeight w:val="182"/>
        </w:trPr>
        <w:tc>
          <w:tcPr>
            <w:tcW w:w="6480" w:type="dxa"/>
            <w:vAlign w:val="bottom"/>
          </w:tcPr>
          <w:p>
            <w:pPr>
              <w:ind w:left="20"/>
              <w:spacing w:after="0"/>
              <w:rPr>
                <w:sz w:val="20"/>
                <w:szCs w:val="20"/>
                <w:color w:val="auto"/>
              </w:rPr>
            </w:pPr>
            <w:r>
              <w:rPr>
                <w:rFonts w:ascii="Arial" w:cs="Arial" w:eastAsia="Arial" w:hAnsi="Arial"/>
                <w:sz w:val="15"/>
                <w:szCs w:val="15"/>
                <w:color w:val="auto"/>
              </w:rPr>
              <w:t>Expenses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Operating</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80" w:type="dxa"/>
            <w:vAlign w:val="bottom"/>
          </w:tcPr>
          <w:p>
            <w:pPr>
              <w:ind w:left="620"/>
              <w:spacing w:after="0"/>
              <w:rPr>
                <w:sz w:val="20"/>
                <w:szCs w:val="20"/>
                <w:color w:val="auto"/>
              </w:rPr>
            </w:pPr>
            <w:r>
              <w:rPr>
                <w:rFonts w:ascii="Arial" w:cs="Arial" w:eastAsia="Arial" w:hAnsi="Arial"/>
                <w:sz w:val="15"/>
                <w:szCs w:val="15"/>
                <w:color w:val="auto"/>
              </w:rPr>
              <w:t>Rental</w:t>
            </w:r>
          </w:p>
        </w:tc>
        <w:tc>
          <w:tcPr>
            <w:tcW w:w="2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281,702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258,281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825,805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764,373</w:t>
            </w:r>
          </w:p>
        </w:tc>
        <w:tc>
          <w:tcPr>
            <w:tcW w:w="0" w:type="dxa"/>
            <w:vAlign w:val="bottom"/>
          </w:tcPr>
          <w:p>
            <w:pPr>
              <w:spacing w:after="0"/>
              <w:rPr>
                <w:sz w:val="1"/>
                <w:szCs w:val="1"/>
                <w:color w:val="auto"/>
              </w:rPr>
            </w:pPr>
          </w:p>
        </w:tc>
      </w:tr>
      <w:tr>
        <w:trPr>
          <w:trHeight w:val="204"/>
        </w:trPr>
        <w:tc>
          <w:tcPr>
            <w:tcW w:w="6480" w:type="dxa"/>
            <w:vAlign w:val="bottom"/>
            <w:shd w:val="clear" w:color="auto" w:fill="CCEEFF"/>
          </w:tcPr>
          <w:p>
            <w:pPr>
              <w:ind w:left="620"/>
              <w:spacing w:after="0"/>
              <w:rPr>
                <w:sz w:val="20"/>
                <w:szCs w:val="20"/>
                <w:color w:val="auto"/>
              </w:rPr>
            </w:pPr>
            <w:r>
              <w:rPr>
                <w:rFonts w:ascii="Arial" w:cs="Arial" w:eastAsia="Arial" w:hAnsi="Arial"/>
                <w:sz w:val="15"/>
                <w:szCs w:val="15"/>
                <w:color w:val="auto"/>
              </w:rPr>
              <w:t>Hotel</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8,548</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19,832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7,993</w:t>
            </w:r>
          </w:p>
        </w:tc>
        <w:tc>
          <w:tcPr>
            <w:tcW w:w="0" w:type="dxa"/>
            <w:vAlign w:val="bottom"/>
          </w:tcPr>
          <w:p>
            <w:pPr>
              <w:spacing w:after="0"/>
              <w:rPr>
                <w:sz w:val="1"/>
                <w:szCs w:val="1"/>
                <w:color w:val="auto"/>
              </w:rPr>
            </w:pPr>
          </w:p>
        </w:tc>
      </w:tr>
      <w:tr>
        <w:trPr>
          <w:trHeight w:val="202"/>
        </w:trPr>
        <w:tc>
          <w:tcPr>
            <w:tcW w:w="6480" w:type="dxa"/>
            <w:vAlign w:val="bottom"/>
          </w:tcPr>
          <w:p>
            <w:pPr>
              <w:ind w:left="320"/>
              <w:spacing w:after="0"/>
              <w:rPr>
                <w:sz w:val="20"/>
                <w:szCs w:val="20"/>
                <w:color w:val="auto"/>
              </w:rPr>
            </w:pPr>
            <w:r>
              <w:rPr>
                <w:rFonts w:ascii="Arial" w:cs="Arial" w:eastAsia="Arial" w:hAnsi="Arial"/>
                <w:sz w:val="15"/>
                <w:szCs w:val="15"/>
                <w:color w:val="auto"/>
              </w:rPr>
              <w:t>General and administrative</w:t>
            </w:r>
          </w:p>
        </w:tc>
        <w:tc>
          <w:tcPr>
            <w:tcW w:w="2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32,519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34,560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110,378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117,924</w:t>
            </w:r>
          </w:p>
        </w:tc>
        <w:tc>
          <w:tcPr>
            <w:tcW w:w="0" w:type="dxa"/>
            <w:vAlign w:val="bottom"/>
          </w:tcPr>
          <w:p>
            <w:pPr>
              <w:spacing w:after="0"/>
              <w:rPr>
                <w:sz w:val="1"/>
                <w:szCs w:val="1"/>
                <w:color w:val="auto"/>
              </w:rPr>
            </w:pP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Payroll and related costs from management services contracts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3,900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11,204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9,166</w:t>
            </w:r>
          </w:p>
        </w:tc>
        <w:tc>
          <w:tcPr>
            <w:tcW w:w="0" w:type="dxa"/>
            <w:vAlign w:val="bottom"/>
          </w:tcPr>
          <w:p>
            <w:pPr>
              <w:spacing w:after="0"/>
              <w:rPr>
                <w:sz w:val="1"/>
                <w:szCs w:val="1"/>
                <w:color w:val="auto"/>
              </w:rPr>
            </w:pPr>
          </w:p>
        </w:tc>
      </w:tr>
      <w:tr>
        <w:trPr>
          <w:trHeight w:val="202"/>
        </w:trPr>
        <w:tc>
          <w:tcPr>
            <w:tcW w:w="6480" w:type="dxa"/>
            <w:vAlign w:val="bottom"/>
          </w:tcPr>
          <w:p>
            <w:pPr>
              <w:ind w:left="320"/>
              <w:spacing w:after="0"/>
              <w:rPr>
                <w:sz w:val="20"/>
                <w:szCs w:val="20"/>
                <w:color w:val="auto"/>
              </w:rPr>
            </w:pPr>
            <w:r>
              <w:rPr>
                <w:rFonts w:ascii="Arial" w:cs="Arial" w:eastAsia="Arial" w:hAnsi="Arial"/>
                <w:sz w:val="15"/>
                <w:szCs w:val="15"/>
                <w:color w:val="auto"/>
              </w:rPr>
              <w:t>Transaction costs</w:t>
            </w:r>
          </w:p>
        </w:tc>
        <w:tc>
          <w:tcPr>
            <w:tcW w:w="2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1,650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1,888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2,146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2,970</w:t>
            </w:r>
          </w:p>
        </w:tc>
        <w:tc>
          <w:tcPr>
            <w:tcW w:w="0" w:type="dxa"/>
            <w:vAlign w:val="bottom"/>
          </w:tcPr>
          <w:p>
            <w:pPr>
              <w:spacing w:after="0"/>
              <w:rPr>
                <w:sz w:val="1"/>
                <w:szCs w:val="1"/>
                <w:color w:val="auto"/>
              </w:rPr>
            </w:pP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Depreciation and amortization</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188,969</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177,677</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546,271</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533,255</w:t>
            </w:r>
          </w:p>
        </w:tc>
        <w:tc>
          <w:tcPr>
            <w:tcW w:w="0" w:type="dxa"/>
            <w:vAlign w:val="bottom"/>
          </w:tcPr>
          <w:p>
            <w:pPr>
              <w:spacing w:after="0"/>
              <w:rPr>
                <w:sz w:val="1"/>
                <w:szCs w:val="1"/>
                <w:color w:val="auto"/>
              </w:rPr>
            </w:pPr>
          </w:p>
        </w:tc>
      </w:tr>
      <w:tr>
        <w:trPr>
          <w:trHeight w:val="194"/>
        </w:trPr>
        <w:tc>
          <w:tcPr>
            <w:tcW w:w="6480" w:type="dxa"/>
            <w:vAlign w:val="bottom"/>
            <w:tcBorders>
              <w:bottom w:val="single" w:sz="8" w:color="CCEEFF"/>
            </w:tcBorders>
          </w:tcPr>
          <w:p>
            <w:pPr>
              <w:ind w:left="1040"/>
              <w:spacing w:after="0"/>
              <w:rPr>
                <w:sz w:val="20"/>
                <w:szCs w:val="20"/>
                <w:color w:val="auto"/>
              </w:rPr>
            </w:pPr>
            <w:r>
              <w:rPr>
                <w:rFonts w:ascii="Arial" w:cs="Arial" w:eastAsia="Arial" w:hAnsi="Arial"/>
                <w:sz w:val="15"/>
                <w:szCs w:val="15"/>
                <w:color w:val="auto"/>
              </w:rPr>
              <w:t>Total expenses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517,288</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479,358</w:t>
            </w: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1,515,636</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1,435,681</w:t>
            </w:r>
          </w:p>
        </w:tc>
        <w:tc>
          <w:tcPr>
            <w:tcW w:w="0" w:type="dxa"/>
            <w:vAlign w:val="bottom"/>
          </w:tcPr>
          <w:p>
            <w:pPr>
              <w:spacing w:after="0"/>
              <w:rPr>
                <w:sz w:val="1"/>
                <w:szCs w:val="1"/>
                <w:color w:val="auto"/>
              </w:rPr>
            </w:pPr>
          </w:p>
        </w:tc>
      </w:tr>
      <w:tr>
        <w:trPr>
          <w:trHeight w:val="184"/>
        </w:trPr>
        <w:tc>
          <w:tcPr>
            <w:tcW w:w="6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480" w:type="dxa"/>
            <w:vAlign w:val="bottom"/>
          </w:tcPr>
          <w:p>
            <w:pPr>
              <w:ind w:left="320"/>
              <w:spacing w:after="0"/>
              <w:rPr>
                <w:sz w:val="20"/>
                <w:szCs w:val="20"/>
                <w:color w:val="auto"/>
              </w:rPr>
            </w:pPr>
            <w:r>
              <w:rPr>
                <w:rFonts w:ascii="Arial" w:cs="Arial" w:eastAsia="Arial" w:hAnsi="Arial"/>
                <w:sz w:val="15"/>
                <w:szCs w:val="15"/>
                <w:color w:val="auto"/>
              </w:rPr>
              <w:t>Loss from unconsolidated joint ventures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(3,524)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(5,597)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(1,389)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(1,745)</w:t>
            </w:r>
          </w:p>
        </w:tc>
        <w:tc>
          <w:tcPr>
            <w:tcW w:w="0" w:type="dxa"/>
            <w:vAlign w:val="bottom"/>
          </w:tcPr>
          <w:p>
            <w:pPr>
              <w:spacing w:after="0"/>
              <w:rPr>
                <w:sz w:val="1"/>
                <w:szCs w:val="1"/>
                <w:color w:val="auto"/>
              </w:rPr>
            </w:pP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Gains on sales of real estate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262,357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385,349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8,104</w:t>
            </w:r>
          </w:p>
        </w:tc>
        <w:tc>
          <w:tcPr>
            <w:tcW w:w="0" w:type="dxa"/>
            <w:vAlign w:val="bottom"/>
          </w:tcPr>
          <w:p>
            <w:pPr>
              <w:spacing w:after="0"/>
              <w:rPr>
                <w:sz w:val="1"/>
                <w:szCs w:val="1"/>
                <w:color w:val="auto"/>
              </w:rPr>
            </w:pPr>
          </w:p>
        </w:tc>
      </w:tr>
      <w:tr>
        <w:trPr>
          <w:trHeight w:val="202"/>
        </w:trPr>
        <w:tc>
          <w:tcPr>
            <w:tcW w:w="6480" w:type="dxa"/>
            <w:vAlign w:val="bottom"/>
          </w:tcPr>
          <w:p>
            <w:pPr>
              <w:ind w:left="320"/>
              <w:spacing w:after="0"/>
              <w:rPr>
                <w:sz w:val="20"/>
                <w:szCs w:val="20"/>
                <w:color w:val="auto"/>
              </w:rPr>
            </w:pPr>
            <w:r>
              <w:rPr>
                <w:rFonts w:ascii="Arial" w:cs="Arial" w:eastAsia="Arial" w:hAnsi="Arial"/>
                <w:sz w:val="15"/>
                <w:szCs w:val="15"/>
                <w:color w:val="auto"/>
              </w:rPr>
              <w:t>Interest and other income (loss)</w:t>
            </w:r>
          </w:p>
        </w:tc>
        <w:tc>
          <w:tcPr>
            <w:tcW w:w="2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3,728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1,520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6,151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4,140</w:t>
            </w:r>
          </w:p>
        </w:tc>
        <w:tc>
          <w:tcPr>
            <w:tcW w:w="0" w:type="dxa"/>
            <w:vAlign w:val="bottom"/>
          </w:tcPr>
          <w:p>
            <w:pPr>
              <w:spacing w:after="0"/>
              <w:rPr>
                <w:sz w:val="1"/>
                <w:szCs w:val="1"/>
                <w:color w:val="auto"/>
              </w:rPr>
            </w:pP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income - assignment fee</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6,624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6480" w:type="dxa"/>
            <w:vAlign w:val="bottom"/>
          </w:tcPr>
          <w:p>
            <w:pPr>
              <w:ind w:left="320"/>
              <w:spacing w:after="0"/>
              <w:rPr>
                <w:sz w:val="20"/>
                <w:szCs w:val="20"/>
                <w:color w:val="auto"/>
              </w:rPr>
            </w:pPr>
            <w:r>
              <w:rPr>
                <w:rFonts w:ascii="Arial" w:cs="Arial" w:eastAsia="Arial" w:hAnsi="Arial"/>
                <w:sz w:val="15"/>
                <w:szCs w:val="15"/>
                <w:color w:val="auto"/>
              </w:rPr>
              <w:t>Gains (losses) from investments in securities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(1,571)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(190)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(8,549)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3,744</w:t>
            </w:r>
          </w:p>
        </w:tc>
        <w:tc>
          <w:tcPr>
            <w:tcW w:w="0" w:type="dxa"/>
            <w:vAlign w:val="bottom"/>
          </w:tcPr>
          <w:p>
            <w:pPr>
              <w:spacing w:after="0"/>
              <w:rPr>
                <w:sz w:val="1"/>
                <w:szCs w:val="1"/>
                <w:color w:val="auto"/>
              </w:rPr>
            </w:pP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Losses from early extinguishment of debt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(898)</w:t>
            </w:r>
          </w:p>
        </w:tc>
        <w:tc>
          <w:tcPr>
            <w:tcW w:w="0" w:type="dxa"/>
            <w:vAlign w:val="bottom"/>
          </w:tcPr>
          <w:p>
            <w:pPr>
              <w:spacing w:after="0"/>
              <w:rPr>
                <w:sz w:val="1"/>
                <w:szCs w:val="1"/>
                <w:color w:val="auto"/>
              </w:rPr>
            </w:pPr>
          </w:p>
        </w:tc>
      </w:tr>
      <w:tr>
        <w:trPr>
          <w:trHeight w:val="202"/>
        </w:trPr>
        <w:tc>
          <w:tcPr>
            <w:tcW w:w="64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Interest expense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(111,846)</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(105,794)</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(317,216)</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(320,015)</w:t>
            </w:r>
          </w:p>
        </w:tc>
        <w:tc>
          <w:tcPr>
            <w:tcW w:w="0" w:type="dxa"/>
            <w:vAlign w:val="bottom"/>
          </w:tcPr>
          <w:p>
            <w:pPr>
              <w:spacing w:after="0"/>
              <w:rPr>
                <w:sz w:val="1"/>
                <w:szCs w:val="1"/>
                <w:color w:val="auto"/>
              </w:rPr>
            </w:pPr>
          </w:p>
        </w:tc>
      </w:tr>
      <w:tr>
        <w:trPr>
          <w:trHeight w:val="197"/>
        </w:trPr>
        <w:tc>
          <w:tcPr>
            <w:tcW w:w="6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422,379</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140,985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874,091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415,207</w:t>
            </w:r>
          </w:p>
        </w:tc>
        <w:tc>
          <w:tcPr>
            <w:tcW w:w="0" w:type="dxa"/>
            <w:vAlign w:val="bottom"/>
          </w:tcPr>
          <w:p>
            <w:pPr>
              <w:spacing w:after="0"/>
              <w:rPr>
                <w:sz w:val="1"/>
                <w:szCs w:val="1"/>
                <w:color w:val="auto"/>
              </w:rPr>
            </w:pPr>
          </w:p>
        </w:tc>
      </w:tr>
      <w:tr>
        <w:trPr>
          <w:trHeight w:val="202"/>
        </w:trPr>
        <w:tc>
          <w:tcPr>
            <w:tcW w:w="6480" w:type="dxa"/>
            <w:vAlign w:val="bottom"/>
          </w:tcPr>
          <w:p>
            <w:pPr>
              <w:ind w:left="20"/>
              <w:spacing w:after="0"/>
              <w:rPr>
                <w:sz w:val="20"/>
                <w:szCs w:val="20"/>
                <w:color w:val="auto"/>
              </w:rPr>
            </w:pPr>
            <w:r>
              <w:rPr>
                <w:rFonts w:ascii="Arial" w:cs="Arial" w:eastAsia="Arial" w:hAnsi="Arial"/>
                <w:sz w:val="15"/>
                <w:szCs w:val="15"/>
                <w:color w:val="auto"/>
              </w:rPr>
              <w:t>Net income attributable to noncontrolling interests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Noncontrolling interests in property partnerships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(18,801)</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(18,971)</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(54,896)</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(52,602)</w:t>
            </w:r>
          </w:p>
        </w:tc>
        <w:tc>
          <w:tcPr>
            <w:tcW w:w="0" w:type="dxa"/>
            <w:vAlign w:val="bottom"/>
          </w:tcPr>
          <w:p>
            <w:pPr>
              <w:spacing w:after="0"/>
              <w:rPr>
                <w:sz w:val="1"/>
                <w:szCs w:val="1"/>
                <w:color w:val="auto"/>
              </w:rPr>
            </w:pPr>
          </w:p>
        </w:tc>
      </w:tr>
      <w:tr>
        <w:trPr>
          <w:trHeight w:val="194"/>
        </w:trPr>
        <w:tc>
          <w:tcPr>
            <w:tcW w:w="6480" w:type="dxa"/>
            <w:vAlign w:val="bottom"/>
          </w:tcPr>
          <w:p>
            <w:pPr>
              <w:ind w:left="20"/>
              <w:spacing w:after="0"/>
              <w:rPr>
                <w:sz w:val="20"/>
                <w:szCs w:val="20"/>
                <w:color w:val="auto"/>
              </w:rPr>
            </w:pPr>
            <w:r>
              <w:rPr>
                <w:rFonts w:ascii="Arial" w:cs="Arial" w:eastAsia="Arial" w:hAnsi="Arial"/>
                <w:sz w:val="15"/>
                <w:szCs w:val="15"/>
                <w:color w:val="auto"/>
              </w:rPr>
              <w:t>Net income attributable to Boston Properties Limited Partnership</w:t>
            </w:r>
          </w:p>
        </w:tc>
        <w:tc>
          <w:tcPr>
            <w:tcW w:w="220" w:type="dxa"/>
            <w:vAlign w:val="bottom"/>
          </w:tcPr>
          <w:p>
            <w:pPr>
              <w:spacing w:after="0"/>
              <w:rPr>
                <w:sz w:val="16"/>
                <w:szCs w:val="16"/>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403,578</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122,014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819,195</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362,605</w:t>
            </w:r>
          </w:p>
        </w:tc>
        <w:tc>
          <w:tcPr>
            <w:tcW w:w="0" w:type="dxa"/>
            <w:vAlign w:val="bottom"/>
          </w:tcPr>
          <w:p>
            <w:pPr>
              <w:spacing w:after="0"/>
              <w:rPr>
                <w:sz w:val="1"/>
                <w:szCs w:val="1"/>
                <w:color w:val="auto"/>
              </w:rPr>
            </w:pP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Preferred distributions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(2,560)</w:t>
            </w:r>
          </w:p>
        </w:tc>
        <w:tc>
          <w:tcPr>
            <w:tcW w:w="0" w:type="dxa"/>
            <w:vAlign w:val="bottom"/>
          </w:tcPr>
          <w:p>
            <w:pPr>
              <w:spacing w:after="0"/>
              <w:rPr>
                <w:sz w:val="1"/>
                <w:szCs w:val="1"/>
                <w:color w:val="auto"/>
              </w:rPr>
            </w:pPr>
          </w:p>
        </w:tc>
      </w:tr>
      <w:tr>
        <w:trPr>
          <w:trHeight w:val="202"/>
        </w:trPr>
        <w:tc>
          <w:tcPr>
            <w:tcW w:w="6480" w:type="dxa"/>
            <w:vAlign w:val="bottom"/>
          </w:tcPr>
          <w:p>
            <w:pPr>
              <w:ind w:left="320"/>
              <w:spacing w:after="0"/>
              <w:rPr>
                <w:sz w:val="20"/>
                <w:szCs w:val="20"/>
                <w:color w:val="auto"/>
              </w:rPr>
            </w:pPr>
            <w:r>
              <w:rPr>
                <w:rFonts w:ascii="Arial" w:cs="Arial" w:eastAsia="Arial" w:hAnsi="Arial"/>
                <w:sz w:val="15"/>
                <w:szCs w:val="15"/>
                <w:color w:val="auto"/>
              </w:rPr>
              <w:t>Preferred unit redemption charge</w:t>
            </w:r>
          </w:p>
        </w:tc>
        <w:tc>
          <w:tcPr>
            <w:tcW w:w="2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(6,412)</w:t>
            </w:r>
          </w:p>
        </w:tc>
        <w:tc>
          <w:tcPr>
            <w:tcW w:w="0" w:type="dxa"/>
            <w:vAlign w:val="bottom"/>
          </w:tcPr>
          <w:p>
            <w:pPr>
              <w:spacing w:after="0"/>
              <w:rPr>
                <w:sz w:val="1"/>
                <w:szCs w:val="1"/>
                <w:color w:val="auto"/>
              </w:rPr>
            </w:pPr>
          </w:p>
        </w:tc>
      </w:tr>
      <w:tr>
        <w:trPr>
          <w:trHeight w:val="221"/>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attributable to Boston Properties Limited Partnership common unitholders</w:t>
            </w: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403,578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122,014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819,195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353,633</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Basic earnings per common unit attributable to Boston Properties Limited Partnership</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Net income</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2.31</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0.70</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4.69</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194"/>
        </w:trPr>
        <w:tc>
          <w:tcPr>
            <w:tcW w:w="64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Weighted average number of common units outstanding</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174,416</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173,194</w:t>
            </w: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174,339</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173,078</w:t>
            </w:r>
          </w:p>
        </w:tc>
        <w:tc>
          <w:tcPr>
            <w:tcW w:w="0" w:type="dxa"/>
            <w:vAlign w:val="bottom"/>
          </w:tcPr>
          <w:p>
            <w:pPr>
              <w:spacing w:after="0"/>
              <w:rPr>
                <w:sz w:val="1"/>
                <w:szCs w:val="1"/>
                <w:color w:val="auto"/>
              </w:rPr>
            </w:pPr>
          </w:p>
        </w:tc>
      </w:tr>
      <w:tr>
        <w:trPr>
          <w:trHeight w:val="184"/>
        </w:trPr>
        <w:tc>
          <w:tcPr>
            <w:tcW w:w="6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Diluted earnings per common unit attributable to Boston Properties Limited Partnership</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4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Net income</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2.30</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0.70</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4.68</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Weighted average number of common and common equivalent units outstanding</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174,795</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173,609</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174,775</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173,410</w:t>
            </w:r>
          </w:p>
        </w:tc>
        <w:tc>
          <w:tcPr>
            <w:tcW w:w="0" w:type="dxa"/>
            <w:vAlign w:val="bottom"/>
          </w:tcPr>
          <w:p>
            <w:pPr>
              <w:spacing w:after="0"/>
              <w:rPr>
                <w:sz w:val="1"/>
                <w:szCs w:val="1"/>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BOSTON PROPERTIES LIMITED PARTNERSHIP</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80" w:type="dxa"/>
            <w:vAlign w:val="bottom"/>
          </w:tcPr>
          <w:p>
            <w:pPr>
              <w:spacing w:after="0"/>
              <w:rPr>
                <w:sz w:val="14"/>
                <w:szCs w:val="14"/>
                <w:color w:val="auto"/>
              </w:rPr>
            </w:pPr>
          </w:p>
        </w:tc>
        <w:tc>
          <w:tcPr>
            <w:tcW w:w="2600" w:type="dxa"/>
            <w:vAlign w:val="bottom"/>
            <w:gridSpan w:val="7"/>
          </w:tcPr>
          <w:p>
            <w:pPr>
              <w:ind w:left="20"/>
              <w:spacing w:after="0"/>
              <w:rPr>
                <w:sz w:val="20"/>
                <w:szCs w:val="20"/>
                <w:color w:val="auto"/>
              </w:rPr>
            </w:pPr>
            <w:r>
              <w:rPr>
                <w:rFonts w:ascii="Arial" w:cs="Arial" w:eastAsia="Arial" w:hAnsi="Arial"/>
                <w:sz w:val="15"/>
                <w:szCs w:val="15"/>
                <w:b w:val="1"/>
                <w:bCs w:val="1"/>
                <w:color w:val="auto"/>
              </w:rPr>
              <w:t>Three months ended September</w:t>
            </w:r>
          </w:p>
        </w:tc>
        <w:tc>
          <w:tcPr>
            <w:tcW w:w="2360" w:type="dxa"/>
            <w:vAlign w:val="bottom"/>
            <w:gridSpan w:val="6"/>
          </w:tcPr>
          <w:p>
            <w:pPr>
              <w:jc w:val="right"/>
              <w:spacing w:after="0"/>
              <w:rPr>
                <w:sz w:val="20"/>
                <w:szCs w:val="20"/>
                <w:color w:val="auto"/>
              </w:rPr>
            </w:pPr>
            <w:r>
              <w:rPr>
                <w:rFonts w:ascii="Arial" w:cs="Arial" w:eastAsia="Arial" w:hAnsi="Arial"/>
                <w:sz w:val="15"/>
                <w:szCs w:val="15"/>
                <w:b w:val="1"/>
                <w:bCs w:val="1"/>
                <w:color w:val="auto"/>
              </w:rPr>
              <w:t>Nine months ended September</w:t>
            </w:r>
          </w:p>
        </w:tc>
      </w:tr>
      <w:tr>
        <w:trPr>
          <w:trHeight w:val="203"/>
        </w:trPr>
        <w:tc>
          <w:tcPr>
            <w:tcW w:w="6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5"/>
                <w:szCs w:val="15"/>
                <w:b w:val="1"/>
                <w:bCs w:val="1"/>
                <w:color w:val="auto"/>
              </w:rPr>
              <w:t>30,</w:t>
            </w:r>
          </w:p>
        </w:tc>
        <w:tc>
          <w:tcPr>
            <w:tcW w:w="8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5"/>
                <w:szCs w:val="15"/>
                <w:b w:val="1"/>
                <w:bCs w:val="1"/>
                <w:color w:val="auto"/>
              </w:rPr>
              <w:t>30,</w:t>
            </w:r>
          </w:p>
        </w:tc>
        <w:tc>
          <w:tcPr>
            <w:tcW w:w="840" w:type="dxa"/>
            <w:vAlign w:val="bottom"/>
            <w:tcBorders>
              <w:bottom w:val="single" w:sz="8" w:color="auto"/>
            </w:tcBorders>
          </w:tcPr>
          <w:p>
            <w:pPr>
              <w:spacing w:after="0"/>
              <w:rPr>
                <w:sz w:val="17"/>
                <w:szCs w:val="17"/>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5"/>
                <w:szCs w:val="15"/>
                <w:b w:val="1"/>
                <w:bCs w:val="1"/>
                <w:color w:val="auto"/>
              </w:rPr>
              <w:t>2022</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5"/>
                <w:szCs w:val="15"/>
                <w:b w:val="1"/>
                <w:bCs w:val="1"/>
                <w:color w:val="auto"/>
              </w:rPr>
              <w:t>2022</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2021</w:t>
            </w:r>
          </w:p>
        </w:tc>
      </w:tr>
      <w:tr>
        <w:trPr>
          <w:trHeight w:val="208"/>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422,379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140,985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874,091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415,207</w:t>
            </w:r>
          </w:p>
        </w:tc>
      </w:tr>
      <w:tr>
        <w:trPr>
          <w:trHeight w:val="216"/>
        </w:trPr>
        <w:tc>
          <w:tcPr>
            <w:tcW w:w="6280" w:type="dxa"/>
            <w:vAlign w:val="bottom"/>
          </w:tcPr>
          <w:p>
            <w:pPr>
              <w:ind w:left="20"/>
              <w:spacing w:after="0"/>
              <w:rPr>
                <w:sz w:val="20"/>
                <w:szCs w:val="20"/>
                <w:color w:val="auto"/>
              </w:rPr>
            </w:pPr>
            <w:r>
              <w:rPr>
                <w:rFonts w:ascii="Arial" w:cs="Arial" w:eastAsia="Arial" w:hAnsi="Arial"/>
                <w:sz w:val="17"/>
                <w:szCs w:val="17"/>
                <w:color w:val="auto"/>
              </w:rPr>
              <w:t>Other comprehensive income: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Effective portion of interest rate contracts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5,482</w:t>
            </w:r>
          </w:p>
        </w:tc>
      </w:tr>
      <w:tr>
        <w:trPr>
          <w:trHeight w:val="216"/>
        </w:trPr>
        <w:tc>
          <w:tcPr>
            <w:tcW w:w="62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Amortization of interest rate contracts (1)</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1,677</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1,676</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5,030</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5,028</w:t>
            </w:r>
          </w:p>
        </w:tc>
      </w:tr>
      <w:tr>
        <w:trPr>
          <w:trHeight w:val="208"/>
        </w:trPr>
        <w:tc>
          <w:tcPr>
            <w:tcW w:w="6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comprehensive income</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12,477</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2,764</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23,430</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10,510</w:t>
            </w:r>
          </w:p>
        </w:tc>
      </w:tr>
      <w:tr>
        <w:trPr>
          <w:trHeight w:val="208"/>
        </w:trPr>
        <w:tc>
          <w:tcPr>
            <w:tcW w:w="628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434,856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143,749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897,521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425,717</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(18,945)</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(19,115)</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(55,328)</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(53,034)</w:t>
            </w:r>
          </w:p>
        </w:tc>
      </w:tr>
      <w:tr>
        <w:trPr>
          <w:trHeight w:val="208"/>
        </w:trPr>
        <w:tc>
          <w:tcPr>
            <w:tcW w:w="6280" w:type="dxa"/>
            <w:vAlign w:val="bottom"/>
          </w:tcPr>
          <w:p>
            <w:pPr>
              <w:ind w:left="20"/>
              <w:spacing w:after="0"/>
              <w:rPr>
                <w:sz w:val="20"/>
                <w:szCs w:val="20"/>
                <w:color w:val="auto"/>
              </w:rPr>
            </w:pPr>
            <w:r>
              <w:rPr>
                <w:rFonts w:ascii="Arial" w:cs="Arial" w:eastAsia="Arial" w:hAnsi="Arial"/>
                <w:sz w:val="17"/>
                <w:szCs w:val="17"/>
                <w:color w:val="auto"/>
              </w:rPr>
              <w:t>Comprehensive income attributable to Boston Properties Limited Partnership</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415,911</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124,634</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842,193</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372,683</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24" w:lineRule="exact"/>
        <w:rPr>
          <w:sz w:val="20"/>
          <w:szCs w:val="20"/>
          <w:color w:val="auto"/>
        </w:rPr>
      </w:pPr>
    </w:p>
    <w:p>
      <w:pPr>
        <w:ind w:left="300" w:right="520" w:hanging="298"/>
        <w:spacing w:after="0" w:line="263" w:lineRule="auto"/>
        <w:tabs>
          <w:tab w:leader="none" w:pos="291"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Amounts reclassified from comprehensive income primarily to interest expense within Boston Properties Limited Partnership’s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ectPr>
          <w:pgSz w:w="11900" w:h="16838" w:orient="portrait"/>
          <w:cols w:equalWidth="0" w:num="1">
            <w:col w:w="11240"/>
          </w:cols>
          <w:pgMar w:left="320" w:top="27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74295</wp:posOffset>
            </wp:positionV>
            <wp:extent cx="716597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line="329" w:lineRule="auto"/>
        <w:rPr>
          <w:sz w:val="20"/>
          <w:szCs w:val="20"/>
          <w:color w:val="auto"/>
        </w:rPr>
      </w:pPr>
      <w:r>
        <w:rPr>
          <w:rFonts w:ascii="Arial" w:cs="Arial" w:eastAsia="Arial" w:hAnsi="Arial"/>
          <w:sz w:val="15"/>
          <w:szCs w:val="15"/>
          <w:b w:val="1"/>
          <w:bCs w:val="1"/>
          <w:color w:val="auto"/>
        </w:rPr>
        <w:t>BOSTON PROPERTIES LIMITED PARTNERSHIP CONSOLIDATED STATEMENTS OF CAPITAL AND NONCONTROLLING INTERESTS (unaudited and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440" w:type="dxa"/>
            <w:vAlign w:val="bottom"/>
          </w:tcPr>
          <w:p>
            <w:pPr>
              <w:spacing w:after="0"/>
              <w:rPr>
                <w:sz w:val="13"/>
                <w:szCs w:val="13"/>
                <w:color w:val="auto"/>
              </w:rPr>
            </w:pPr>
          </w:p>
        </w:tc>
        <w:tc>
          <w:tcPr>
            <w:tcW w:w="920" w:type="dxa"/>
            <w:vAlign w:val="bottom"/>
            <w:tcBorders>
              <w:bottom w:val="single" w:sz="8" w:color="auto"/>
            </w:tcBorders>
            <w:gridSpan w:val="3"/>
          </w:tcPr>
          <w:p>
            <w:pPr>
              <w:ind w:left="600"/>
              <w:spacing w:after="0"/>
              <w:rPr>
                <w:sz w:val="20"/>
                <w:szCs w:val="20"/>
                <w:color w:val="auto"/>
              </w:rPr>
            </w:pPr>
            <w:r>
              <w:rPr>
                <w:rFonts w:ascii="Arial" w:cs="Arial" w:eastAsia="Arial" w:hAnsi="Arial"/>
                <w:sz w:val="12"/>
                <w:szCs w:val="12"/>
                <w:b w:val="1"/>
                <w:bCs w:val="1"/>
                <w:color w:val="auto"/>
                <w:w w:val="99"/>
              </w:rPr>
              <w:t>Units</w:t>
            </w:r>
          </w:p>
        </w:tc>
        <w:tc>
          <w:tcPr>
            <w:tcW w:w="5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ind w:left="56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98"/>
              </w:rPr>
              <w:t>Partners’ Capital</w:t>
            </w:r>
          </w:p>
        </w:tc>
        <w:tc>
          <w:tcPr>
            <w:tcW w:w="100" w:type="dxa"/>
            <w:vAlign w:val="bottom"/>
          </w:tcPr>
          <w:p>
            <w:pPr>
              <w:spacing w:after="0"/>
              <w:rPr>
                <w:sz w:val="11"/>
                <w:szCs w:val="11"/>
                <w:color w:val="auto"/>
              </w:rPr>
            </w:pPr>
          </w:p>
        </w:tc>
        <w:tc>
          <w:tcPr>
            <w:tcW w:w="98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rPr>
              <w:t>Accumulated</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Noncontrolling</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13"/>
              <w:spacing w:after="0" w:line="133" w:lineRule="exact"/>
              <w:rPr>
                <w:sz w:val="20"/>
                <w:szCs w:val="20"/>
                <w:color w:val="auto"/>
              </w:rPr>
            </w:pPr>
            <w:r>
              <w:rPr>
                <w:rFonts w:ascii="Arial" w:cs="Arial" w:eastAsia="Arial" w:hAnsi="Arial"/>
                <w:sz w:val="12"/>
                <w:szCs w:val="12"/>
                <w:b w:val="1"/>
                <w:bCs w:val="1"/>
                <w:color w:val="auto"/>
                <w:w w:val="98"/>
              </w:rPr>
              <w:t>Noncontrolling</w:t>
            </w:r>
          </w:p>
        </w:tc>
        <w:tc>
          <w:tcPr>
            <w:tcW w:w="0" w:type="dxa"/>
            <w:vAlign w:val="bottom"/>
          </w:tcPr>
          <w:p>
            <w:pPr>
              <w:spacing w:after="0"/>
              <w:rPr>
                <w:sz w:val="1"/>
                <w:szCs w:val="1"/>
                <w:color w:val="auto"/>
              </w:rPr>
            </w:pPr>
          </w:p>
        </w:tc>
      </w:tr>
      <w:tr>
        <w:trPr>
          <w:trHeight w:val="114"/>
        </w:trPr>
        <w:tc>
          <w:tcPr>
            <w:tcW w:w="4440" w:type="dxa"/>
            <w:vAlign w:val="bottom"/>
          </w:tcPr>
          <w:p>
            <w:pPr>
              <w:spacing w:after="0"/>
              <w:rPr>
                <w:sz w:val="9"/>
                <w:szCs w:val="9"/>
                <w:color w:val="auto"/>
              </w:rPr>
            </w:pPr>
          </w:p>
        </w:tc>
        <w:tc>
          <w:tcPr>
            <w:tcW w:w="9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General</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Limited</w:t>
            </w:r>
          </w:p>
        </w:tc>
        <w:tc>
          <w:tcPr>
            <w:tcW w:w="11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180"/>
              <w:spacing w:after="0" w:line="114"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9"/>
                <w:szCs w:val="9"/>
                <w:color w:val="auto"/>
              </w:rPr>
            </w:pPr>
          </w:p>
        </w:tc>
        <w:tc>
          <w:tcPr>
            <w:tcW w:w="840" w:type="dxa"/>
            <w:vAlign w:val="bottom"/>
            <w:gridSpan w:val="2"/>
          </w:tcPr>
          <w:p>
            <w:pPr>
              <w:jc w:val="center"/>
              <w:ind w:right="200"/>
              <w:spacing w:after="0" w:line="114" w:lineRule="exact"/>
              <w:rPr>
                <w:sz w:val="20"/>
                <w:szCs w:val="20"/>
                <w:color w:val="auto"/>
              </w:rPr>
            </w:pPr>
            <w:r>
              <w:rPr>
                <w:rFonts w:ascii="Arial" w:cs="Arial" w:eastAsia="Arial" w:hAnsi="Arial"/>
                <w:sz w:val="12"/>
                <w:szCs w:val="12"/>
                <w:b w:val="1"/>
                <w:bCs w:val="1"/>
                <w:color w:val="auto"/>
                <w:w w:val="97"/>
              </w:rPr>
              <w:t>Interests -</w:t>
            </w: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center"/>
              <w:ind w:right="33"/>
              <w:spacing w:after="0" w:line="114" w:lineRule="exact"/>
              <w:rPr>
                <w:sz w:val="20"/>
                <w:szCs w:val="20"/>
                <w:color w:val="auto"/>
              </w:rPr>
            </w:pPr>
            <w:r>
              <w:rPr>
                <w:rFonts w:ascii="Arial" w:cs="Arial" w:eastAsia="Arial" w:hAnsi="Arial"/>
                <w:sz w:val="12"/>
                <w:szCs w:val="12"/>
                <w:b w:val="1"/>
                <w:bCs w:val="1"/>
                <w:color w:val="auto"/>
              </w:rPr>
              <w:t>Interests -</w:t>
            </w:r>
          </w:p>
        </w:tc>
        <w:tc>
          <w:tcPr>
            <w:tcW w:w="0" w:type="dxa"/>
            <w:vAlign w:val="bottom"/>
          </w:tcPr>
          <w:p>
            <w:pPr>
              <w:spacing w:after="0"/>
              <w:rPr>
                <w:sz w:val="1"/>
                <w:szCs w:val="1"/>
                <w:color w:val="auto"/>
              </w:rPr>
            </w:pPr>
          </w:p>
        </w:tc>
      </w:tr>
      <w:tr>
        <w:trPr>
          <w:trHeight w:val="114"/>
        </w:trPr>
        <w:tc>
          <w:tcPr>
            <w:tcW w:w="444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14" w:lineRule="exact"/>
              <w:rPr>
                <w:sz w:val="20"/>
                <w:szCs w:val="20"/>
                <w:color w:val="auto"/>
              </w:rPr>
            </w:pPr>
            <w:r>
              <w:rPr>
                <w:rFonts w:ascii="Arial" w:cs="Arial" w:eastAsia="Arial" w:hAnsi="Arial"/>
                <w:sz w:val="12"/>
                <w:szCs w:val="12"/>
                <w:b w:val="1"/>
                <w:bCs w:val="1"/>
                <w:color w:val="auto"/>
                <w:w w:val="98"/>
              </w:rPr>
              <w:t>(General and</w:t>
            </w:r>
          </w:p>
        </w:tc>
        <w:tc>
          <w:tcPr>
            <w:tcW w:w="1080" w:type="dxa"/>
            <w:vAlign w:val="bottom"/>
            <w:gridSpan w:val="3"/>
          </w:tcPr>
          <w:p>
            <w:pPr>
              <w:jc w:val="center"/>
              <w:ind w:right="80"/>
              <w:spacing w:after="0" w:line="114" w:lineRule="exact"/>
              <w:rPr>
                <w:sz w:val="20"/>
                <w:szCs w:val="20"/>
                <w:color w:val="auto"/>
              </w:rPr>
            </w:pPr>
            <w:r>
              <w:rPr>
                <w:rFonts w:ascii="Arial" w:cs="Arial" w:eastAsia="Arial" w:hAnsi="Arial"/>
                <w:sz w:val="12"/>
                <w:szCs w:val="12"/>
                <w:b w:val="1"/>
                <w:bCs w:val="1"/>
                <w:color w:val="auto"/>
                <w:w w:val="97"/>
              </w:rPr>
              <w:t>Comprehensive</w:t>
            </w:r>
          </w:p>
        </w:tc>
        <w:tc>
          <w:tcPr>
            <w:tcW w:w="120" w:type="dxa"/>
            <w:vAlign w:val="bottom"/>
          </w:tcPr>
          <w:p>
            <w:pPr>
              <w:spacing w:after="0"/>
              <w:rPr>
                <w:sz w:val="9"/>
                <w:szCs w:val="9"/>
                <w:color w:val="auto"/>
              </w:rPr>
            </w:pPr>
          </w:p>
        </w:tc>
        <w:tc>
          <w:tcPr>
            <w:tcW w:w="840" w:type="dxa"/>
            <w:vAlign w:val="bottom"/>
            <w:gridSpan w:val="2"/>
          </w:tcPr>
          <w:p>
            <w:pPr>
              <w:jc w:val="center"/>
              <w:ind w:right="200"/>
              <w:spacing w:after="0" w:line="114" w:lineRule="exact"/>
              <w:rPr>
                <w:sz w:val="20"/>
                <w:szCs w:val="20"/>
                <w:color w:val="auto"/>
              </w:rPr>
            </w:pPr>
            <w:r>
              <w:rPr>
                <w:rFonts w:ascii="Arial" w:cs="Arial" w:eastAsia="Arial" w:hAnsi="Arial"/>
                <w:sz w:val="12"/>
                <w:szCs w:val="12"/>
                <w:b w:val="1"/>
                <w:bCs w:val="1"/>
                <w:color w:val="auto"/>
                <w:w w:val="97"/>
              </w:rPr>
              <w:t>Property</w:t>
            </w:r>
          </w:p>
        </w:tc>
        <w:tc>
          <w:tcPr>
            <w:tcW w:w="9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Total Capital</w:t>
            </w:r>
          </w:p>
        </w:tc>
        <w:tc>
          <w:tcPr>
            <w:tcW w:w="100" w:type="dxa"/>
            <w:vAlign w:val="bottom"/>
          </w:tcPr>
          <w:p>
            <w:pPr>
              <w:spacing w:after="0"/>
              <w:rPr>
                <w:sz w:val="9"/>
                <w:szCs w:val="9"/>
                <w:color w:val="auto"/>
              </w:rPr>
            </w:pPr>
          </w:p>
        </w:tc>
        <w:tc>
          <w:tcPr>
            <w:tcW w:w="920" w:type="dxa"/>
            <w:vAlign w:val="bottom"/>
          </w:tcPr>
          <w:p>
            <w:pPr>
              <w:jc w:val="center"/>
              <w:ind w:right="33"/>
              <w:spacing w:after="0" w:line="114" w:lineRule="exact"/>
              <w:rPr>
                <w:sz w:val="20"/>
                <w:szCs w:val="20"/>
                <w:color w:val="auto"/>
              </w:rPr>
            </w:pPr>
            <w:r>
              <w:rPr>
                <w:rFonts w:ascii="Arial" w:cs="Arial" w:eastAsia="Arial" w:hAnsi="Arial"/>
                <w:sz w:val="12"/>
                <w:szCs w:val="12"/>
                <w:b w:val="1"/>
                <w:bCs w:val="1"/>
                <w:color w:val="auto"/>
                <w:w w:val="98"/>
              </w:rPr>
              <w:t>Redeemable</w:t>
            </w:r>
          </w:p>
        </w:tc>
        <w:tc>
          <w:tcPr>
            <w:tcW w:w="0" w:type="dxa"/>
            <w:vAlign w:val="bottom"/>
          </w:tcPr>
          <w:p>
            <w:pPr>
              <w:spacing w:after="0"/>
              <w:rPr>
                <w:sz w:val="1"/>
                <w:szCs w:val="1"/>
                <w:color w:val="auto"/>
              </w:rPr>
            </w:pPr>
          </w:p>
        </w:tc>
      </w:tr>
      <w:tr>
        <w:trPr>
          <w:trHeight w:val="174"/>
        </w:trPr>
        <w:tc>
          <w:tcPr>
            <w:tcW w:w="4440" w:type="dxa"/>
            <w:vAlign w:val="bottom"/>
          </w:tcPr>
          <w:p>
            <w:pPr>
              <w:spacing w:after="0"/>
              <w:rPr>
                <w:sz w:val="15"/>
                <w:szCs w:val="15"/>
                <w:color w:val="auto"/>
              </w:rPr>
            </w:pPr>
          </w:p>
        </w:tc>
        <w:tc>
          <w:tcPr>
            <w:tcW w:w="920" w:type="dxa"/>
            <w:vAlign w:val="bottom"/>
            <w:gridSpan w:val="3"/>
          </w:tcPr>
          <w:p>
            <w:pPr>
              <w:ind w:left="160"/>
              <w:spacing w:after="0"/>
              <w:rPr>
                <w:sz w:val="20"/>
                <w:szCs w:val="20"/>
                <w:color w:val="auto"/>
              </w:rPr>
            </w:pPr>
            <w:r>
              <w:rPr>
                <w:rFonts w:ascii="Arial" w:cs="Arial" w:eastAsia="Arial" w:hAnsi="Arial"/>
                <w:sz w:val="12"/>
                <w:szCs w:val="12"/>
                <w:b w:val="1"/>
                <w:bCs w:val="1"/>
                <w:color w:val="auto"/>
              </w:rPr>
              <w:t>Partner</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Partner</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Limited Partners)</w:t>
            </w: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Loss</w:t>
            </w:r>
          </w:p>
        </w:tc>
        <w:tc>
          <w:tcPr>
            <w:tcW w:w="96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8"/>
              </w:rPr>
              <w:t>Partnerships</w:t>
            </w:r>
          </w:p>
        </w:tc>
        <w:tc>
          <w:tcPr>
            <w:tcW w:w="960" w:type="dxa"/>
            <w:vAlign w:val="bottom"/>
            <w:gridSpan w:val="2"/>
            <w:vMerge w:val="continue"/>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Partnership Units</w:t>
            </w:r>
          </w:p>
        </w:tc>
        <w:tc>
          <w:tcPr>
            <w:tcW w:w="0" w:type="dxa"/>
            <w:vAlign w:val="bottom"/>
          </w:tcPr>
          <w:p>
            <w:pPr>
              <w:spacing w:after="0"/>
              <w:rPr>
                <w:sz w:val="1"/>
                <w:szCs w:val="1"/>
                <w:color w:val="auto"/>
              </w:rPr>
            </w:pPr>
          </w:p>
        </w:tc>
      </w:tr>
      <w:tr>
        <w:trPr>
          <w:trHeight w:val="186"/>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June 30, 2022</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154,977</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4,716,430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(27,077)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1,552,706</w:t>
            </w:r>
          </w:p>
        </w:tc>
        <w:tc>
          <w:tcPr>
            <w:tcW w:w="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$ 6,242,059</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1,646,678</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Net activity from contributions and unearned compensation</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2,082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6,882</w:t>
            </w:r>
          </w:p>
        </w:tc>
        <w:tc>
          <w:tcPr>
            <w:tcW w:w="0" w:type="dxa"/>
            <w:vAlign w:val="bottom"/>
          </w:tcPr>
          <w:p>
            <w:pPr>
              <w:spacing w:after="0"/>
              <w:rPr>
                <w:sz w:val="1"/>
                <w:szCs w:val="1"/>
                <w:color w:val="auto"/>
              </w:rPr>
            </w:pPr>
          </w:p>
        </w:tc>
      </w:tr>
      <w:tr>
        <w:trPr>
          <w:trHeight w:val="195"/>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Allocated net income for the period</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362,818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18,801</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381,619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40,760</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Distributions</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(153,620)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(153,620)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(17,930)</w:t>
            </w:r>
          </w:p>
        </w:tc>
        <w:tc>
          <w:tcPr>
            <w:tcW w:w="0" w:type="dxa"/>
            <w:vAlign w:val="bottom"/>
          </w:tcPr>
          <w:p>
            <w:pPr>
              <w:spacing w:after="0"/>
              <w:rPr>
                <w:sz w:val="1"/>
                <w:szCs w:val="1"/>
                <w:color w:val="auto"/>
              </w:rPr>
            </w:pPr>
          </w:p>
        </w:tc>
      </w:tr>
      <w:tr>
        <w:trPr>
          <w:trHeight w:val="195"/>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redeemable partnership units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Adjustment to reflect redeemable partnership units at redemption value</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268,916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268,916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(268,916)</w:t>
            </w:r>
          </w:p>
        </w:tc>
        <w:tc>
          <w:tcPr>
            <w:tcW w:w="0" w:type="dxa"/>
            <w:vAlign w:val="bottom"/>
          </w:tcPr>
          <w:p>
            <w:pPr>
              <w:spacing w:after="0"/>
              <w:rPr>
                <w:sz w:val="1"/>
                <w:szCs w:val="1"/>
                <w:color w:val="auto"/>
              </w:rPr>
            </w:pPr>
          </w:p>
        </w:tc>
      </w:tr>
      <w:tr>
        <w:trPr>
          <w:trHeight w:val="195"/>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1,377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144</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1,521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9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interests in property partnerships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(20,150)</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440" w:type="dxa"/>
            <w:vAlign w:val="bottom"/>
          </w:tcPr>
          <w:p>
            <w:pPr>
              <w:ind w:left="20"/>
              <w:spacing w:after="0"/>
              <w:rPr>
                <w:sz w:val="20"/>
                <w:szCs w:val="20"/>
                <w:color w:val="auto"/>
              </w:rPr>
            </w:pPr>
            <w:r>
              <w:rPr>
                <w:rFonts w:ascii="Arial" w:cs="Arial" w:eastAsia="Arial" w:hAnsi="Arial"/>
                <w:sz w:val="14"/>
                <w:szCs w:val="14"/>
                <w:color w:val="auto"/>
              </w:rPr>
              <w:t>Equity, September 30, 2022</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155,005</w:t>
            </w: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5,197,585</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(15,991)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1,551,501</w:t>
            </w:r>
          </w:p>
        </w:tc>
        <w:tc>
          <w:tcPr>
            <w:tcW w:w="6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$ 6,733,095</w:t>
            </w:r>
          </w:p>
        </w:tc>
        <w:tc>
          <w:tcPr>
            <w:tcW w:w="1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1,407,762</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Equity, June 30, 2021</w:t>
            </w:r>
          </w:p>
        </w:tc>
        <w:tc>
          <w:tcPr>
            <w:tcW w:w="720" w:type="dxa"/>
            <w:vAlign w:val="bottom"/>
          </w:tcPr>
          <w:p>
            <w:pPr>
              <w:jc w:val="right"/>
              <w:spacing w:after="0"/>
              <w:rPr>
                <w:sz w:val="20"/>
                <w:szCs w:val="20"/>
                <w:color w:val="auto"/>
              </w:rPr>
            </w:pPr>
            <w:r>
              <w:rPr>
                <w:rFonts w:ascii="Arial" w:cs="Arial" w:eastAsia="Arial" w:hAnsi="Arial"/>
                <w:sz w:val="14"/>
                <w:szCs w:val="14"/>
                <w:color w:val="auto"/>
              </w:rPr>
              <w:t>1,737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154,399</w:t>
            </w:r>
          </w:p>
        </w:tc>
        <w:tc>
          <w:tcPr>
            <w:tcW w:w="1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4,132,880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(43,166)</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1,725,343</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4"/>
              </w:rPr>
              <w:t>$ 5,815,057</w:t>
            </w:r>
          </w:p>
        </w:tc>
        <w:tc>
          <w:tcPr>
            <w:tcW w:w="1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2,008,478</w:t>
            </w:r>
          </w:p>
        </w:tc>
        <w:tc>
          <w:tcPr>
            <w:tcW w:w="0" w:type="dxa"/>
            <w:vAlign w:val="bottom"/>
          </w:tcPr>
          <w:p>
            <w:pPr>
              <w:spacing w:after="0"/>
              <w:rPr>
                <w:sz w:val="1"/>
                <w:szCs w:val="1"/>
                <w:color w:val="auto"/>
              </w:rPr>
            </w:pPr>
          </w:p>
        </w:tc>
      </w:tr>
      <w:tr>
        <w:trPr>
          <w:trHeight w:val="195"/>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activity from contributions and unearned compensation</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7,679</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Allocated net income for the period</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110,043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18,971</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129,014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11,971</w:t>
            </w:r>
          </w:p>
        </w:tc>
        <w:tc>
          <w:tcPr>
            <w:tcW w:w="0" w:type="dxa"/>
            <w:vAlign w:val="bottom"/>
          </w:tcPr>
          <w:p>
            <w:pPr>
              <w:spacing w:after="0"/>
              <w:rPr>
                <w:sz w:val="1"/>
                <w:szCs w:val="1"/>
                <w:color w:val="auto"/>
              </w:rPr>
            </w:pPr>
          </w:p>
        </w:tc>
      </w:tr>
      <w:tr>
        <w:trPr>
          <w:trHeight w:val="195"/>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(153,082)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(153,082)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(17,203)</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Conversion of redeemable partnership units</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1,748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(1,748)</w:t>
            </w:r>
          </w:p>
        </w:tc>
        <w:tc>
          <w:tcPr>
            <w:tcW w:w="0" w:type="dxa"/>
            <w:vAlign w:val="bottom"/>
          </w:tcPr>
          <w:p>
            <w:pPr>
              <w:spacing w:after="0"/>
              <w:rPr>
                <w:sz w:val="1"/>
                <w:szCs w:val="1"/>
                <w:color w:val="auto"/>
              </w:rPr>
            </w:pPr>
          </w:p>
        </w:tc>
      </w:tr>
      <w:tr>
        <w:trPr>
          <w:trHeight w:val="195"/>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to reflect redeemable partnership units at redemption value</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115,823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115,823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(115,823)</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981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95"/>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144</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Contributions from noncontrolling interests in property partnerships</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11,318</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11,318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interests in property partnerships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(27,675)</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(27,675)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440" w:type="dxa"/>
            <w:vAlign w:val="bottom"/>
          </w:tcPr>
          <w:p>
            <w:pPr>
              <w:ind w:left="20"/>
              <w:spacing w:after="0"/>
              <w:rPr>
                <w:sz w:val="20"/>
                <w:szCs w:val="20"/>
                <w:color w:val="auto"/>
              </w:rPr>
            </w:pPr>
            <w:r>
              <w:rPr>
                <w:rFonts w:ascii="Arial" w:cs="Arial" w:eastAsia="Arial" w:hAnsi="Arial"/>
                <w:sz w:val="14"/>
                <w:szCs w:val="14"/>
                <w:color w:val="auto"/>
              </w:rPr>
              <w:t>Equity, September 30, 2021</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154,470</w:t>
            </w: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4,209,117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(40,803)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1,728,101</w:t>
            </w:r>
          </w:p>
        </w:tc>
        <w:tc>
          <w:tcPr>
            <w:tcW w:w="6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$ 5,896,415</w:t>
            </w:r>
          </w:p>
        </w:tc>
        <w:tc>
          <w:tcPr>
            <w:tcW w:w="1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1,893,611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line="329" w:lineRule="auto"/>
        <w:rPr>
          <w:sz w:val="20"/>
          <w:szCs w:val="20"/>
          <w:color w:val="auto"/>
        </w:rPr>
      </w:pPr>
      <w:r>
        <w:rPr>
          <w:rFonts w:ascii="Arial" w:cs="Arial" w:eastAsia="Arial" w:hAnsi="Arial"/>
          <w:sz w:val="15"/>
          <w:szCs w:val="15"/>
          <w:b w:val="1"/>
          <w:bCs w:val="1"/>
          <w:color w:val="auto"/>
        </w:rPr>
        <w:t>BOSTON PROPERTIES LIMITED PARTNERSHIP CONSOLIDATED STATEMENTS OF CAPITAL AND NONCONTROLLING INTERESTS (unaudited and in thousands)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3620" w:type="dxa"/>
            <w:vAlign w:val="bottom"/>
          </w:tcPr>
          <w:p>
            <w:pPr>
              <w:spacing w:after="0"/>
              <w:rPr>
                <w:sz w:val="13"/>
                <w:szCs w:val="13"/>
                <w:color w:val="auto"/>
              </w:rPr>
            </w:pPr>
          </w:p>
        </w:tc>
        <w:tc>
          <w:tcPr>
            <w:tcW w:w="920" w:type="dxa"/>
            <w:vAlign w:val="bottom"/>
            <w:tcBorders>
              <w:bottom w:val="single" w:sz="8" w:color="auto"/>
            </w:tcBorders>
            <w:gridSpan w:val="3"/>
          </w:tcPr>
          <w:p>
            <w:pPr>
              <w:ind w:left="600"/>
              <w:spacing w:after="0"/>
              <w:rPr>
                <w:sz w:val="20"/>
                <w:szCs w:val="20"/>
                <w:color w:val="auto"/>
              </w:rPr>
            </w:pPr>
            <w:r>
              <w:rPr>
                <w:rFonts w:ascii="Arial" w:cs="Arial" w:eastAsia="Arial" w:hAnsi="Arial"/>
                <w:sz w:val="12"/>
                <w:szCs w:val="12"/>
                <w:b w:val="1"/>
                <w:bCs w:val="1"/>
                <w:color w:val="auto"/>
                <w:w w:val="99"/>
              </w:rPr>
              <w:t>Units</w:t>
            </w:r>
          </w:p>
        </w:tc>
        <w:tc>
          <w:tcPr>
            <w:tcW w:w="5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Capital</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Partners’ Capital</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rPr>
              <w:t>Accumulated</w:t>
            </w:r>
          </w:p>
        </w:tc>
        <w:tc>
          <w:tcPr>
            <w:tcW w:w="9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Noncontrolling</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33"/>
              <w:spacing w:after="0" w:line="133" w:lineRule="exact"/>
              <w:rPr>
                <w:sz w:val="20"/>
                <w:szCs w:val="20"/>
                <w:color w:val="auto"/>
              </w:rPr>
            </w:pPr>
            <w:r>
              <w:rPr>
                <w:rFonts w:ascii="Arial" w:cs="Arial" w:eastAsia="Arial" w:hAnsi="Arial"/>
                <w:sz w:val="12"/>
                <w:szCs w:val="12"/>
                <w:b w:val="1"/>
                <w:bCs w:val="1"/>
                <w:color w:val="auto"/>
                <w:w w:val="98"/>
              </w:rPr>
              <w:t>Noncontrolling</w:t>
            </w:r>
          </w:p>
        </w:tc>
        <w:tc>
          <w:tcPr>
            <w:tcW w:w="0" w:type="dxa"/>
            <w:vAlign w:val="bottom"/>
          </w:tcPr>
          <w:p>
            <w:pPr>
              <w:spacing w:after="0"/>
              <w:rPr>
                <w:sz w:val="1"/>
                <w:szCs w:val="1"/>
                <w:color w:val="auto"/>
              </w:rPr>
            </w:pPr>
          </w:p>
        </w:tc>
      </w:tr>
      <w:tr>
        <w:trPr>
          <w:trHeight w:val="114"/>
        </w:trPr>
        <w:tc>
          <w:tcPr>
            <w:tcW w:w="3620" w:type="dxa"/>
            <w:vAlign w:val="bottom"/>
          </w:tcPr>
          <w:p>
            <w:pPr>
              <w:spacing w:after="0"/>
              <w:rPr>
                <w:sz w:val="9"/>
                <w:szCs w:val="9"/>
                <w:color w:val="auto"/>
              </w:rPr>
            </w:pPr>
          </w:p>
        </w:tc>
        <w:tc>
          <w:tcPr>
            <w:tcW w:w="9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General</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Limited</w:t>
            </w:r>
          </w:p>
        </w:tc>
        <w:tc>
          <w:tcPr>
            <w:tcW w:w="100" w:type="dxa"/>
            <w:vAlign w:val="bottom"/>
          </w:tcPr>
          <w:p>
            <w:pPr>
              <w:spacing w:after="0"/>
              <w:rPr>
                <w:sz w:val="9"/>
                <w:szCs w:val="9"/>
                <w:color w:val="auto"/>
              </w:rPr>
            </w:pPr>
          </w:p>
        </w:tc>
        <w:tc>
          <w:tcPr>
            <w:tcW w:w="980" w:type="dxa"/>
            <w:vAlign w:val="bottom"/>
            <w:gridSpan w:val="2"/>
          </w:tcPr>
          <w:p>
            <w:pPr>
              <w:jc w:val="center"/>
              <w:ind w:right="180"/>
              <w:spacing w:after="0" w:line="114" w:lineRule="exact"/>
              <w:rPr>
                <w:sz w:val="20"/>
                <w:szCs w:val="20"/>
                <w:color w:val="auto"/>
              </w:rPr>
            </w:pPr>
            <w:r>
              <w:rPr>
                <w:rFonts w:ascii="Arial" w:cs="Arial" w:eastAsia="Arial" w:hAnsi="Arial"/>
                <w:sz w:val="12"/>
                <w:szCs w:val="12"/>
                <w:b w:val="1"/>
                <w:bCs w:val="1"/>
                <w:color w:val="auto"/>
                <w:w w:val="98"/>
              </w:rPr>
              <w:t>(General and</w:t>
            </w:r>
          </w:p>
        </w:tc>
        <w:tc>
          <w:tcPr>
            <w:tcW w:w="80" w:type="dxa"/>
            <w:vAlign w:val="bottom"/>
          </w:tcPr>
          <w:p>
            <w:pPr>
              <w:spacing w:after="0"/>
              <w:rPr>
                <w:sz w:val="9"/>
                <w:szCs w:val="9"/>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Preferred</w:t>
            </w:r>
          </w:p>
        </w:tc>
        <w:tc>
          <w:tcPr>
            <w:tcW w:w="100" w:type="dxa"/>
            <w:vAlign w:val="bottom"/>
          </w:tcPr>
          <w:p>
            <w:pPr>
              <w:spacing w:after="0"/>
              <w:rPr>
                <w:sz w:val="9"/>
                <w:szCs w:val="9"/>
                <w:color w:val="auto"/>
              </w:rPr>
            </w:pPr>
          </w:p>
        </w:tc>
        <w:tc>
          <w:tcPr>
            <w:tcW w:w="980" w:type="dxa"/>
            <w:vAlign w:val="bottom"/>
            <w:gridSpan w:val="2"/>
          </w:tcPr>
          <w:p>
            <w:pPr>
              <w:jc w:val="center"/>
              <w:ind w:right="180"/>
              <w:spacing w:after="0" w:line="114"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9"/>
                <w:szCs w:val="9"/>
                <w:color w:val="auto"/>
              </w:rPr>
            </w:pPr>
          </w:p>
        </w:tc>
        <w:tc>
          <w:tcPr>
            <w:tcW w:w="860" w:type="dxa"/>
            <w:vAlign w:val="bottom"/>
            <w:gridSpan w:val="2"/>
          </w:tcPr>
          <w:p>
            <w:pPr>
              <w:jc w:val="center"/>
              <w:ind w:right="200"/>
              <w:spacing w:after="0" w:line="114" w:lineRule="exact"/>
              <w:rPr>
                <w:sz w:val="20"/>
                <w:szCs w:val="20"/>
                <w:color w:val="auto"/>
              </w:rPr>
            </w:pPr>
            <w:r>
              <w:rPr>
                <w:rFonts w:ascii="Arial" w:cs="Arial" w:eastAsia="Arial" w:hAnsi="Arial"/>
                <w:sz w:val="12"/>
                <w:szCs w:val="12"/>
                <w:b w:val="1"/>
                <w:bCs w:val="1"/>
                <w:color w:val="auto"/>
              </w:rPr>
              <w:t>Interests -</w:t>
            </w: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center"/>
              <w:ind w:right="33"/>
              <w:spacing w:after="0" w:line="114" w:lineRule="exact"/>
              <w:rPr>
                <w:sz w:val="20"/>
                <w:szCs w:val="20"/>
                <w:color w:val="auto"/>
              </w:rPr>
            </w:pPr>
            <w:r>
              <w:rPr>
                <w:rFonts w:ascii="Arial" w:cs="Arial" w:eastAsia="Arial" w:hAnsi="Arial"/>
                <w:sz w:val="12"/>
                <w:szCs w:val="12"/>
                <w:b w:val="1"/>
                <w:bCs w:val="1"/>
                <w:color w:val="auto"/>
                <w:w w:val="97"/>
              </w:rPr>
              <w:t>Interests -</w:t>
            </w:r>
          </w:p>
        </w:tc>
        <w:tc>
          <w:tcPr>
            <w:tcW w:w="0" w:type="dxa"/>
            <w:vAlign w:val="bottom"/>
          </w:tcPr>
          <w:p>
            <w:pPr>
              <w:spacing w:after="0"/>
              <w:rPr>
                <w:sz w:val="1"/>
                <w:szCs w:val="1"/>
                <w:color w:val="auto"/>
              </w:rPr>
            </w:pPr>
          </w:p>
        </w:tc>
      </w:tr>
      <w:tr>
        <w:trPr>
          <w:trHeight w:val="114"/>
        </w:trPr>
        <w:tc>
          <w:tcPr>
            <w:tcW w:w="362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200"/>
              <w:spacing w:after="0" w:line="114" w:lineRule="exact"/>
              <w:rPr>
                <w:sz w:val="20"/>
                <w:szCs w:val="20"/>
                <w:color w:val="auto"/>
              </w:rPr>
            </w:pPr>
            <w:r>
              <w:rPr>
                <w:rFonts w:ascii="Arial" w:cs="Arial" w:eastAsia="Arial" w:hAnsi="Arial"/>
                <w:sz w:val="12"/>
                <w:szCs w:val="12"/>
                <w:b w:val="1"/>
                <w:bCs w:val="1"/>
                <w:color w:val="auto"/>
                <w:w w:val="98"/>
              </w:rPr>
              <w:t>Limited</w:t>
            </w: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80" w:type="dxa"/>
            <w:vAlign w:val="bottom"/>
            <w:gridSpan w:val="3"/>
          </w:tcPr>
          <w:p>
            <w:pPr>
              <w:jc w:val="center"/>
              <w:ind w:right="80"/>
              <w:spacing w:after="0" w:line="114" w:lineRule="exact"/>
              <w:rPr>
                <w:sz w:val="20"/>
                <w:szCs w:val="20"/>
                <w:color w:val="auto"/>
              </w:rPr>
            </w:pPr>
            <w:r>
              <w:rPr>
                <w:rFonts w:ascii="Arial" w:cs="Arial" w:eastAsia="Arial" w:hAnsi="Arial"/>
                <w:sz w:val="12"/>
                <w:szCs w:val="12"/>
                <w:b w:val="1"/>
                <w:bCs w:val="1"/>
                <w:color w:val="auto"/>
                <w:w w:val="97"/>
              </w:rPr>
              <w:t>Comprehensive</w:t>
            </w:r>
          </w:p>
        </w:tc>
        <w:tc>
          <w:tcPr>
            <w:tcW w:w="120" w:type="dxa"/>
            <w:vAlign w:val="bottom"/>
          </w:tcPr>
          <w:p>
            <w:pPr>
              <w:spacing w:after="0"/>
              <w:rPr>
                <w:sz w:val="9"/>
                <w:szCs w:val="9"/>
                <w:color w:val="auto"/>
              </w:rPr>
            </w:pPr>
          </w:p>
        </w:tc>
        <w:tc>
          <w:tcPr>
            <w:tcW w:w="860" w:type="dxa"/>
            <w:vAlign w:val="bottom"/>
            <w:gridSpan w:val="2"/>
          </w:tcPr>
          <w:p>
            <w:pPr>
              <w:jc w:val="center"/>
              <w:ind w:right="200"/>
              <w:spacing w:after="0" w:line="114" w:lineRule="exact"/>
              <w:rPr>
                <w:sz w:val="20"/>
                <w:szCs w:val="20"/>
                <w:color w:val="auto"/>
              </w:rPr>
            </w:pPr>
            <w:r>
              <w:rPr>
                <w:rFonts w:ascii="Arial" w:cs="Arial" w:eastAsia="Arial" w:hAnsi="Arial"/>
                <w:sz w:val="12"/>
                <w:szCs w:val="12"/>
                <w:b w:val="1"/>
                <w:bCs w:val="1"/>
                <w:color w:val="auto"/>
              </w:rPr>
              <w:t>Property</w:t>
            </w:r>
          </w:p>
        </w:tc>
        <w:tc>
          <w:tcPr>
            <w:tcW w:w="7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Total Capital</w:t>
            </w:r>
          </w:p>
        </w:tc>
        <w:tc>
          <w:tcPr>
            <w:tcW w:w="18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center"/>
              <w:ind w:right="53"/>
              <w:spacing w:after="0" w:line="114" w:lineRule="exact"/>
              <w:rPr>
                <w:sz w:val="20"/>
                <w:szCs w:val="20"/>
                <w:color w:val="auto"/>
              </w:rPr>
            </w:pPr>
            <w:r>
              <w:rPr>
                <w:rFonts w:ascii="Arial" w:cs="Arial" w:eastAsia="Arial" w:hAnsi="Arial"/>
                <w:sz w:val="12"/>
                <w:szCs w:val="12"/>
                <w:b w:val="1"/>
                <w:bCs w:val="1"/>
                <w:color w:val="auto"/>
                <w:w w:val="98"/>
              </w:rPr>
              <w:t>Redeemable</w:t>
            </w:r>
          </w:p>
        </w:tc>
        <w:tc>
          <w:tcPr>
            <w:tcW w:w="0" w:type="dxa"/>
            <w:vAlign w:val="bottom"/>
          </w:tcPr>
          <w:p>
            <w:pPr>
              <w:spacing w:after="0"/>
              <w:rPr>
                <w:sz w:val="1"/>
                <w:szCs w:val="1"/>
                <w:color w:val="auto"/>
              </w:rPr>
            </w:pPr>
          </w:p>
        </w:tc>
      </w:tr>
      <w:tr>
        <w:trPr>
          <w:trHeight w:val="174"/>
        </w:trPr>
        <w:tc>
          <w:tcPr>
            <w:tcW w:w="36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2"/>
                <w:szCs w:val="12"/>
                <w:b w:val="1"/>
                <w:bCs w:val="1"/>
                <w:color w:val="auto"/>
              </w:rPr>
              <w:t>Partner</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Partner</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3"/>
              <w:spacing w:after="0"/>
              <w:rPr>
                <w:sz w:val="20"/>
                <w:szCs w:val="20"/>
                <w:color w:val="auto"/>
              </w:rPr>
            </w:pPr>
            <w:r>
              <w:rPr>
                <w:rFonts w:ascii="Arial" w:cs="Arial" w:eastAsia="Arial" w:hAnsi="Arial"/>
                <w:sz w:val="12"/>
                <w:szCs w:val="12"/>
                <w:b w:val="1"/>
                <w:bCs w:val="1"/>
                <w:color w:val="auto"/>
                <w:w w:val="98"/>
              </w:rPr>
              <w:t>Partners)</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2"/>
                <w:szCs w:val="12"/>
                <w:b w:val="1"/>
                <w:bCs w:val="1"/>
                <w:color w:val="auto"/>
              </w:rPr>
              <w:t>Units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2"/>
                <w:szCs w:val="12"/>
                <w:b w:val="1"/>
                <w:bCs w:val="1"/>
                <w:color w:val="auto"/>
                <w:w w:val="99"/>
              </w:rPr>
              <w:t>Loss</w:t>
            </w:r>
          </w:p>
        </w:tc>
        <w:tc>
          <w:tcPr>
            <w:tcW w:w="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8"/>
              </w:rPr>
              <w:t>Partnerships</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9"/>
              </w:rPr>
              <w:t>Partnership Units</w:t>
            </w:r>
          </w:p>
        </w:tc>
        <w:tc>
          <w:tcPr>
            <w:tcW w:w="0" w:type="dxa"/>
            <w:vAlign w:val="bottom"/>
          </w:tcPr>
          <w:p>
            <w:pPr>
              <w:spacing w:after="0"/>
              <w:rPr>
                <w:sz w:val="1"/>
                <w:szCs w:val="1"/>
                <w:color w:val="auto"/>
              </w:rPr>
            </w:pPr>
          </w:p>
        </w:tc>
      </w:tr>
      <w:tr>
        <w:trPr>
          <w:trHeight w:val="186"/>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December 31, 2021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154,799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4,173,290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(36,662)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1,556,553</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$ 5,693,181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2,078,603</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w w:val="98"/>
              </w:rPr>
              <w:t>Net activity from contributions and unearned compensation</w:t>
            </w: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6,967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6,967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39,543</w:t>
            </w: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Allocated net income for the period</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736,374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54,896</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791,270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82,821</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Distributions</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(460,789)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(460,789)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(53,789)</w:t>
            </w: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redeemable partnership units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(6,388)</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line="140" w:lineRule="exact"/>
              <w:rPr>
                <w:sz w:val="20"/>
                <w:szCs w:val="20"/>
                <w:color w:val="auto"/>
              </w:rPr>
            </w:pPr>
            <w:r>
              <w:rPr>
                <w:rFonts w:ascii="Arial" w:cs="Arial" w:eastAsia="Arial" w:hAnsi="Arial"/>
                <w:sz w:val="14"/>
                <w:szCs w:val="14"/>
                <w:color w:val="auto"/>
              </w:rPr>
              <w:t>Adjustment to reflect redeemable partnership units at</w:t>
            </w: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735,355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735,355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(735,355)</w:t>
            </w:r>
          </w:p>
        </w:tc>
        <w:tc>
          <w:tcPr>
            <w:tcW w:w="0" w:type="dxa"/>
            <w:vAlign w:val="bottom"/>
          </w:tcPr>
          <w:p>
            <w:pPr>
              <w:spacing w:after="0"/>
              <w:rPr>
                <w:sz w:val="1"/>
                <w:szCs w:val="1"/>
                <w:color w:val="auto"/>
              </w:rPr>
            </w:pPr>
          </w:p>
        </w:tc>
      </w:tr>
      <w:tr>
        <w:trPr>
          <w:trHeight w:val="177"/>
        </w:trPr>
        <w:tc>
          <w:tcPr>
            <w:tcW w:w="3620" w:type="dxa"/>
            <w:vAlign w:val="bottom"/>
          </w:tcPr>
          <w:p>
            <w:pPr>
              <w:ind w:left="100"/>
              <w:spacing w:after="0"/>
              <w:rPr>
                <w:sz w:val="20"/>
                <w:szCs w:val="20"/>
                <w:color w:val="auto"/>
              </w:rPr>
            </w:pPr>
            <w:r>
              <w:rPr>
                <w:rFonts w:ascii="Arial" w:cs="Arial" w:eastAsia="Arial" w:hAnsi="Arial"/>
                <w:sz w:val="14"/>
                <w:szCs w:val="14"/>
                <w:color w:val="auto"/>
              </w:rPr>
              <w:t>redemption value</w:t>
            </w:r>
          </w:p>
        </w:tc>
        <w:tc>
          <w:tcPr>
            <w:tcW w:w="92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16,540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Arial" w:cs="Arial" w:eastAsia="Arial" w:hAnsi="Arial"/>
                <w:sz w:val="14"/>
                <w:szCs w:val="14"/>
                <w:color w:val="auto"/>
              </w:rPr>
              <w:t>4,131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432</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4,563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44"/>
        </w:trPr>
        <w:tc>
          <w:tcPr>
            <w:tcW w:w="362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Contributions from noncontrolling interests in property</w:t>
            </w:r>
          </w:p>
        </w:tc>
        <w:tc>
          <w:tcPr>
            <w:tcW w:w="9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849</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3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partnerships</w:t>
            </w:r>
          </w:p>
        </w:tc>
        <w:tc>
          <w:tcPr>
            <w:tcW w:w="920" w:type="dxa"/>
            <w:vAlign w:val="bottom"/>
            <w:gridSpan w:val="3"/>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line="140" w:lineRule="exact"/>
              <w:rPr>
                <w:sz w:val="20"/>
                <w:szCs w:val="20"/>
                <w:color w:val="auto"/>
              </w:rPr>
            </w:pPr>
            <w:r>
              <w:rPr>
                <w:rFonts w:ascii="Arial" w:cs="Arial" w:eastAsia="Arial" w:hAnsi="Arial"/>
                <w:sz w:val="14"/>
                <w:szCs w:val="14"/>
                <w:color w:val="auto"/>
              </w:rPr>
              <w:t>Distributions to noncontrolling interests in property</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ind w:right="14"/>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(61,229)</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(61,229)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6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partnerships</w:t>
            </w: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September 30, 2022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155,005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5,197,585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1,551,501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$ 6,733,095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1,407,762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December 31, 2020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153,988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4,554,639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193,623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(49,890)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1,726,933</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$ 6,425,305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1,643,024</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w w:val="98"/>
              </w:rPr>
              <w:t>Net activity from contributions and unearned compensation</w:t>
            </w: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21,900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21,900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39,332</w:t>
            </w: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Allocated net income for the period</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324,652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52,602</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379,814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35,393</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Distributions</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(459,048)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(461,608)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(51,743)</w:t>
            </w: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unit redemption</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(193,623)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(193,623)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Preferred unit redemption charge</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(6,412)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(6,412)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redeemable partnership units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(8,033)</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line="140" w:lineRule="exact"/>
              <w:rPr>
                <w:sz w:val="20"/>
                <w:szCs w:val="20"/>
                <w:color w:val="auto"/>
              </w:rPr>
            </w:pPr>
            <w:r>
              <w:rPr>
                <w:rFonts w:ascii="Arial" w:cs="Arial" w:eastAsia="Arial" w:hAnsi="Arial"/>
                <w:sz w:val="14"/>
                <w:szCs w:val="14"/>
                <w:color w:val="auto"/>
              </w:rPr>
              <w:t>Adjustment to reflect redeemable partnership units at</w:t>
            </w: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(234,647)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(234,647)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13"/>
              <w:spacing w:after="0"/>
              <w:rPr>
                <w:sz w:val="20"/>
                <w:szCs w:val="20"/>
                <w:color w:val="auto"/>
              </w:rPr>
            </w:pPr>
            <w:r>
              <w:rPr>
                <w:rFonts w:ascii="Arial" w:cs="Arial" w:eastAsia="Arial" w:hAnsi="Arial"/>
                <w:sz w:val="14"/>
                <w:szCs w:val="14"/>
                <w:color w:val="auto"/>
              </w:rPr>
              <w:t>234,647</w:t>
            </w:r>
          </w:p>
        </w:tc>
        <w:tc>
          <w:tcPr>
            <w:tcW w:w="0" w:type="dxa"/>
            <w:vAlign w:val="bottom"/>
          </w:tcPr>
          <w:p>
            <w:pPr>
              <w:spacing w:after="0"/>
              <w:rPr>
                <w:sz w:val="1"/>
                <w:szCs w:val="1"/>
                <w:color w:val="auto"/>
              </w:rPr>
            </w:pPr>
          </w:p>
        </w:tc>
      </w:tr>
      <w:tr>
        <w:trPr>
          <w:trHeight w:val="177"/>
        </w:trPr>
        <w:tc>
          <w:tcPr>
            <w:tcW w:w="3620" w:type="dxa"/>
            <w:vAlign w:val="bottom"/>
          </w:tcPr>
          <w:p>
            <w:pPr>
              <w:ind w:left="100"/>
              <w:spacing w:after="0"/>
              <w:rPr>
                <w:sz w:val="20"/>
                <w:szCs w:val="20"/>
                <w:color w:val="auto"/>
              </w:rPr>
            </w:pPr>
            <w:r>
              <w:rPr>
                <w:rFonts w:ascii="Arial" w:cs="Arial" w:eastAsia="Arial" w:hAnsi="Arial"/>
                <w:sz w:val="14"/>
                <w:szCs w:val="14"/>
                <w:color w:val="auto"/>
              </w:rPr>
              <w:t>redemption value</w:t>
            </w:r>
          </w:p>
        </w:tc>
        <w:tc>
          <w:tcPr>
            <w:tcW w:w="92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4,943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Arial" w:cs="Arial" w:eastAsia="Arial" w:hAnsi="Arial"/>
                <w:sz w:val="14"/>
                <w:szCs w:val="14"/>
                <w:color w:val="auto"/>
              </w:rPr>
              <w:t>4,144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432</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4,576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44"/>
        </w:trPr>
        <w:tc>
          <w:tcPr>
            <w:tcW w:w="362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Contributions from noncontrolling interests in property</w:t>
            </w:r>
          </w:p>
        </w:tc>
        <w:tc>
          <w:tcPr>
            <w:tcW w:w="9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13,738</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13,738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partnerships</w:t>
            </w:r>
          </w:p>
        </w:tc>
        <w:tc>
          <w:tcPr>
            <w:tcW w:w="920" w:type="dxa"/>
            <w:vAlign w:val="bottom"/>
            <w:gridSpan w:val="3"/>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line="140" w:lineRule="exact"/>
              <w:rPr>
                <w:sz w:val="20"/>
                <w:szCs w:val="20"/>
                <w:color w:val="auto"/>
              </w:rPr>
            </w:pPr>
            <w:r>
              <w:rPr>
                <w:rFonts w:ascii="Arial" w:cs="Arial" w:eastAsia="Arial" w:hAnsi="Arial"/>
                <w:sz w:val="14"/>
                <w:szCs w:val="14"/>
                <w:color w:val="auto"/>
              </w:rPr>
              <w:t>Distributions to noncontrolling interests in property</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ind w:right="14"/>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(65,604)</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(65,604)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partnerships</w:t>
            </w: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September 30, 2021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154,470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4,209,117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(40,803)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1,728,101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$ 5,896,415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1,893,611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BOSTON PROPERTIES LIMITED PARTNERSHIP</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304"/>
              <w:spacing w:after="0"/>
              <w:rPr>
                <w:sz w:val="20"/>
                <w:szCs w:val="20"/>
                <w:color w:val="auto"/>
              </w:rPr>
            </w:pPr>
            <w:r>
              <w:rPr>
                <w:rFonts w:ascii="Arial" w:cs="Arial" w:eastAsia="Arial" w:hAnsi="Arial"/>
                <w:sz w:val="15"/>
                <w:szCs w:val="15"/>
                <w:b w:val="1"/>
                <w:bCs w:val="1"/>
                <w:color w:val="auto"/>
              </w:rPr>
              <w:t>Nine months ended September 30,</w:t>
            </w:r>
          </w:p>
        </w:tc>
      </w:tr>
      <w:tr>
        <w:trPr>
          <w:trHeight w:val="196"/>
        </w:trPr>
        <w:tc>
          <w:tcPr>
            <w:tcW w:w="79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2022</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r>
      <w:tr>
        <w:trPr>
          <w:trHeight w:val="183"/>
        </w:trPr>
        <w:tc>
          <w:tcPr>
            <w:tcW w:w="7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2"/>
        </w:trPr>
        <w:tc>
          <w:tcPr>
            <w:tcW w:w="7960" w:type="dxa"/>
            <w:vAlign w:val="bottom"/>
          </w:tcPr>
          <w:p>
            <w:pPr>
              <w:ind w:left="320"/>
              <w:spacing w:after="0"/>
              <w:rPr>
                <w:sz w:val="20"/>
                <w:szCs w:val="20"/>
                <w:color w:val="auto"/>
              </w:rPr>
            </w:pPr>
            <w:r>
              <w:rPr>
                <w:rFonts w:ascii="Arial" w:cs="Arial" w:eastAsia="Arial" w:hAnsi="Arial"/>
                <w:sz w:val="15"/>
                <w:szCs w:val="15"/>
                <w:color w:val="auto"/>
              </w:rPr>
              <w:t>Net income</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874,091</w:t>
            </w:r>
          </w:p>
        </w:tc>
        <w:tc>
          <w:tcPr>
            <w:tcW w:w="16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415,207</w:t>
            </w:r>
          </w:p>
        </w:tc>
      </w:tr>
      <w:tr>
        <w:trPr>
          <w:trHeight w:val="20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Depreciation and amortization</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546,271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533,255</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Amortization of right of use assets - operating leases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3,208</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Non-cash compensation expense</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44,208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43,098</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Loss from unconsolidated joint ventures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1,389</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1,745</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Distributions of net cash flow from operations of unconsolidated joint ventures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20,511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18,462</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Losses (gains) from investments in securities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8,549</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(3,744)</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Allowance for current expected credit losses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(476)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(758)</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Non-cash portion of interest expense</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19,704</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17,584</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Settlement of accreted debt discount on redemption of unsecured senior notes</w:t>
            </w:r>
          </w:p>
        </w:tc>
        <w:tc>
          <w:tcPr>
            <w:tcW w:w="24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(6,290)</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Losses from early extinguishments of debt</w:t>
            </w:r>
          </w:p>
        </w:tc>
        <w:tc>
          <w:tcPr>
            <w:tcW w:w="2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898</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Other income - assignment fee</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(6,624)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Gains on sales of real estate</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(385,349)</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(8,104)</w:t>
            </w:r>
          </w:p>
        </w:tc>
      </w:tr>
      <w:tr>
        <w:trPr>
          <w:trHeight w:val="202"/>
        </w:trPr>
        <w:tc>
          <w:tcPr>
            <w:tcW w:w="7960" w:type="dxa"/>
            <w:vAlign w:val="bottom"/>
          </w:tcPr>
          <w:p>
            <w:pPr>
              <w:ind w:left="320"/>
              <w:spacing w:after="0"/>
              <w:rPr>
                <w:sz w:val="20"/>
                <w:szCs w:val="20"/>
                <w:color w:val="auto"/>
              </w:rPr>
            </w:pPr>
            <w:r>
              <w:rPr>
                <w:rFonts w:ascii="Arial" w:cs="Arial" w:eastAsia="Arial" w:hAnsi="Arial"/>
                <w:sz w:val="15"/>
                <w:szCs w:val="15"/>
                <w:color w:val="auto"/>
              </w:rPr>
              <w:t>Change in assets and liabilities:</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Tenant and other receivables, net</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13,738</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Notes receivable, net</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(152)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(419)</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Accrued rental income, net</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(76,268)</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(74,283)</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Prepaid expenses and other assets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(46,104)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(61,019)</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Lease liabilities - operating leases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(24,023)</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Accounts payable and accrued expenses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3,167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26,097</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Accrued interest payable</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(18,237)</w:t>
            </w:r>
          </w:p>
        </w:tc>
      </w:tr>
      <w:tr>
        <w:trPr>
          <w:trHeight w:val="202"/>
        </w:trPr>
        <w:tc>
          <w:tcPr>
            <w:tcW w:w="7960" w:type="dxa"/>
            <w:vAlign w:val="bottom"/>
          </w:tcPr>
          <w:p>
            <w:pPr>
              <w:ind w:left="620"/>
              <w:spacing w:after="0"/>
              <w:rPr>
                <w:sz w:val="20"/>
                <w:szCs w:val="20"/>
                <w:color w:val="auto"/>
              </w:rPr>
            </w:pPr>
            <w:r>
              <w:rPr>
                <w:rFonts w:ascii="Arial" w:cs="Arial" w:eastAsia="Arial" w:hAnsi="Arial"/>
                <w:sz w:val="15"/>
                <w:szCs w:val="15"/>
                <w:color w:val="auto"/>
              </w:rPr>
              <w:t>Other liabilities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(35,490)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(51,938)</w:t>
            </w:r>
          </w:p>
        </w:tc>
      </w:tr>
      <w:tr>
        <w:trPr>
          <w:trHeight w:val="204"/>
        </w:trPr>
        <w:tc>
          <w:tcPr>
            <w:tcW w:w="79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Tenant leasing costs</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(58,547)</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(37,618)</w:t>
            </w:r>
          </w:p>
        </w:tc>
      </w:tr>
      <w:tr>
        <w:trPr>
          <w:trHeight w:val="194"/>
        </w:trPr>
        <w:tc>
          <w:tcPr>
            <w:tcW w:w="7960" w:type="dxa"/>
            <w:vAlign w:val="bottom"/>
            <w:tcBorders>
              <w:bottom w:val="single" w:sz="8" w:color="CCEEFF"/>
            </w:tcBorders>
          </w:tcPr>
          <w:p>
            <w:pPr>
              <w:ind w:left="1040"/>
              <w:spacing w:after="0"/>
              <w:rPr>
                <w:sz w:val="20"/>
                <w:szCs w:val="20"/>
                <w:color w:val="auto"/>
              </w:rPr>
            </w:pPr>
            <w:r>
              <w:rPr>
                <w:rFonts w:ascii="Arial" w:cs="Arial" w:eastAsia="Arial" w:hAnsi="Arial"/>
                <w:sz w:val="15"/>
                <w:szCs w:val="15"/>
                <w:color w:val="auto"/>
              </w:rPr>
              <w:t>Total adjustments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38,312</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371,652</w:t>
            </w:r>
          </w:p>
        </w:tc>
      </w:tr>
      <w:tr>
        <w:trPr>
          <w:trHeight w:val="197"/>
        </w:trPr>
        <w:tc>
          <w:tcPr>
            <w:tcW w:w="7960" w:type="dxa"/>
            <w:vAlign w:val="bottom"/>
            <w:shd w:val="clear" w:color="auto" w:fill="CCEEFF"/>
          </w:tcPr>
          <w:p>
            <w:pPr>
              <w:ind w:left="1040"/>
              <w:spacing w:after="0"/>
              <w:rPr>
                <w:sz w:val="20"/>
                <w:szCs w:val="20"/>
                <w:color w:val="auto"/>
              </w:rPr>
            </w:pPr>
            <w:r>
              <w:rPr>
                <w:rFonts w:ascii="Arial" w:cs="Arial" w:eastAsia="Arial" w:hAnsi="Arial"/>
                <w:sz w:val="15"/>
                <w:szCs w:val="15"/>
                <w:color w:val="auto"/>
              </w:rPr>
              <w:t>Net cash provided by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912,403</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786,859</w:t>
            </w:r>
          </w:p>
        </w:tc>
      </w:tr>
      <w:tr>
        <w:trPr>
          <w:trHeight w:val="182"/>
        </w:trPr>
        <w:tc>
          <w:tcPr>
            <w:tcW w:w="7960" w:type="dxa"/>
            <w:vAlign w:val="bottom"/>
          </w:tcPr>
          <w:p>
            <w:pPr>
              <w:ind w:left="20"/>
              <w:spacing w:after="0"/>
              <w:rPr>
                <w:sz w:val="20"/>
                <w:szCs w:val="20"/>
                <w:color w:val="auto"/>
              </w:rPr>
            </w:pPr>
            <w:r>
              <w:rPr>
                <w:rFonts w:ascii="Arial" w:cs="Arial" w:eastAsia="Arial" w:hAnsi="Arial"/>
                <w:sz w:val="15"/>
                <w:szCs w:val="15"/>
                <w:color w:val="auto"/>
              </w:rPr>
              <w:t>Cash flows from investing activities: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Acquisitions of real estate</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(1,320,273)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(218,679)</w:t>
            </w:r>
          </w:p>
        </w:tc>
      </w:tr>
      <w:tr>
        <w:trPr>
          <w:trHeight w:val="202"/>
        </w:trPr>
        <w:tc>
          <w:tcPr>
            <w:tcW w:w="7960" w:type="dxa"/>
            <w:vAlign w:val="bottom"/>
          </w:tcPr>
          <w:p>
            <w:pPr>
              <w:ind w:left="320"/>
              <w:spacing w:after="0"/>
              <w:rPr>
                <w:sz w:val="20"/>
                <w:szCs w:val="20"/>
                <w:color w:val="auto"/>
              </w:rPr>
            </w:pPr>
            <w:r>
              <w:rPr>
                <w:rFonts w:ascii="Arial" w:cs="Arial" w:eastAsia="Arial" w:hAnsi="Arial"/>
                <w:sz w:val="15"/>
                <w:szCs w:val="15"/>
                <w:color w:val="auto"/>
              </w:rPr>
              <w:t>Construction in progress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(384,083)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(381,104)</w:t>
            </w:r>
          </w:p>
        </w:tc>
      </w:tr>
      <w:tr>
        <w:trPr>
          <w:trHeight w:val="20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Building and other capital improvements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(112,755)</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(103,840)</w:t>
            </w:r>
          </w:p>
        </w:tc>
      </w:tr>
      <w:tr>
        <w:trPr>
          <w:trHeight w:val="202"/>
        </w:trPr>
        <w:tc>
          <w:tcPr>
            <w:tcW w:w="7960" w:type="dxa"/>
            <w:vAlign w:val="bottom"/>
          </w:tcPr>
          <w:p>
            <w:pPr>
              <w:ind w:left="320"/>
              <w:spacing w:after="0"/>
              <w:rPr>
                <w:sz w:val="20"/>
                <w:szCs w:val="20"/>
                <w:color w:val="auto"/>
              </w:rPr>
            </w:pPr>
            <w:r>
              <w:rPr>
                <w:rFonts w:ascii="Arial" w:cs="Arial" w:eastAsia="Arial" w:hAnsi="Arial"/>
                <w:sz w:val="15"/>
                <w:szCs w:val="15"/>
                <w:color w:val="auto"/>
              </w:rPr>
              <w:t>Tenant improvements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(139,986)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(218,878)</w:t>
            </w:r>
          </w:p>
        </w:tc>
      </w:tr>
      <w:tr>
        <w:trPr>
          <w:trHeight w:val="20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sales of real estate</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695,231</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7960" w:type="dxa"/>
            <w:vAlign w:val="bottom"/>
          </w:tcPr>
          <w:p>
            <w:pPr>
              <w:ind w:left="320"/>
              <w:spacing w:after="0"/>
              <w:rPr>
                <w:sz w:val="20"/>
                <w:szCs w:val="20"/>
                <w:color w:val="auto"/>
              </w:rPr>
            </w:pPr>
            <w:r>
              <w:rPr>
                <w:rFonts w:ascii="Arial" w:cs="Arial" w:eastAsia="Arial" w:hAnsi="Arial"/>
                <w:sz w:val="15"/>
                <w:szCs w:val="15"/>
                <w:color w:val="auto"/>
              </w:rPr>
              <w:t>Proceeds from assignment fee</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6,624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Capital contributions to unconsolidated joint ventures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(109,643)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(95,462)</w:t>
            </w:r>
          </w:p>
        </w:tc>
      </w:tr>
      <w:tr>
        <w:trPr>
          <w:trHeight w:val="202"/>
        </w:trPr>
        <w:tc>
          <w:tcPr>
            <w:tcW w:w="7960" w:type="dxa"/>
            <w:vAlign w:val="bottom"/>
          </w:tcPr>
          <w:p>
            <w:pPr>
              <w:ind w:left="320"/>
              <w:spacing w:after="0"/>
              <w:rPr>
                <w:sz w:val="20"/>
                <w:szCs w:val="20"/>
                <w:color w:val="auto"/>
              </w:rPr>
            </w:pPr>
            <w:r>
              <w:rPr>
                <w:rFonts w:ascii="Arial" w:cs="Arial" w:eastAsia="Arial" w:hAnsi="Arial"/>
                <w:sz w:val="15"/>
                <w:szCs w:val="15"/>
                <w:color w:val="auto"/>
              </w:rPr>
              <w:t>Capital distributions from unconsolidated joint ventures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36,622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122</w:t>
            </w:r>
          </w:p>
        </w:tc>
      </w:tr>
      <w:tr>
        <w:trPr>
          <w:trHeight w:val="20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sale of investment in unconsolidated joint venture</w:t>
            </w:r>
          </w:p>
        </w:tc>
        <w:tc>
          <w:tcPr>
            <w:tcW w:w="2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17,789</w:t>
            </w:r>
          </w:p>
        </w:tc>
      </w:tr>
      <w:tr>
        <w:trPr>
          <w:trHeight w:val="202"/>
        </w:trPr>
        <w:tc>
          <w:tcPr>
            <w:tcW w:w="7960" w:type="dxa"/>
            <w:vAlign w:val="bottom"/>
          </w:tcPr>
          <w:p>
            <w:pPr>
              <w:ind w:left="320"/>
              <w:spacing w:after="0"/>
              <w:rPr>
                <w:sz w:val="20"/>
                <w:szCs w:val="20"/>
                <w:color w:val="auto"/>
              </w:rPr>
            </w:pPr>
            <w:r>
              <w:rPr>
                <w:rFonts w:ascii="Arial" w:cs="Arial" w:eastAsia="Arial" w:hAnsi="Arial"/>
                <w:sz w:val="15"/>
                <w:szCs w:val="15"/>
                <w:color w:val="auto"/>
              </w:rPr>
              <w:t>Proceeds from notes receivable</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10,000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Investments in securities, net</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5,043</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1,684</w:t>
            </w:r>
          </w:p>
        </w:tc>
      </w:tr>
      <w:tr>
        <w:trPr>
          <w:trHeight w:val="194"/>
        </w:trPr>
        <w:tc>
          <w:tcPr>
            <w:tcW w:w="7960" w:type="dxa"/>
            <w:vAlign w:val="bottom"/>
            <w:tcBorders>
              <w:bottom w:val="single" w:sz="8" w:color="CCEEFF"/>
            </w:tcBorders>
          </w:tcPr>
          <w:p>
            <w:pPr>
              <w:ind w:left="1040"/>
              <w:spacing w:after="0"/>
              <w:rPr>
                <w:sz w:val="20"/>
                <w:szCs w:val="20"/>
                <w:color w:val="auto"/>
              </w:rPr>
            </w:pPr>
            <w:r>
              <w:rPr>
                <w:rFonts w:ascii="Arial" w:cs="Arial" w:eastAsia="Arial" w:hAnsi="Arial"/>
                <w:sz w:val="15"/>
                <w:szCs w:val="15"/>
                <w:color w:val="auto"/>
              </w:rPr>
              <w:t>Net cash used in investing activities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(1,313,220)</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(998,368)</w:t>
            </w:r>
          </w:p>
        </w:tc>
      </w:tr>
      <w:tr>
        <w:trPr>
          <w:trHeight w:val="184"/>
        </w:trPr>
        <w:tc>
          <w:tcPr>
            <w:tcW w:w="7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financing activities:</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2"/>
        </w:trPr>
        <w:tc>
          <w:tcPr>
            <w:tcW w:w="7960" w:type="dxa"/>
            <w:vAlign w:val="bottom"/>
          </w:tcPr>
          <w:p>
            <w:pPr>
              <w:ind w:left="320"/>
              <w:spacing w:after="0"/>
              <w:rPr>
                <w:sz w:val="20"/>
                <w:szCs w:val="20"/>
                <w:color w:val="auto"/>
              </w:rPr>
            </w:pPr>
            <w:r>
              <w:rPr>
                <w:rFonts w:ascii="Arial" w:cs="Arial" w:eastAsia="Arial" w:hAnsi="Arial"/>
                <w:sz w:val="15"/>
                <w:szCs w:val="15"/>
                <w:color w:val="auto"/>
              </w:rPr>
              <w:t>Repayments of mortgage notes payable</w:t>
            </w:r>
          </w:p>
        </w:tc>
        <w:tc>
          <w:tcPr>
            <w:tcW w:w="24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(13,261)</w:t>
            </w:r>
          </w:p>
        </w:tc>
      </w:tr>
      <w:tr>
        <w:trPr>
          <w:trHeight w:val="20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unsecured senior notes</w:t>
            </w:r>
          </w:p>
        </w:tc>
        <w:tc>
          <w:tcPr>
            <w:tcW w:w="2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1,695,996</w:t>
            </w:r>
          </w:p>
        </w:tc>
      </w:tr>
      <w:tr>
        <w:trPr>
          <w:trHeight w:val="200"/>
        </w:trPr>
        <w:tc>
          <w:tcPr>
            <w:tcW w:w="7960" w:type="dxa"/>
            <w:vAlign w:val="bottom"/>
          </w:tcPr>
          <w:p>
            <w:pPr>
              <w:ind w:left="320"/>
              <w:spacing w:after="0"/>
              <w:rPr>
                <w:sz w:val="20"/>
                <w:szCs w:val="20"/>
                <w:color w:val="auto"/>
              </w:rPr>
            </w:pPr>
            <w:r>
              <w:rPr>
                <w:rFonts w:ascii="Arial" w:cs="Arial" w:eastAsia="Arial" w:hAnsi="Arial"/>
                <w:sz w:val="15"/>
                <w:szCs w:val="15"/>
                <w:color w:val="auto"/>
              </w:rPr>
              <w:t>Redemption of unsecured senior notes</w:t>
            </w:r>
          </w:p>
        </w:tc>
        <w:tc>
          <w:tcPr>
            <w:tcW w:w="24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(843,710)</w:t>
            </w:r>
          </w:p>
        </w:tc>
      </w:tr>
    </w:tbl>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BOSTON PROPERTIES LIMITED PARTNERSHIP</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304"/>
              <w:spacing w:after="0"/>
              <w:rPr>
                <w:sz w:val="20"/>
                <w:szCs w:val="20"/>
                <w:color w:val="auto"/>
              </w:rPr>
            </w:pPr>
            <w:r>
              <w:rPr>
                <w:rFonts w:ascii="Arial" w:cs="Arial" w:eastAsia="Arial" w:hAnsi="Arial"/>
                <w:sz w:val="15"/>
                <w:szCs w:val="15"/>
                <w:b w:val="1"/>
                <w:bCs w:val="1"/>
                <w:color w:val="auto"/>
              </w:rPr>
              <w:t>Nine months ended September 30,</w:t>
            </w:r>
          </w:p>
        </w:tc>
      </w:tr>
      <w:tr>
        <w:trPr>
          <w:trHeight w:val="196"/>
        </w:trPr>
        <w:tc>
          <w:tcPr>
            <w:tcW w:w="79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2022</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r>
      <w:tr>
        <w:trPr>
          <w:trHeight w:val="196"/>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Borrowings on unsecured line of credit</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885,000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300,000</w:t>
            </w:r>
          </w:p>
        </w:tc>
      </w:tr>
      <w:tr>
        <w:trPr>
          <w:trHeight w:val="202"/>
        </w:trPr>
        <w:tc>
          <w:tcPr>
            <w:tcW w:w="7960" w:type="dxa"/>
            <w:vAlign w:val="bottom"/>
          </w:tcPr>
          <w:p>
            <w:pPr>
              <w:ind w:left="320"/>
              <w:spacing w:after="0"/>
              <w:rPr>
                <w:sz w:val="20"/>
                <w:szCs w:val="20"/>
                <w:color w:val="auto"/>
              </w:rPr>
            </w:pPr>
            <w:r>
              <w:rPr>
                <w:rFonts w:ascii="Arial" w:cs="Arial" w:eastAsia="Arial" w:hAnsi="Arial"/>
                <w:sz w:val="15"/>
                <w:szCs w:val="15"/>
                <w:color w:val="auto"/>
              </w:rPr>
              <w:t>Repayments of unsecured line of credit</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(690,000)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(300,000)</w:t>
            </w:r>
          </w:p>
        </w:tc>
      </w:tr>
      <w:tr>
        <w:trPr>
          <w:trHeight w:val="20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Borrowings on unsecured term loan</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730,000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7960" w:type="dxa"/>
            <w:vAlign w:val="bottom"/>
          </w:tcPr>
          <w:p>
            <w:pPr>
              <w:ind w:left="320"/>
              <w:spacing w:after="0"/>
              <w:rPr>
                <w:sz w:val="20"/>
                <w:szCs w:val="20"/>
                <w:color w:val="auto"/>
              </w:rPr>
            </w:pPr>
            <w:r>
              <w:rPr>
                <w:rFonts w:ascii="Arial" w:cs="Arial" w:eastAsia="Arial" w:hAnsi="Arial"/>
                <w:sz w:val="15"/>
                <w:szCs w:val="15"/>
                <w:color w:val="auto"/>
              </w:rPr>
              <w:t>Repayment of unsecured term loan</w:t>
            </w:r>
          </w:p>
        </w:tc>
        <w:tc>
          <w:tcPr>
            <w:tcW w:w="24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(500,000)</w:t>
            </w:r>
          </w:p>
        </w:tc>
      </w:tr>
      <w:tr>
        <w:trPr>
          <w:trHeight w:val="20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Redemption of preferred units</w:t>
            </w:r>
          </w:p>
        </w:tc>
        <w:tc>
          <w:tcPr>
            <w:tcW w:w="2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(200,000)</w:t>
            </w:r>
          </w:p>
        </w:tc>
      </w:tr>
      <w:tr>
        <w:trPr>
          <w:trHeight w:val="202"/>
        </w:trPr>
        <w:tc>
          <w:tcPr>
            <w:tcW w:w="7960" w:type="dxa"/>
            <w:vAlign w:val="bottom"/>
          </w:tcPr>
          <w:p>
            <w:pPr>
              <w:ind w:left="320"/>
              <w:spacing w:after="0"/>
              <w:rPr>
                <w:sz w:val="20"/>
                <w:szCs w:val="20"/>
                <w:color w:val="auto"/>
              </w:rPr>
            </w:pPr>
            <w:r>
              <w:rPr>
                <w:rFonts w:ascii="Arial" w:cs="Arial" w:eastAsia="Arial" w:hAnsi="Arial"/>
                <w:sz w:val="15"/>
                <w:szCs w:val="15"/>
                <w:color w:val="auto"/>
              </w:rPr>
              <w:t>Payments on finance lease obligations</w:t>
            </w:r>
          </w:p>
        </w:tc>
        <w:tc>
          <w:tcPr>
            <w:tcW w:w="24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1,250</w:t>
            </w:r>
          </w:p>
        </w:tc>
      </w:tr>
      <w:tr>
        <w:trPr>
          <w:trHeight w:val="20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financing costs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(20,770)</w:t>
            </w:r>
          </w:p>
        </w:tc>
      </w:tr>
      <w:tr>
        <w:trPr>
          <w:trHeight w:val="202"/>
        </w:trPr>
        <w:tc>
          <w:tcPr>
            <w:tcW w:w="7960" w:type="dxa"/>
            <w:vAlign w:val="bottom"/>
          </w:tcPr>
          <w:p>
            <w:pPr>
              <w:ind w:left="320"/>
              <w:spacing w:after="0"/>
              <w:rPr>
                <w:sz w:val="20"/>
                <w:szCs w:val="20"/>
                <w:color w:val="auto"/>
              </w:rPr>
            </w:pPr>
            <w:r>
              <w:rPr>
                <w:rFonts w:ascii="Arial" w:cs="Arial" w:eastAsia="Arial" w:hAnsi="Arial"/>
                <w:sz w:val="15"/>
                <w:szCs w:val="15"/>
                <w:color w:val="auto"/>
              </w:rPr>
              <w:t>Debt prepayment and extinguishment costs</w:t>
            </w:r>
          </w:p>
        </w:tc>
        <w:tc>
          <w:tcPr>
            <w:tcW w:w="24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(185)</w:t>
            </w:r>
          </w:p>
        </w:tc>
      </w:tr>
      <w:tr>
        <w:trPr>
          <w:trHeight w:val="20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Net activity from equity transactions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20,028</w:t>
            </w:r>
          </w:p>
        </w:tc>
      </w:tr>
      <w:tr>
        <w:trPr>
          <w:trHeight w:val="202"/>
        </w:trPr>
        <w:tc>
          <w:tcPr>
            <w:tcW w:w="7960" w:type="dxa"/>
            <w:vAlign w:val="bottom"/>
          </w:tcPr>
          <w:p>
            <w:pPr>
              <w:ind w:left="320"/>
              <w:spacing w:after="0"/>
              <w:rPr>
                <w:sz w:val="20"/>
                <w:szCs w:val="20"/>
                <w:color w:val="auto"/>
              </w:rPr>
            </w:pPr>
            <w:r>
              <w:rPr>
                <w:rFonts w:ascii="Arial" w:cs="Arial" w:eastAsia="Arial" w:hAnsi="Arial"/>
                <w:sz w:val="15"/>
                <w:szCs w:val="15"/>
                <w:color w:val="auto"/>
              </w:rPr>
              <w:t>Distributions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(513,486)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(513,381)</w:t>
            </w:r>
          </w:p>
        </w:tc>
      </w:tr>
      <w:tr>
        <w:trPr>
          <w:trHeight w:val="20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Contributions from noncontrolling interests in property partnerships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13,738</w:t>
            </w:r>
          </w:p>
        </w:tc>
      </w:tr>
      <w:tr>
        <w:trPr>
          <w:trHeight w:val="202"/>
        </w:trPr>
        <w:tc>
          <w:tcPr>
            <w:tcW w:w="79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Distributions to noncontrolling interests in property partnerships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(61,229)</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(65,604)</w:t>
            </w:r>
          </w:p>
        </w:tc>
      </w:tr>
      <w:tr>
        <w:trPr>
          <w:trHeight w:val="197"/>
        </w:trPr>
        <w:tc>
          <w:tcPr>
            <w:tcW w:w="7960" w:type="dxa"/>
            <w:vAlign w:val="bottom"/>
            <w:shd w:val="clear" w:color="auto" w:fill="CCEEFF"/>
          </w:tcPr>
          <w:p>
            <w:pPr>
              <w:ind w:left="1040"/>
              <w:spacing w:after="0"/>
              <w:rPr>
                <w:sz w:val="20"/>
                <w:szCs w:val="20"/>
                <w:color w:val="auto"/>
              </w:rPr>
            </w:pPr>
            <w:r>
              <w:rPr>
                <w:rFonts w:ascii="Arial" w:cs="Arial" w:eastAsia="Arial" w:hAnsi="Arial"/>
                <w:sz w:val="15"/>
                <w:szCs w:val="15"/>
                <w:color w:val="auto"/>
              </w:rPr>
              <w:t>Net cash provided by (used in)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348,545</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(425,899)</w:t>
            </w:r>
          </w:p>
        </w:tc>
      </w:tr>
      <w:tr>
        <w:trPr>
          <w:trHeight w:val="194"/>
        </w:trPr>
        <w:tc>
          <w:tcPr>
            <w:tcW w:w="7960" w:type="dxa"/>
            <w:vAlign w:val="bottom"/>
          </w:tcPr>
          <w:p>
            <w:pPr>
              <w:ind w:left="20"/>
              <w:spacing w:after="0"/>
              <w:rPr>
                <w:sz w:val="20"/>
                <w:szCs w:val="20"/>
                <w:color w:val="auto"/>
              </w:rPr>
            </w:pPr>
            <w:r>
              <w:rPr>
                <w:rFonts w:ascii="Arial" w:cs="Arial" w:eastAsia="Arial" w:hAnsi="Arial"/>
                <w:sz w:val="15"/>
                <w:szCs w:val="15"/>
                <w:color w:val="auto"/>
              </w:rPr>
              <w:t>Net increase (decrease) in cash and cash equivalents and cash held in escrows</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(52,272)</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(637,408)</w:t>
            </w:r>
          </w:p>
        </w:tc>
      </w:tr>
      <w:tr>
        <w:trPr>
          <w:trHeight w:val="204"/>
        </w:trPr>
        <w:tc>
          <w:tcPr>
            <w:tcW w:w="7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 and cash held in escrows, beginning of period</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501,158</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1,719,329</w:t>
            </w:r>
          </w:p>
        </w:tc>
      </w:tr>
      <w:tr>
        <w:trPr>
          <w:trHeight w:val="194"/>
        </w:trPr>
        <w:tc>
          <w:tcPr>
            <w:tcW w:w="7960" w:type="dxa"/>
            <w:vAlign w:val="bottom"/>
          </w:tcPr>
          <w:p>
            <w:pPr>
              <w:ind w:left="20"/>
              <w:spacing w:after="0"/>
              <w:rPr>
                <w:sz w:val="20"/>
                <w:szCs w:val="20"/>
                <w:color w:val="auto"/>
              </w:rPr>
            </w:pPr>
            <w:r>
              <w:rPr>
                <w:rFonts w:ascii="Arial" w:cs="Arial" w:eastAsia="Arial" w:hAnsi="Arial"/>
                <w:sz w:val="15"/>
                <w:szCs w:val="15"/>
                <w:color w:val="auto"/>
              </w:rPr>
              <w:t>Cash and cash equivalents and cash held in escrows, end of period</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448,886</w:t>
            </w:r>
          </w:p>
        </w:tc>
        <w:tc>
          <w:tcPr>
            <w:tcW w:w="160" w:type="dxa"/>
            <w:vAlign w:val="bottom"/>
          </w:tcPr>
          <w:p>
            <w:pPr>
              <w:spacing w:after="0"/>
              <w:rPr>
                <w:sz w:val="16"/>
                <w:szCs w:val="16"/>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1,081,921</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8"/>
        </w:trPr>
        <w:tc>
          <w:tcPr>
            <w:tcW w:w="7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2"/>
        </w:trPr>
        <w:tc>
          <w:tcPr>
            <w:tcW w:w="7960" w:type="dxa"/>
            <w:vAlign w:val="bottom"/>
          </w:tcPr>
          <w:p>
            <w:pPr>
              <w:ind w:left="20"/>
              <w:spacing w:after="0"/>
              <w:rPr>
                <w:sz w:val="20"/>
                <w:szCs w:val="20"/>
                <w:color w:val="auto"/>
              </w:rPr>
            </w:pPr>
            <w:r>
              <w:rPr>
                <w:rFonts w:ascii="Arial" w:cs="Arial" w:eastAsia="Arial" w:hAnsi="Arial"/>
                <w:sz w:val="15"/>
                <w:szCs w:val="15"/>
                <w:color w:val="auto"/>
              </w:rPr>
              <w:t>Reconciliation of cash and cash equivalents and cash held in escrows:</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4"/>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 beginning of period</w:t>
            </w:r>
          </w:p>
        </w:tc>
        <w:tc>
          <w:tcPr>
            <w:tcW w:w="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452,692</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1,668,742</w:t>
            </w:r>
          </w:p>
        </w:tc>
      </w:tr>
      <w:tr>
        <w:trPr>
          <w:trHeight w:val="202"/>
        </w:trPr>
        <w:tc>
          <w:tcPr>
            <w:tcW w:w="79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Cash held in escrows, beginning of period</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48,466</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50,587</w:t>
            </w:r>
          </w:p>
        </w:tc>
      </w:tr>
      <w:tr>
        <w:trPr>
          <w:trHeight w:val="196"/>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 and cash held in escrows, beginning of period</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501,158</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1,719,329</w:t>
            </w:r>
          </w:p>
        </w:tc>
      </w:tr>
      <w:tr>
        <w:trPr>
          <w:trHeight w:val="223"/>
        </w:trPr>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3"/>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 end of period</w:t>
            </w:r>
          </w:p>
        </w:tc>
        <w:tc>
          <w:tcPr>
            <w:tcW w:w="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375,774</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1,002,728</w:t>
            </w:r>
          </w:p>
        </w:tc>
      </w:tr>
      <w:tr>
        <w:trPr>
          <w:trHeight w:val="202"/>
        </w:trPr>
        <w:tc>
          <w:tcPr>
            <w:tcW w:w="79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Cash held in escrows, end of period</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73,112</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79,193</w:t>
            </w:r>
          </w:p>
        </w:tc>
      </w:tr>
      <w:tr>
        <w:trPr>
          <w:trHeight w:val="196"/>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 and cash held in escrows, end of period</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448,886</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1,081,921</w:t>
            </w:r>
          </w:p>
        </w:tc>
      </w:tr>
      <w:tr>
        <w:trPr>
          <w:trHeight w:val="223"/>
        </w:trPr>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3"/>
        </w:trPr>
        <w:tc>
          <w:tcPr>
            <w:tcW w:w="7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disclosures: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2"/>
        </w:trPr>
        <w:tc>
          <w:tcPr>
            <w:tcW w:w="79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Cash paid for interest</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339,067</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358,015</w:t>
            </w:r>
          </w:p>
        </w:tc>
      </w:tr>
      <w:tr>
        <w:trPr>
          <w:trHeight w:val="196"/>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Interest capitalized</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40,048</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36,632</w:t>
            </w:r>
          </w:p>
        </w:tc>
      </w:tr>
      <w:tr>
        <w:trPr>
          <w:trHeight w:val="223"/>
        </w:trPr>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3"/>
        </w:trPr>
        <w:tc>
          <w:tcPr>
            <w:tcW w:w="7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Non-cash investing and financing activities: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2"/>
        </w:trPr>
        <w:tc>
          <w:tcPr>
            <w:tcW w:w="79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Write-off of fully depreciated real estate</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(95,996)</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(157,794)</w:t>
            </w:r>
          </w:p>
        </w:tc>
      </w:tr>
      <w:tr>
        <w:trPr>
          <w:trHeight w:val="197"/>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Change in real estate included in accounts payable and accrued expenses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29,290</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(22,104)</w:t>
            </w:r>
          </w:p>
        </w:tc>
      </w:tr>
      <w:tr>
        <w:trPr>
          <w:trHeight w:val="194"/>
        </w:trPr>
        <w:tc>
          <w:tcPr>
            <w:tcW w:w="79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Construction in progress, net deconsolidated</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(11,316)</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Investment in unconsolidated joint ventures recorded upon deconsolidation</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11,316</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79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Right-of-use assets obtained in exchange for lease liabilities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7"/>
                <w:szCs w:val="17"/>
                <w:color w:val="auto"/>
              </w:rPr>
              <w:t>26,887</w:t>
            </w:r>
          </w:p>
        </w:tc>
      </w:tr>
      <w:tr>
        <w:trPr>
          <w:trHeight w:val="196"/>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Distributions declared but not paid</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170,952</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169,739</w:t>
            </w:r>
          </w:p>
        </w:tc>
      </w:tr>
      <w:tr>
        <w:trPr>
          <w:trHeight w:val="194"/>
        </w:trPr>
        <w:tc>
          <w:tcPr>
            <w:tcW w:w="79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Conversions of redeemable partnership units to partners’ capital</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6,388</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8,033</w:t>
            </w:r>
          </w:p>
        </w:tc>
      </w:tr>
      <w:tr>
        <w:trPr>
          <w:trHeight w:val="196"/>
        </w:trPr>
        <w:tc>
          <w:tcPr>
            <w:tcW w:w="79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Issuance of restricted securities to employees and non-employee directors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48,605</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44,257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BOSTON PROPERTIES, INC. AND BOSTON PROPERTIES LIMITED PARTNERSHIP</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w:t>
      </w:r>
    </w:p>
    <w:p>
      <w:pPr>
        <w:spacing w:after="0" w:line="96" w:lineRule="exact"/>
        <w:rPr>
          <w:sz w:val="20"/>
          <w:szCs w:val="20"/>
          <w:color w:val="auto"/>
        </w:rPr>
      </w:pPr>
    </w:p>
    <w:p>
      <w:pPr>
        <w:jc w:val="both"/>
        <w:ind w:right="280" w:firstLine="419"/>
        <w:spacing w:after="0" w:line="260" w:lineRule="auto"/>
        <w:rPr>
          <w:sz w:val="20"/>
          <w:szCs w:val="20"/>
          <w:color w:val="auto"/>
        </w:rPr>
      </w:pPr>
      <w:r>
        <w:rPr>
          <w:rFonts w:ascii="Arial" w:cs="Arial" w:eastAsia="Arial" w:hAnsi="Arial"/>
          <w:sz w:val="17"/>
          <w:szCs w:val="17"/>
          <w:color w:val="auto"/>
        </w:rPr>
        <w:t>BXP is a fully integrated, self-administered and self-managed REIT. BXP is the sole general partner of BPLP, its operating partnership, and at September 30, 2022 owned an approximate 89.6% (89.7% at December 31, 2021) general and limited partnership interest in BPLP. Unless stated otherwise or the context requires, the “Company” refers to BXP and its subsidiaries, including BPLP and its consolidated subsidiaries. Partnership interests in BPLP include:</w:t>
      </w:r>
    </w:p>
    <w:p>
      <w:pPr>
        <w:spacing w:after="0" w:line="92" w:lineRule="exact"/>
        <w:rPr>
          <w:sz w:val="20"/>
          <w:szCs w:val="20"/>
          <w:color w:val="auto"/>
        </w:rPr>
      </w:pPr>
    </w:p>
    <w:p>
      <w:pPr>
        <w:ind w:left="680" w:hanging="298"/>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common units of partnership interest (also referred to as “OP Units”) and</w:t>
      </w:r>
    </w:p>
    <w:p>
      <w:pPr>
        <w:spacing w:after="0" w:line="96" w:lineRule="exact"/>
        <w:rPr>
          <w:rFonts w:ascii="Arial" w:cs="Arial" w:eastAsia="Arial" w:hAnsi="Arial"/>
          <w:sz w:val="17"/>
          <w:szCs w:val="17"/>
          <w:color w:val="auto"/>
        </w:rPr>
      </w:pPr>
    </w:p>
    <w:p>
      <w:pPr>
        <w:ind w:left="680" w:hanging="298"/>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long term incentive units of partnership interest (also referred to as “LTIP Units”).</w:t>
      </w:r>
    </w:p>
    <w:p>
      <w:pPr>
        <w:spacing w:after="0" w:line="160" w:lineRule="exact"/>
        <w:rPr>
          <w:sz w:val="20"/>
          <w:szCs w:val="20"/>
          <w:color w:val="auto"/>
        </w:rPr>
      </w:pPr>
    </w:p>
    <w:p>
      <w:pPr>
        <w:ind w:firstLine="419"/>
        <w:spacing w:after="0" w:line="254" w:lineRule="auto"/>
        <w:rPr>
          <w:sz w:val="20"/>
          <w:szCs w:val="20"/>
          <w:color w:val="auto"/>
        </w:rPr>
      </w:pPr>
      <w:r>
        <w:rPr>
          <w:rFonts w:ascii="Arial" w:cs="Arial" w:eastAsia="Arial" w:hAnsi="Arial"/>
          <w:sz w:val="17"/>
          <w:szCs w:val="17"/>
          <w:color w:val="auto"/>
        </w:rPr>
        <w:t>Unless specifically noted otherwise, all references to OP Units exclude units held by BXP. A holder of an OP Unit may present the OP Unit to BPLP for redemption at any time (subject to restrictions agreed upon at the time of issuance of OP Units to particular holders that may restrict such redemption right for a period of time, generally one year from issuance). Upon presentation of an OP Unit for redemption, BPLP is obligated to redeem the OP Unit for cash equal to the value of a share of common stock of BXP (“Common Stock”). In lieu of such cash redemption, BXP may elect to acquire the OP Unit for one share of Common Stock. Because the number of shares of Common Stock outstanding at all times equals the number of OP Units that BXP owns, one share of Common Stock is generally the economic equivalent of one OP Unit, and the quarterly distribution that may be paid to the holder of an OP Unit equals the quarterly dividend that may be paid to the holder of a share of Common Stock.</w:t>
      </w:r>
    </w:p>
    <w:p>
      <w:pPr>
        <w:spacing w:after="0" w:line="126" w:lineRule="exact"/>
        <w:rPr>
          <w:sz w:val="20"/>
          <w:szCs w:val="20"/>
          <w:color w:val="auto"/>
        </w:rPr>
      </w:pPr>
    </w:p>
    <w:p>
      <w:pPr>
        <w:ind w:right="60" w:firstLine="419"/>
        <w:spacing w:after="0" w:line="253" w:lineRule="auto"/>
        <w:rPr>
          <w:sz w:val="20"/>
          <w:szCs w:val="20"/>
          <w:color w:val="auto"/>
        </w:rPr>
      </w:pPr>
      <w:r>
        <w:rPr>
          <w:rFonts w:ascii="Arial" w:cs="Arial" w:eastAsia="Arial" w:hAnsi="Arial"/>
          <w:sz w:val="17"/>
          <w:szCs w:val="17"/>
          <w:color w:val="auto"/>
        </w:rPr>
        <w:t>The Company uses LTIP Units as a form of time-based, restricted equity compensation and as a form of performance-based equity compensation for employees, and has previously granted LTIP Units in the form of (1) 2012 outperformance plan awards (“2012 OPP Units”) and (2) 2013 - 2022 multi-year, long-term incentive program awards (also referred to as “MYLTIP Units”), each of which, upon the satisfaction of certain performance-based and time-based vesting conditions, is convertible into one OP Unit. The three-year measurement periods for the 2012 OPP Units and the 2013 - 2019 MYLTIP Units have ended and BXP’s total stockholder return (“TSR”) was sufficient for employees to earn and therefore become eligible to vest in a portion of the awards. Unless and until they are earned, the rights, preferences and privileges of the 2020 - 2022 MYLTIP Units differ from other LTIP Units granted to employees (including the 2012 OPP Units and the 2013 - 2019 MYLTIP Units, which have been earned). Therefore, unless specifically noted otherwise, all references to LTIP Units exclude the 2020 - 2022 MYLTIP Units. LTIP Units (including the earned 2012 OPP Units and the earned 2013 - 2019 MYLTIP Units), whether vested or not, will receive the same quarterly per unit distributions as OP Units, which equal per share dividends on Common Stock (See Notes 8 and 12).</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Properties</w:t>
      </w:r>
    </w:p>
    <w:p>
      <w:pPr>
        <w:spacing w:after="0" w:line="82" w:lineRule="exact"/>
        <w:rPr>
          <w:sz w:val="20"/>
          <w:szCs w:val="20"/>
          <w:color w:val="auto"/>
        </w:rPr>
      </w:pPr>
    </w:p>
    <w:p>
      <w:pPr>
        <w:jc w:val="both"/>
        <w:ind w:right="840" w:firstLine="419"/>
        <w:spacing w:after="0" w:line="290" w:lineRule="auto"/>
        <w:rPr>
          <w:sz w:val="20"/>
          <w:szCs w:val="20"/>
          <w:color w:val="auto"/>
        </w:rPr>
      </w:pPr>
      <w:r>
        <w:rPr>
          <w:rFonts w:ascii="Arial" w:cs="Arial" w:eastAsia="Arial" w:hAnsi="Arial"/>
          <w:sz w:val="16"/>
          <w:szCs w:val="16"/>
          <w:color w:val="auto"/>
        </w:rPr>
        <w:t>At September 30, 2022, the Company owned or had joint venture interests in a portfolio of 193 commercial real estate properties (the “Properties”) aggregating approximately 53.5 million net rentable square feet of primarily premier workplaces, including 14 properties under construction/redevelopment totaling approximately 4.4 million net rentable square feet. At September 30, 2022, the Properties consisted of:</w:t>
      </w:r>
    </w:p>
    <w:p>
      <w:pPr>
        <w:spacing w:after="0" w:line="95" w:lineRule="exact"/>
        <w:rPr>
          <w:sz w:val="20"/>
          <w:szCs w:val="20"/>
          <w:color w:val="auto"/>
        </w:rPr>
      </w:pPr>
    </w:p>
    <w:p>
      <w:pPr>
        <w:ind w:left="600" w:hanging="294"/>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173 office properties (including 12 properties under construction/redevelopment);</w:t>
      </w:r>
    </w:p>
    <w:p>
      <w:pPr>
        <w:spacing w:after="0" w:line="23" w:lineRule="exact"/>
        <w:rPr>
          <w:rFonts w:ascii="Arial" w:cs="Arial" w:eastAsia="Arial" w:hAnsi="Arial"/>
          <w:sz w:val="17"/>
          <w:szCs w:val="17"/>
          <w:color w:val="auto"/>
        </w:rPr>
      </w:pPr>
    </w:p>
    <w:p>
      <w:pPr>
        <w:ind w:left="600" w:hanging="294"/>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12 retail properties (including one property under redevelopment);</w:t>
      </w:r>
    </w:p>
    <w:p>
      <w:pPr>
        <w:spacing w:after="0" w:line="7" w:lineRule="exact"/>
        <w:rPr>
          <w:rFonts w:ascii="Arial" w:cs="Arial" w:eastAsia="Arial" w:hAnsi="Arial"/>
          <w:sz w:val="17"/>
          <w:szCs w:val="17"/>
          <w:color w:val="auto"/>
        </w:rPr>
      </w:pPr>
    </w:p>
    <w:p>
      <w:pPr>
        <w:ind w:left="600" w:hanging="294"/>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seven residential properties (including one property under construction</w:t>
      </w:r>
      <w:r>
        <w:rPr>
          <w:rFonts w:ascii="Times New Roman" w:cs="Times New Roman" w:eastAsia="Times New Roman" w:hAnsi="Times New Roman"/>
          <w:sz w:val="17"/>
          <w:szCs w:val="17"/>
          <w:color w:val="auto"/>
        </w:rPr>
        <w:t>)</w:t>
      </w:r>
      <w:r>
        <w:rPr>
          <w:rFonts w:ascii="Arial" w:cs="Arial" w:eastAsia="Arial" w:hAnsi="Arial"/>
          <w:sz w:val="17"/>
          <w:szCs w:val="17"/>
          <w:color w:val="auto"/>
        </w:rPr>
        <w:t>; and</w:t>
      </w:r>
    </w:p>
    <w:p>
      <w:pPr>
        <w:spacing w:after="0" w:line="6" w:lineRule="exact"/>
        <w:rPr>
          <w:rFonts w:ascii="Arial" w:cs="Arial" w:eastAsia="Arial" w:hAnsi="Arial"/>
          <w:sz w:val="17"/>
          <w:szCs w:val="17"/>
          <w:color w:val="auto"/>
        </w:rPr>
      </w:pPr>
    </w:p>
    <w:p>
      <w:pPr>
        <w:ind w:left="600" w:hanging="294"/>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one hotel.</w:t>
      </w:r>
    </w:p>
    <w:p>
      <w:pPr>
        <w:spacing w:after="0" w:line="144" w:lineRule="exact"/>
        <w:rPr>
          <w:sz w:val="20"/>
          <w:szCs w:val="20"/>
          <w:color w:val="auto"/>
        </w:rPr>
      </w:pPr>
    </w:p>
    <w:p>
      <w:pPr>
        <w:ind w:right="160" w:firstLine="419"/>
        <w:spacing w:after="0" w:line="266" w:lineRule="auto"/>
        <w:rPr>
          <w:sz w:val="20"/>
          <w:szCs w:val="20"/>
          <w:color w:val="auto"/>
        </w:rPr>
      </w:pPr>
      <w:r>
        <w:rPr>
          <w:rFonts w:ascii="Arial" w:cs="Arial" w:eastAsia="Arial" w:hAnsi="Arial"/>
          <w:sz w:val="17"/>
          <w:szCs w:val="17"/>
          <w:color w:val="auto"/>
        </w:rPr>
        <w:t>The Company considers premier workplaces to be well-located buildings that are modern structures or have been modernized to compete with newer buildings and professionally managed and maintained. As such, these properties attract high-quality clients and command upper-tier rental rates.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Basis of Presentation and Summary of Significant Accounting Policies</w:t>
      </w:r>
    </w:p>
    <w:p>
      <w:pPr>
        <w:spacing w:after="0" w:line="96" w:lineRule="exact"/>
        <w:rPr>
          <w:sz w:val="20"/>
          <w:szCs w:val="20"/>
          <w:color w:val="auto"/>
        </w:rPr>
      </w:pPr>
    </w:p>
    <w:p>
      <w:pPr>
        <w:ind w:right="240" w:firstLine="419"/>
        <w:spacing w:after="0" w:line="260" w:lineRule="auto"/>
        <w:rPr>
          <w:sz w:val="20"/>
          <w:szCs w:val="20"/>
          <w:color w:val="auto"/>
        </w:rPr>
      </w:pPr>
      <w:r>
        <w:rPr>
          <w:rFonts w:ascii="Arial" w:cs="Arial" w:eastAsia="Arial" w:hAnsi="Arial"/>
          <w:sz w:val="17"/>
          <w:szCs w:val="17"/>
          <w:color w:val="auto"/>
        </w:rPr>
        <w:t>BXP does not have any other significant assets, liabilities or operations, other than its investment in BPLP, nor does it have employees of its own. BPLP, not BXP, generally executes all significant business relationships other than transactions involving securities of BXP. All majority-owned subsidiaries and joint ventures over which the Company has financial and operating control and variable interest entities (“VIEs”) in which the Company has determined it is the primary beneficiary are included in the consolidated financial statements. All significant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intercompany balances and transactions have been eliminated in consolidation. The Company accounts for all other unconsolidated joint ventures using the equity method of accounting. Accordingly, the Company’s share of the earnings of these joint ventures and companies is included in consolidated net income.</w:t>
      </w:r>
    </w:p>
    <w:p>
      <w:pPr>
        <w:spacing w:after="0" w:line="112" w:lineRule="exact"/>
        <w:rPr>
          <w:sz w:val="20"/>
          <w:szCs w:val="20"/>
          <w:color w:val="auto"/>
        </w:rPr>
      </w:pPr>
    </w:p>
    <w:p>
      <w:pPr>
        <w:ind w:right="20" w:firstLine="419"/>
        <w:spacing w:after="0" w:line="253" w:lineRule="auto"/>
        <w:rPr>
          <w:sz w:val="20"/>
          <w:szCs w:val="20"/>
          <w:color w:val="auto"/>
        </w:rPr>
      </w:pPr>
      <w:r>
        <w:rPr>
          <w:rFonts w:ascii="Arial" w:cs="Arial" w:eastAsia="Arial" w:hAnsi="Arial"/>
          <w:sz w:val="17"/>
          <w:szCs w:val="17"/>
          <w:color w:val="auto"/>
        </w:rPr>
        <w:t>The accompanying interim financial statements are unaudited; however, the financial statements have been prepared in accordance with generally accepted accounting principles (“GAAP”) for interim financial information and in conjunction with the rules and regulations of the Securities and Exchange Commission (the “SEC”). Accordingly, they do not include all of the disclosures required by GAAP for complete financial statements. In the opinion of management, all adjustments (consisting solely of normal recurring matters) necessary for a fair statement of the financial statements for these interim periods have been included. The results of operations for the interim periods are not necessarily indicative of the results to be obtained for other interim periods or for the full fiscal year. The year-end consolidated balance sheet data was derived from audited financial statements, but does not include all disclosure required by GAAP. These financial statements should be read in conjunction with the Company’s financial statements and notes thereto contained in the Company’s Annual Report in the Company’s Form 10-K for its fiscal year ended December 31, 2021.</w:t>
      </w:r>
    </w:p>
    <w:p>
      <w:pPr>
        <w:spacing w:after="0" w:line="125" w:lineRule="exact"/>
        <w:rPr>
          <w:sz w:val="20"/>
          <w:szCs w:val="20"/>
          <w:color w:val="auto"/>
        </w:rPr>
      </w:pPr>
    </w:p>
    <w:p>
      <w:pPr>
        <w:ind w:right="240" w:firstLine="419"/>
        <w:spacing w:after="0" w:line="281" w:lineRule="auto"/>
        <w:rPr>
          <w:sz w:val="20"/>
          <w:szCs w:val="20"/>
          <w:color w:val="auto"/>
        </w:rPr>
      </w:pPr>
      <w:r>
        <w:rPr>
          <w:rFonts w:ascii="Arial" w:cs="Arial" w:eastAsia="Arial" w:hAnsi="Arial"/>
          <w:sz w:val="16"/>
          <w:szCs w:val="16"/>
          <w:color w:val="auto"/>
        </w:rPr>
        <w:t>The Company bases its estimates on historical experience and on various other assumptions that it considers to be reasonable under the circumstances, including the impact of extraordinary events such as the coronavirus (“COVID-19”) pandemic, the results of which form the basis for making significant judgments about the carrying values of assets and liabilities, assessments of future collectability, and other areas of the financial statements that are impacted by the use of estimates. Actual results may differ from these estimates under different assumptions or conditions.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Variable Interest Entities (VIEs)</w:t>
      </w:r>
    </w:p>
    <w:p>
      <w:pPr>
        <w:spacing w:after="0" w:line="96" w:lineRule="exact"/>
        <w:rPr>
          <w:sz w:val="20"/>
          <w:szCs w:val="20"/>
          <w:color w:val="auto"/>
        </w:rPr>
      </w:pPr>
    </w:p>
    <w:p>
      <w:pPr>
        <w:ind w:right="80" w:firstLine="419"/>
        <w:spacing w:after="0" w:line="257" w:lineRule="auto"/>
        <w:rPr>
          <w:sz w:val="20"/>
          <w:szCs w:val="20"/>
          <w:color w:val="auto"/>
        </w:rPr>
      </w:pPr>
      <w:r>
        <w:rPr>
          <w:rFonts w:ascii="Arial" w:cs="Arial" w:eastAsia="Arial" w:hAnsi="Arial"/>
          <w:sz w:val="17"/>
          <w:szCs w:val="17"/>
          <w:color w:val="auto"/>
        </w:rPr>
        <w:t>Consolidated VIEs are those for which the Company is considered to be the primary beneficiary of a VIE. The primary beneficiary is the entity that has a controlling financial interest in the VIE, which is defined by the entity having both of the following characteristics: (1) the power to direct the activities that, when taken together, most significantly impact the VIE’s performance and (2) the obligation to absorb losses or the right to receive the returns from the VIE that could potentially be significant to the VIE. The Company has determined that it is the primary beneficiary for six of the seven entities that are VIEs.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u w:val="single" w:color="auto"/>
          <w:color w:val="auto"/>
        </w:rPr>
        <w:t>Consolidated Variable Interest Entities</w:t>
      </w:r>
    </w:p>
    <w:p>
      <w:pPr>
        <w:spacing w:after="0" w:line="160" w:lineRule="exact"/>
        <w:rPr>
          <w:sz w:val="20"/>
          <w:szCs w:val="20"/>
          <w:color w:val="auto"/>
        </w:rPr>
      </w:pPr>
    </w:p>
    <w:p>
      <w:pPr>
        <w:ind w:firstLine="419"/>
        <w:spacing w:after="0" w:line="266" w:lineRule="auto"/>
        <w:rPr>
          <w:sz w:val="20"/>
          <w:szCs w:val="20"/>
          <w:color w:val="auto"/>
        </w:rPr>
      </w:pPr>
      <w:r>
        <w:rPr>
          <w:rFonts w:ascii="Arial" w:cs="Arial" w:eastAsia="Arial" w:hAnsi="Arial"/>
          <w:sz w:val="17"/>
          <w:szCs w:val="17"/>
          <w:color w:val="auto"/>
        </w:rPr>
        <w:t>As of September 30, 2022, BXP has identified six consolidated VIEs, including BPLP. Excluding BPLP, the VIEs consisted of the following five in-service properties: 767 Fifth Avenue (the General Motors Building), Times Square Tower, 601 Lexington Avenue, Atlantic Wharf Office Building and 100 Federal Street.</w:t>
      </w:r>
    </w:p>
    <w:p>
      <w:pPr>
        <w:spacing w:after="0" w:line="112" w:lineRule="exact"/>
        <w:rPr>
          <w:sz w:val="20"/>
          <w:szCs w:val="20"/>
          <w:color w:val="auto"/>
        </w:rPr>
      </w:pPr>
    </w:p>
    <w:p>
      <w:pPr>
        <w:jc w:val="both"/>
        <w:ind w:right="20" w:firstLine="419"/>
        <w:spacing w:after="0" w:line="315" w:lineRule="auto"/>
        <w:rPr>
          <w:sz w:val="20"/>
          <w:szCs w:val="20"/>
          <w:color w:val="auto"/>
        </w:rPr>
      </w:pPr>
      <w:r>
        <w:rPr>
          <w:rFonts w:ascii="Arial" w:cs="Arial" w:eastAsia="Arial" w:hAnsi="Arial"/>
          <w:sz w:val="16"/>
          <w:szCs w:val="16"/>
          <w:color w:val="auto"/>
        </w:rPr>
        <w:t>The Company consolidates these VIEs because it is the primary beneficiary. The third parties’ interests in these consolidated entities (excluding BPLP’s interest) are reflected as noncontrolling interests in property partnerships in the accompanying consolidated financial statements (See Note 8).</w:t>
      </w:r>
    </w:p>
    <w:p>
      <w:pPr>
        <w:spacing w:after="0" w:line="75" w:lineRule="exact"/>
        <w:rPr>
          <w:sz w:val="20"/>
          <w:szCs w:val="20"/>
          <w:color w:val="auto"/>
        </w:rPr>
      </w:pPr>
    </w:p>
    <w:p>
      <w:pPr>
        <w:ind w:right="500" w:firstLine="419"/>
        <w:spacing w:after="0" w:line="283" w:lineRule="auto"/>
        <w:rPr>
          <w:sz w:val="20"/>
          <w:szCs w:val="20"/>
          <w:color w:val="auto"/>
        </w:rPr>
      </w:pPr>
      <w:r>
        <w:rPr>
          <w:rFonts w:ascii="Arial" w:cs="Arial" w:eastAsia="Arial" w:hAnsi="Arial"/>
          <w:sz w:val="17"/>
          <w:szCs w:val="17"/>
          <w:color w:val="auto"/>
        </w:rPr>
        <w:t>In addition, BXP’s only significant asset is its investment in BPLP and, consequently, substantially all of BXP’s assets and liabilities are the assets and liabilities of BPLP.</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7"/>
          <w:szCs w:val="17"/>
          <w:u w:val="single" w:color="auto"/>
          <w:color w:val="auto"/>
        </w:rPr>
        <w:t>Variable Interest Entities Not Consolidated</w:t>
      </w:r>
    </w:p>
    <w:p>
      <w:pPr>
        <w:spacing w:after="0" w:line="160" w:lineRule="exact"/>
        <w:rPr>
          <w:sz w:val="20"/>
          <w:szCs w:val="20"/>
          <w:color w:val="auto"/>
        </w:rPr>
      </w:pPr>
    </w:p>
    <w:p>
      <w:pPr>
        <w:ind w:right="240" w:firstLine="419"/>
        <w:spacing w:after="0" w:line="266" w:lineRule="auto"/>
        <w:rPr>
          <w:sz w:val="20"/>
          <w:szCs w:val="20"/>
          <w:color w:val="auto"/>
        </w:rPr>
      </w:pPr>
      <w:r>
        <w:rPr>
          <w:rFonts w:ascii="Arial" w:cs="Arial" w:eastAsia="Arial" w:hAnsi="Arial"/>
          <w:sz w:val="17"/>
          <w:szCs w:val="17"/>
          <w:color w:val="auto"/>
        </w:rPr>
        <w:t>The Company has determined that the Platform 16 Holdings LP joint venture is a VIE. The Company does not consolidate this entity as the Company does not have the power to direct the activities that, when taken together, most significantly impact the VIE’s performance and, therefore, the Company is not considered to be the primary beneficiary.</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84" w:lineRule="exact"/>
        <w:rPr>
          <w:sz w:val="20"/>
          <w:szCs w:val="20"/>
          <w:color w:val="auto"/>
        </w:rPr>
      </w:pPr>
    </w:p>
    <w:p>
      <w:pPr>
        <w:ind w:right="40" w:firstLine="419"/>
        <w:spacing w:after="0" w:line="266" w:lineRule="auto"/>
        <w:rPr>
          <w:sz w:val="20"/>
          <w:szCs w:val="20"/>
          <w:color w:val="auto"/>
        </w:rPr>
      </w:pPr>
      <w:r>
        <w:rPr>
          <w:rFonts w:ascii="Arial" w:cs="Arial" w:eastAsia="Arial" w:hAnsi="Arial"/>
          <w:sz w:val="17"/>
          <w:szCs w:val="17"/>
          <w:color w:val="auto"/>
        </w:rPr>
        <w:t>The Company follows the authoritative guidance for fair value measurements when valuing its financial instruments for disclosure purposes. The table below presents the financial instruments that are being valued for disclosure purposes as well as the Level at which they are categorized (as defined in Accounting Standards Codification (“ASC”) 820 “Fair Value Measurements and Disclosures” (“ASC 820”)).</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6"/>
              </w:rPr>
              <w:t>Table of Contents</w:t>
            </w:r>
          </w:p>
        </w:tc>
        <w:tc>
          <w:tcPr>
            <w:tcW w:w="1740" w:type="dxa"/>
            <w:vAlign w:val="bottom"/>
          </w:tcPr>
          <w:p>
            <w:pPr>
              <w:spacing w:after="0"/>
              <w:rPr>
                <w:sz w:val="16"/>
                <w:szCs w:val="16"/>
                <w:color w:val="auto"/>
              </w:rPr>
            </w:pPr>
          </w:p>
        </w:tc>
        <w:tc>
          <w:tcPr>
            <w:tcW w:w="8160" w:type="dxa"/>
            <w:vAlign w:val="bottom"/>
          </w:tcPr>
          <w:p>
            <w:pPr>
              <w:spacing w:after="0"/>
              <w:rPr>
                <w:sz w:val="16"/>
                <w:szCs w:val="16"/>
                <w:color w:val="auto"/>
              </w:rPr>
            </w:pPr>
          </w:p>
        </w:tc>
      </w:tr>
      <w:tr>
        <w:trPr>
          <w:trHeight w:val="868"/>
        </w:trPr>
        <w:tc>
          <w:tcPr>
            <w:tcW w:w="30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Financial Instrument</w:t>
            </w:r>
          </w:p>
        </w:tc>
        <w:tc>
          <w:tcPr>
            <w:tcW w:w="8160" w:type="dxa"/>
            <w:vAlign w:val="bottom"/>
            <w:tcBorders>
              <w:bottom w:val="single" w:sz="8" w:color="auto"/>
            </w:tcBorders>
          </w:tcPr>
          <w:p>
            <w:pPr>
              <w:ind w:left="820"/>
              <w:spacing w:after="0"/>
              <w:rPr>
                <w:sz w:val="20"/>
                <w:szCs w:val="20"/>
                <w:color w:val="auto"/>
              </w:rPr>
            </w:pPr>
            <w:r>
              <w:rPr>
                <w:rFonts w:ascii="Arial" w:cs="Arial" w:eastAsia="Arial" w:hAnsi="Arial"/>
                <w:sz w:val="17"/>
                <w:szCs w:val="17"/>
                <w:b w:val="1"/>
                <w:bCs w:val="1"/>
                <w:color w:val="auto"/>
              </w:rPr>
              <w:t>Level</w:t>
            </w:r>
          </w:p>
        </w:tc>
      </w:tr>
      <w:tr>
        <w:trPr>
          <w:trHeight w:val="208"/>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Unsecured senior notes (1)</w:t>
            </w:r>
          </w:p>
        </w:tc>
        <w:tc>
          <w:tcPr>
            <w:tcW w:w="81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Level 1</w:t>
            </w:r>
          </w:p>
        </w:tc>
      </w:tr>
      <w:tr>
        <w:trPr>
          <w:trHeight w:val="216"/>
        </w:trPr>
        <w:tc>
          <w:tcPr>
            <w:tcW w:w="3060" w:type="dxa"/>
            <w:vAlign w:val="bottom"/>
            <w:gridSpan w:val="2"/>
          </w:tcPr>
          <w:p>
            <w:pPr>
              <w:ind w:left="20"/>
              <w:spacing w:after="0"/>
              <w:rPr>
                <w:sz w:val="20"/>
                <w:szCs w:val="20"/>
                <w:color w:val="auto"/>
              </w:rPr>
            </w:pPr>
            <w:r>
              <w:rPr>
                <w:rFonts w:ascii="Arial" w:cs="Arial" w:eastAsia="Arial" w:hAnsi="Arial"/>
                <w:sz w:val="17"/>
                <w:szCs w:val="17"/>
                <w:color w:val="auto"/>
              </w:rPr>
              <w:t>Related party note receivable</w:t>
            </w:r>
          </w:p>
        </w:tc>
        <w:tc>
          <w:tcPr>
            <w:tcW w:w="8160" w:type="dxa"/>
            <w:vAlign w:val="bottom"/>
          </w:tcPr>
          <w:p>
            <w:pPr>
              <w:ind w:left="820"/>
              <w:spacing w:after="0"/>
              <w:rPr>
                <w:sz w:val="20"/>
                <w:szCs w:val="20"/>
                <w:color w:val="auto"/>
              </w:rPr>
            </w:pPr>
            <w:r>
              <w:rPr>
                <w:rFonts w:ascii="Arial" w:cs="Arial" w:eastAsia="Arial" w:hAnsi="Arial"/>
                <w:sz w:val="17"/>
                <w:szCs w:val="17"/>
                <w:color w:val="auto"/>
              </w:rPr>
              <w:t>Level 3</w:t>
            </w:r>
          </w:p>
        </w:tc>
      </w:tr>
      <w:tr>
        <w:trPr>
          <w:trHeight w:val="216"/>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Notes receivable</w:t>
            </w:r>
          </w:p>
        </w:tc>
        <w:tc>
          <w:tcPr>
            <w:tcW w:w="81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Level 3</w:t>
            </w:r>
          </w:p>
        </w:tc>
      </w:tr>
      <w:tr>
        <w:trPr>
          <w:trHeight w:val="216"/>
        </w:trPr>
        <w:tc>
          <w:tcPr>
            <w:tcW w:w="3060" w:type="dxa"/>
            <w:vAlign w:val="bottom"/>
            <w:gridSpan w:val="2"/>
          </w:tcPr>
          <w:p>
            <w:pPr>
              <w:ind w:left="20"/>
              <w:spacing w:after="0"/>
              <w:rPr>
                <w:sz w:val="20"/>
                <w:szCs w:val="20"/>
                <w:color w:val="auto"/>
              </w:rPr>
            </w:pPr>
            <w:r>
              <w:rPr>
                <w:rFonts w:ascii="Arial" w:cs="Arial" w:eastAsia="Arial" w:hAnsi="Arial"/>
                <w:sz w:val="17"/>
                <w:szCs w:val="17"/>
                <w:color w:val="auto"/>
              </w:rPr>
              <w:t>Mortgage notes payable</w:t>
            </w:r>
          </w:p>
        </w:tc>
        <w:tc>
          <w:tcPr>
            <w:tcW w:w="8160" w:type="dxa"/>
            <w:vAlign w:val="bottom"/>
          </w:tcPr>
          <w:p>
            <w:pPr>
              <w:ind w:left="820"/>
              <w:spacing w:after="0"/>
              <w:rPr>
                <w:sz w:val="20"/>
                <w:szCs w:val="20"/>
                <w:color w:val="auto"/>
              </w:rPr>
            </w:pPr>
            <w:r>
              <w:rPr>
                <w:rFonts w:ascii="Arial" w:cs="Arial" w:eastAsia="Arial" w:hAnsi="Arial"/>
                <w:sz w:val="17"/>
                <w:szCs w:val="17"/>
                <w:color w:val="auto"/>
              </w:rPr>
              <w:t>Level 3</w:t>
            </w:r>
          </w:p>
        </w:tc>
      </w:tr>
      <w:tr>
        <w:trPr>
          <w:trHeight w:val="216"/>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Unsecured line of credit</w:t>
            </w:r>
          </w:p>
        </w:tc>
        <w:tc>
          <w:tcPr>
            <w:tcW w:w="81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Level 3</w:t>
            </w:r>
          </w:p>
        </w:tc>
      </w:tr>
      <w:tr>
        <w:trPr>
          <w:trHeight w:val="223"/>
        </w:trPr>
        <w:tc>
          <w:tcPr>
            <w:tcW w:w="3060" w:type="dxa"/>
            <w:vAlign w:val="bottom"/>
            <w:gridSpan w:val="2"/>
          </w:tcPr>
          <w:p>
            <w:pPr>
              <w:ind w:left="20"/>
              <w:spacing w:after="0"/>
              <w:rPr>
                <w:sz w:val="20"/>
                <w:szCs w:val="20"/>
                <w:color w:val="auto"/>
              </w:rPr>
            </w:pPr>
            <w:r>
              <w:rPr>
                <w:rFonts w:ascii="Arial" w:cs="Arial" w:eastAsia="Arial" w:hAnsi="Arial"/>
                <w:sz w:val="17"/>
                <w:szCs w:val="17"/>
                <w:color w:val="auto"/>
              </w:rPr>
              <w:t>Unsecured term loan</w:t>
            </w:r>
          </w:p>
        </w:tc>
        <w:tc>
          <w:tcPr>
            <w:tcW w:w="8160" w:type="dxa"/>
            <w:vAlign w:val="bottom"/>
          </w:tcPr>
          <w:p>
            <w:pPr>
              <w:ind w:left="820"/>
              <w:spacing w:after="0"/>
              <w:rPr>
                <w:sz w:val="20"/>
                <w:szCs w:val="20"/>
                <w:color w:val="auto"/>
              </w:rPr>
            </w:pPr>
            <w:r>
              <w:rPr>
                <w:rFonts w:ascii="Arial" w:cs="Arial" w:eastAsia="Arial" w:hAnsi="Arial"/>
                <w:sz w:val="17"/>
                <w:szCs w:val="17"/>
                <w:color w:val="auto"/>
              </w:rPr>
              <w:t>Level 3</w:t>
            </w:r>
          </w:p>
        </w:tc>
      </w:tr>
      <w:tr>
        <w:trPr>
          <w:trHeight w:val="274"/>
        </w:trPr>
        <w:tc>
          <w:tcPr>
            <w:tcW w:w="3060" w:type="dxa"/>
            <w:vAlign w:val="bottom"/>
            <w:gridSpan w:val="2"/>
          </w:tcPr>
          <w:p>
            <w:pPr>
              <w:spacing w:after="0"/>
              <w:rPr>
                <w:sz w:val="20"/>
                <w:szCs w:val="20"/>
                <w:color w:val="auto"/>
              </w:rPr>
            </w:pPr>
            <w:r>
              <w:rPr>
                <w:rFonts w:ascii="Arial" w:cs="Arial" w:eastAsia="Arial" w:hAnsi="Arial"/>
                <w:sz w:val="17"/>
                <w:szCs w:val="17"/>
                <w:color w:val="auto"/>
              </w:rPr>
              <w:t>_______________</w:t>
            </w:r>
          </w:p>
        </w:tc>
        <w:tc>
          <w:tcPr>
            <w:tcW w:w="8160" w:type="dxa"/>
            <w:vAlign w:val="bottom"/>
          </w:tcPr>
          <w:p>
            <w:pPr>
              <w:spacing w:after="0"/>
              <w:rPr>
                <w:sz w:val="23"/>
                <w:szCs w:val="23"/>
                <w:color w:val="auto"/>
              </w:rPr>
            </w:pPr>
          </w:p>
        </w:tc>
      </w:tr>
    </w:tbl>
    <w:p>
      <w:pPr>
        <w:ind w:left="160"/>
        <w:spacing w:after="0"/>
        <w:rPr>
          <w:sz w:val="20"/>
          <w:szCs w:val="20"/>
          <w:color w:val="auto"/>
        </w:rPr>
      </w:pPr>
      <w:r>
        <w:rPr>
          <w:rFonts w:ascii="Arial" w:cs="Arial" w:eastAsia="Arial" w:hAnsi="Arial"/>
          <w:sz w:val="15"/>
          <w:szCs w:val="15"/>
          <w:color w:val="auto"/>
        </w:rPr>
        <w:t>(1)  If trading value for the period is low, the valuation could be categorized as Level 2.</w:t>
      </w:r>
    </w:p>
    <w:p>
      <w:pPr>
        <w:spacing w:after="0" w:line="253" w:lineRule="exact"/>
        <w:rPr>
          <w:sz w:val="20"/>
          <w:szCs w:val="20"/>
          <w:color w:val="auto"/>
        </w:rPr>
      </w:pPr>
    </w:p>
    <w:p>
      <w:pPr>
        <w:ind w:right="260" w:firstLine="419"/>
        <w:spacing w:after="0" w:line="283" w:lineRule="auto"/>
        <w:rPr>
          <w:sz w:val="20"/>
          <w:szCs w:val="20"/>
          <w:color w:val="auto"/>
        </w:rPr>
      </w:pPr>
      <w:r>
        <w:rPr>
          <w:rFonts w:ascii="Arial" w:cs="Arial" w:eastAsia="Arial" w:hAnsi="Arial"/>
          <w:sz w:val="17"/>
          <w:szCs w:val="17"/>
          <w:color w:val="auto"/>
        </w:rPr>
        <w:t>Because the Company’s valuations of its financial instruments are based on the above Levels and involve the use of estimates, the actual fair values of its financial instruments may differ materially from those estimates.</w:t>
      </w:r>
    </w:p>
    <w:p>
      <w:pPr>
        <w:spacing w:after="0" w:line="97" w:lineRule="exact"/>
        <w:rPr>
          <w:sz w:val="20"/>
          <w:szCs w:val="20"/>
          <w:color w:val="auto"/>
        </w:rPr>
      </w:pPr>
    </w:p>
    <w:p>
      <w:pPr>
        <w:ind w:right="20" w:firstLine="419"/>
        <w:spacing w:after="0" w:line="283" w:lineRule="auto"/>
        <w:rPr>
          <w:sz w:val="20"/>
          <w:szCs w:val="20"/>
          <w:color w:val="auto"/>
        </w:rPr>
      </w:pPr>
      <w:r>
        <w:rPr>
          <w:rFonts w:ascii="Arial" w:cs="Arial" w:eastAsia="Arial" w:hAnsi="Arial"/>
          <w:sz w:val="17"/>
          <w:szCs w:val="17"/>
          <w:color w:val="auto"/>
        </w:rPr>
        <w:t>The Company’s estimated fair values for these instruments as of the end of the applicable reporting period are not projections of, nor necessarily indicative of, estimated or actual fair values in future reporting periods.</w:t>
      </w:r>
    </w:p>
    <w:p>
      <w:pPr>
        <w:spacing w:after="0" w:line="97" w:lineRule="exact"/>
        <w:rPr>
          <w:sz w:val="20"/>
          <w:szCs w:val="20"/>
          <w:color w:val="auto"/>
        </w:rPr>
      </w:pPr>
    </w:p>
    <w:p>
      <w:pPr>
        <w:ind w:right="80" w:firstLine="419"/>
        <w:spacing w:after="0" w:line="266" w:lineRule="auto"/>
        <w:rPr>
          <w:sz w:val="20"/>
          <w:szCs w:val="20"/>
          <w:color w:val="auto"/>
        </w:rPr>
      </w:pPr>
      <w:r>
        <w:rPr>
          <w:rFonts w:ascii="Arial" w:cs="Arial" w:eastAsia="Arial" w:hAnsi="Arial"/>
          <w:sz w:val="17"/>
          <w:szCs w:val="17"/>
          <w:color w:val="auto"/>
        </w:rPr>
        <w:t>The following table presents the aggregate carrying value of the Company’s related party note receivable, net, notes receivable, net, mortgage notes payable, net, unsecured senior notes, net, unsecured line of credit and unsecured term loan, net and the Company’s corresponding estimate of fair value as of September 30, 2022 and December 31, 2021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5"/>
                <w:szCs w:val="15"/>
                <w:b w:val="1"/>
                <w:bCs w:val="1"/>
                <w:color w:val="auto"/>
              </w:rPr>
              <w:t>September 30, 2022</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5"/>
                <w:szCs w:val="15"/>
                <w:b w:val="1"/>
                <w:bCs w:val="1"/>
                <w:color w:val="auto"/>
              </w:rPr>
              <w:t>December 31, 2021</w:t>
            </w:r>
          </w:p>
        </w:tc>
      </w:tr>
      <w:tr>
        <w:trPr>
          <w:trHeight w:val="145"/>
        </w:trPr>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tcPr>
          <w:p>
            <w:pPr>
              <w:jc w:val="center"/>
              <w:ind w:right="420"/>
              <w:spacing w:after="0" w:line="146" w:lineRule="exact"/>
              <w:rPr>
                <w:sz w:val="20"/>
                <w:szCs w:val="20"/>
                <w:color w:val="auto"/>
              </w:rPr>
            </w:pPr>
            <w:r>
              <w:rPr>
                <w:rFonts w:ascii="Arial" w:cs="Arial" w:eastAsia="Arial" w:hAnsi="Arial"/>
                <w:sz w:val="15"/>
                <w:szCs w:val="15"/>
                <w:b w:val="1"/>
                <w:bCs w:val="1"/>
                <w:color w:val="auto"/>
              </w:rPr>
              <w:t>Carrying</w:t>
            </w:r>
          </w:p>
        </w:tc>
        <w:tc>
          <w:tcPr>
            <w:tcW w:w="220" w:type="dxa"/>
            <w:vAlign w:val="bottom"/>
          </w:tcPr>
          <w:p>
            <w:pPr>
              <w:spacing w:after="0"/>
              <w:rPr>
                <w:sz w:val="12"/>
                <w:szCs w:val="12"/>
                <w:color w:val="auto"/>
              </w:rPr>
            </w:pPr>
          </w:p>
        </w:tc>
        <w:tc>
          <w:tcPr>
            <w:tcW w:w="1480" w:type="dxa"/>
            <w:vAlign w:val="bottom"/>
            <w:gridSpan w:val="2"/>
          </w:tcPr>
          <w:p>
            <w:pPr>
              <w:ind w:left="100"/>
              <w:spacing w:after="0" w:line="146" w:lineRule="exact"/>
              <w:rPr>
                <w:sz w:val="20"/>
                <w:szCs w:val="20"/>
                <w:color w:val="auto"/>
              </w:rPr>
            </w:pPr>
            <w:r>
              <w:rPr>
                <w:rFonts w:ascii="Arial" w:cs="Arial" w:eastAsia="Arial" w:hAnsi="Arial"/>
                <w:sz w:val="15"/>
                <w:szCs w:val="15"/>
                <w:b w:val="1"/>
                <w:bCs w:val="1"/>
                <w:color w:val="auto"/>
              </w:rPr>
              <w:t>Estimated</w:t>
            </w: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6" w:lineRule="exact"/>
              <w:rPr>
                <w:sz w:val="20"/>
                <w:szCs w:val="20"/>
                <w:color w:val="auto"/>
              </w:rPr>
            </w:pPr>
            <w:r>
              <w:rPr>
                <w:rFonts w:ascii="Arial" w:cs="Arial" w:eastAsia="Arial" w:hAnsi="Arial"/>
                <w:sz w:val="15"/>
                <w:szCs w:val="15"/>
                <w:b w:val="1"/>
                <w:bCs w:val="1"/>
                <w:color w:val="auto"/>
              </w:rPr>
              <w:t>Carrying</w:t>
            </w:r>
          </w:p>
        </w:tc>
        <w:tc>
          <w:tcPr>
            <w:tcW w:w="220" w:type="dxa"/>
            <w:vAlign w:val="bottom"/>
          </w:tcPr>
          <w:p>
            <w:pPr>
              <w:spacing w:after="0"/>
              <w:rPr>
                <w:sz w:val="12"/>
                <w:szCs w:val="12"/>
                <w:color w:val="auto"/>
              </w:rPr>
            </w:pPr>
          </w:p>
        </w:tc>
        <w:tc>
          <w:tcPr>
            <w:tcW w:w="1160" w:type="dxa"/>
            <w:vAlign w:val="bottom"/>
          </w:tcPr>
          <w:p>
            <w:pPr>
              <w:jc w:val="right"/>
              <w:ind w:right="237"/>
              <w:spacing w:after="0" w:line="146" w:lineRule="exact"/>
              <w:rPr>
                <w:sz w:val="20"/>
                <w:szCs w:val="20"/>
                <w:color w:val="auto"/>
              </w:rPr>
            </w:pPr>
            <w:r>
              <w:rPr>
                <w:rFonts w:ascii="Arial" w:cs="Arial" w:eastAsia="Arial" w:hAnsi="Arial"/>
                <w:sz w:val="15"/>
                <w:szCs w:val="15"/>
                <w:b w:val="1"/>
                <w:bCs w:val="1"/>
                <w:color w:val="auto"/>
              </w:rPr>
              <w:t>Estimated</w:t>
            </w:r>
          </w:p>
        </w:tc>
      </w:tr>
      <w:tr>
        <w:trPr>
          <w:trHeight w:val="203"/>
        </w:trPr>
        <w:tc>
          <w:tcPr>
            <w:tcW w:w="4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rPr>
              <w:t>Amount</w:t>
            </w:r>
          </w:p>
        </w:tc>
        <w:tc>
          <w:tcPr>
            <w:tcW w:w="22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Arial" w:cs="Arial" w:eastAsia="Arial" w:hAnsi="Arial"/>
                <w:sz w:val="15"/>
                <w:szCs w:val="15"/>
                <w:b w:val="1"/>
                <w:bCs w:val="1"/>
                <w:color w:val="auto"/>
              </w:rPr>
              <w:t>Fair Value</w:t>
            </w:r>
          </w:p>
        </w:tc>
        <w:tc>
          <w:tcPr>
            <w:tcW w:w="24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rPr>
              <w:t>Amount</w:t>
            </w:r>
          </w:p>
        </w:tc>
        <w:tc>
          <w:tcPr>
            <w:tcW w:w="220" w:type="dxa"/>
            <w:vAlign w:val="bottom"/>
          </w:tcPr>
          <w:p>
            <w:pPr>
              <w:spacing w:after="0"/>
              <w:rPr>
                <w:sz w:val="17"/>
                <w:szCs w:val="17"/>
                <w:color w:val="auto"/>
              </w:rPr>
            </w:pPr>
          </w:p>
        </w:tc>
        <w:tc>
          <w:tcPr>
            <w:tcW w:w="1160" w:type="dxa"/>
            <w:vAlign w:val="bottom"/>
          </w:tcPr>
          <w:p>
            <w:pPr>
              <w:jc w:val="right"/>
              <w:ind w:right="257"/>
              <w:spacing w:after="0"/>
              <w:rPr>
                <w:sz w:val="20"/>
                <w:szCs w:val="20"/>
                <w:color w:val="auto"/>
              </w:rPr>
            </w:pPr>
            <w:r>
              <w:rPr>
                <w:rFonts w:ascii="Arial" w:cs="Arial" w:eastAsia="Arial" w:hAnsi="Arial"/>
                <w:sz w:val="15"/>
                <w:szCs w:val="15"/>
                <w:b w:val="1"/>
                <w:bCs w:val="1"/>
                <w:color w:val="auto"/>
              </w:rPr>
              <w:t>Fair Value</w:t>
            </w:r>
          </w:p>
        </w:tc>
      </w:tr>
      <w:tr>
        <w:trPr>
          <w:trHeight w:val="208"/>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Related party note receivable, net</w:t>
            </w:r>
          </w:p>
        </w:tc>
        <w:tc>
          <w:tcPr>
            <w:tcW w:w="32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78,592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79,614</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78,336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82,867</w:t>
            </w:r>
          </w:p>
        </w:tc>
      </w:tr>
      <w:tr>
        <w:trPr>
          <w:trHeight w:val="216"/>
        </w:trPr>
        <w:tc>
          <w:tcPr>
            <w:tcW w:w="4860" w:type="dxa"/>
            <w:vAlign w:val="bottom"/>
          </w:tcPr>
          <w:p>
            <w:pPr>
              <w:ind w:left="20"/>
              <w:spacing w:after="0"/>
              <w:rPr>
                <w:sz w:val="20"/>
                <w:szCs w:val="20"/>
                <w:color w:val="auto"/>
              </w:rPr>
            </w:pPr>
            <w:r>
              <w:rPr>
                <w:rFonts w:ascii="Arial" w:cs="Arial" w:eastAsia="Arial" w:hAnsi="Arial"/>
                <w:sz w:val="17"/>
                <w:szCs w:val="17"/>
                <w:color w:val="auto"/>
              </w:rPr>
              <w:t>Notes receivable, net</w:t>
            </w:r>
          </w:p>
        </w:tc>
        <w:tc>
          <w:tcPr>
            <w:tcW w:w="3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9,641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10,000</w:t>
            </w:r>
          </w:p>
        </w:tc>
      </w:tr>
      <w:tr>
        <w:trPr>
          <w:trHeight w:val="233"/>
        </w:trPr>
        <w:tc>
          <w:tcPr>
            <w:tcW w:w="48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32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79,614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87,977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92,867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87"/>
        </w:trPr>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Mortgage notes payable, net</w:t>
            </w: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3,271,157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2,788,779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3,267,914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3,395,569</w:t>
            </w:r>
          </w:p>
        </w:tc>
      </w:tr>
      <w:tr>
        <w:trPr>
          <w:trHeight w:val="216"/>
        </w:trPr>
        <w:tc>
          <w:tcPr>
            <w:tcW w:w="4860" w:type="dxa"/>
            <w:vAlign w:val="bottom"/>
          </w:tcPr>
          <w:p>
            <w:pPr>
              <w:ind w:left="20"/>
              <w:spacing w:after="0"/>
              <w:rPr>
                <w:sz w:val="20"/>
                <w:szCs w:val="20"/>
                <w:color w:val="auto"/>
              </w:rPr>
            </w:pPr>
            <w:r>
              <w:rPr>
                <w:rFonts w:ascii="Arial" w:cs="Arial" w:eastAsia="Arial" w:hAnsi="Arial"/>
                <w:sz w:val="17"/>
                <w:szCs w:val="17"/>
                <w:color w:val="auto"/>
              </w:rPr>
              <w:t>Unsecured senior notes, net</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9,491,714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8,261,816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9,483,695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9,966,591</w:t>
            </w: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Unsecured line of credit</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338,247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145,317</w:t>
            </w:r>
          </w:p>
        </w:tc>
      </w:tr>
      <w:tr>
        <w:trPr>
          <w:trHeight w:val="216"/>
        </w:trPr>
        <w:tc>
          <w:tcPr>
            <w:tcW w:w="4860" w:type="dxa"/>
            <w:vAlign w:val="bottom"/>
          </w:tcPr>
          <w:p>
            <w:pPr>
              <w:ind w:left="20"/>
              <w:spacing w:after="0"/>
              <w:rPr>
                <w:sz w:val="20"/>
                <w:szCs w:val="20"/>
                <w:color w:val="auto"/>
              </w:rPr>
            </w:pPr>
            <w:r>
              <w:rPr>
                <w:rFonts w:ascii="Arial" w:cs="Arial" w:eastAsia="Arial" w:hAnsi="Arial"/>
                <w:sz w:val="17"/>
                <w:szCs w:val="17"/>
                <w:color w:val="auto"/>
              </w:rPr>
              <w:t>Unsecured term loan, net</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730,000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730,000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48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32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13,832,871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12,118,842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12,896,609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13,507,477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Real Estate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BXP</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Real estate consisted of the following at September 30, 2022 and December 31, 2021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 2022</w:t>
            </w:r>
          </w:p>
        </w:tc>
        <w:tc>
          <w:tcPr>
            <w:tcW w:w="200" w:type="dxa"/>
            <w:vAlign w:val="bottom"/>
          </w:tcPr>
          <w:p>
            <w:pPr>
              <w:spacing w:after="0"/>
              <w:rPr>
                <w:sz w:val="17"/>
                <w:szCs w:val="17"/>
                <w:color w:val="auto"/>
              </w:rPr>
            </w:pPr>
          </w:p>
        </w:tc>
        <w:tc>
          <w:tcPr>
            <w:tcW w:w="1780" w:type="dxa"/>
            <w:vAlign w:val="bottom"/>
          </w:tcPr>
          <w:p>
            <w:pPr>
              <w:jc w:val="right"/>
              <w:ind w:right="216"/>
              <w:spacing w:after="0"/>
              <w:rPr>
                <w:sz w:val="20"/>
                <w:szCs w:val="20"/>
                <w:color w:val="auto"/>
              </w:rPr>
            </w:pPr>
            <w:r>
              <w:rPr>
                <w:rFonts w:ascii="Arial" w:cs="Arial" w:eastAsia="Arial" w:hAnsi="Arial"/>
                <w:sz w:val="15"/>
                <w:szCs w:val="15"/>
                <w:b w:val="1"/>
                <w:bCs w:val="1"/>
                <w:color w:val="auto"/>
              </w:rPr>
              <w:t>December 31, 2021</w:t>
            </w:r>
          </w:p>
        </w:tc>
      </w:tr>
      <w:tr>
        <w:trPr>
          <w:trHeight w:val="208"/>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5,208,688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5,061,169</w:t>
            </w:r>
          </w:p>
        </w:tc>
      </w:tr>
      <w:tr>
        <w:trPr>
          <w:trHeight w:val="216"/>
        </w:trPr>
        <w:tc>
          <w:tcPr>
            <w:tcW w:w="6940" w:type="dxa"/>
            <w:vAlign w:val="bottom"/>
          </w:tcPr>
          <w:p>
            <w:pPr>
              <w:ind w:left="20"/>
              <w:spacing w:after="0"/>
              <w:rPr>
                <w:sz w:val="20"/>
                <w:szCs w:val="20"/>
                <w:color w:val="auto"/>
              </w:rPr>
            </w:pPr>
            <w:r>
              <w:rPr>
                <w:rFonts w:ascii="Arial" w:cs="Arial" w:eastAsia="Arial" w:hAnsi="Arial"/>
                <w:sz w:val="17"/>
                <w:szCs w:val="17"/>
                <w:color w:val="auto"/>
              </w:rPr>
              <w:t>Right of use assets - finance leases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237,505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237,507</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 of use assets - operating leases</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167,935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169,778</w:t>
            </w:r>
          </w:p>
        </w:tc>
      </w:tr>
      <w:tr>
        <w:trPr>
          <w:trHeight w:val="216"/>
        </w:trPr>
        <w:tc>
          <w:tcPr>
            <w:tcW w:w="6940" w:type="dxa"/>
            <w:vAlign w:val="bottom"/>
          </w:tcPr>
          <w:p>
            <w:pPr>
              <w:ind w:left="20"/>
              <w:spacing w:after="0"/>
              <w:rPr>
                <w:sz w:val="20"/>
                <w:szCs w:val="20"/>
                <w:color w:val="auto"/>
              </w:rPr>
            </w:pPr>
            <w:r>
              <w:rPr>
                <w:rFonts w:ascii="Arial" w:cs="Arial" w:eastAsia="Arial" w:hAnsi="Arial"/>
                <w:sz w:val="17"/>
                <w:szCs w:val="17"/>
                <w:color w:val="auto"/>
              </w:rPr>
              <w:t>Land held for future development (1)</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601,676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560,355</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 and improvements</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15,598,033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14,291,214</w:t>
            </w:r>
          </w:p>
        </w:tc>
      </w:tr>
      <w:tr>
        <w:trPr>
          <w:trHeight w:val="216"/>
        </w:trPr>
        <w:tc>
          <w:tcPr>
            <w:tcW w:w="6940" w:type="dxa"/>
            <w:vAlign w:val="bottom"/>
          </w:tcPr>
          <w:p>
            <w:pPr>
              <w:ind w:left="20"/>
              <w:spacing w:after="0"/>
              <w:rPr>
                <w:sz w:val="20"/>
                <w:szCs w:val="20"/>
                <w:color w:val="auto"/>
              </w:rPr>
            </w:pPr>
            <w:r>
              <w:rPr>
                <w:rFonts w:ascii="Arial" w:cs="Arial" w:eastAsia="Arial" w:hAnsi="Arial"/>
                <w:sz w:val="17"/>
                <w:szCs w:val="17"/>
                <w:color w:val="auto"/>
              </w:rPr>
              <w:t>Tenant improvements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3,061,686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2,894,025</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fixtures and equipment</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52,126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51,695</w:t>
            </w:r>
          </w:p>
        </w:tc>
      </w:tr>
      <w:tr>
        <w:trPr>
          <w:trHeight w:val="216"/>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Construction in progress</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670,167</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894,172</w:t>
            </w:r>
          </w:p>
        </w:tc>
      </w:tr>
      <w:tr>
        <w:trPr>
          <w:trHeight w:val="208"/>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25,597,816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24,159,915</w:t>
            </w:r>
          </w:p>
        </w:tc>
      </w:tr>
      <w:tr>
        <w:trPr>
          <w:trHeight w:val="216"/>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(6,170,472)</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(5,883,961)</w:t>
            </w:r>
          </w:p>
        </w:tc>
      </w:tr>
      <w:tr>
        <w:trPr>
          <w:trHeight w:val="233"/>
        </w:trPr>
        <w:tc>
          <w:tcPr>
            <w:tcW w:w="6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19,427,344</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18,275,954</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(1)  Includes pre-development costs.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BPLP</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Real estate consisted of the following at September 30, 2022 and December 31, 2021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2022</w:t>
            </w:r>
          </w:p>
        </w:tc>
        <w:tc>
          <w:tcPr>
            <w:tcW w:w="220" w:type="dxa"/>
            <w:vAlign w:val="bottom"/>
          </w:tcPr>
          <w:p>
            <w:pPr>
              <w:spacing w:after="0"/>
              <w:rPr>
                <w:sz w:val="17"/>
                <w:szCs w:val="17"/>
                <w:color w:val="auto"/>
              </w:rPr>
            </w:pPr>
          </w:p>
        </w:tc>
        <w:tc>
          <w:tcPr>
            <w:tcW w:w="1780" w:type="dxa"/>
            <w:vAlign w:val="bottom"/>
          </w:tcPr>
          <w:p>
            <w:pPr>
              <w:jc w:val="right"/>
              <w:ind w:right="236"/>
              <w:spacing w:after="0"/>
              <w:rPr>
                <w:sz w:val="20"/>
                <w:szCs w:val="20"/>
                <w:color w:val="auto"/>
              </w:rPr>
            </w:pPr>
            <w:r>
              <w:rPr>
                <w:rFonts w:ascii="Arial" w:cs="Arial" w:eastAsia="Arial" w:hAnsi="Arial"/>
                <w:sz w:val="15"/>
                <w:szCs w:val="15"/>
                <w:b w:val="1"/>
                <w:bCs w:val="1"/>
                <w:color w:val="auto"/>
              </w:rPr>
              <w:t>December 31, 2021</w:t>
            </w:r>
          </w:p>
        </w:tc>
      </w:tr>
      <w:tr>
        <w:trPr>
          <w:trHeight w:val="208"/>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5,113,979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4,964,986</w:t>
            </w:r>
          </w:p>
        </w:tc>
      </w:tr>
      <w:tr>
        <w:trPr>
          <w:trHeight w:val="216"/>
        </w:trPr>
        <w:tc>
          <w:tcPr>
            <w:tcW w:w="6960" w:type="dxa"/>
            <w:vAlign w:val="bottom"/>
          </w:tcPr>
          <w:p>
            <w:pPr>
              <w:ind w:left="20"/>
              <w:spacing w:after="0"/>
              <w:rPr>
                <w:sz w:val="20"/>
                <w:szCs w:val="20"/>
                <w:color w:val="auto"/>
              </w:rPr>
            </w:pPr>
            <w:r>
              <w:rPr>
                <w:rFonts w:ascii="Arial" w:cs="Arial" w:eastAsia="Arial" w:hAnsi="Arial"/>
                <w:sz w:val="17"/>
                <w:szCs w:val="17"/>
                <w:color w:val="auto"/>
              </w:rPr>
              <w:t>Right of use assets - finance leases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237,505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237,507</w:t>
            </w: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 of use assets - operating leases</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167,935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169,778</w:t>
            </w:r>
          </w:p>
        </w:tc>
      </w:tr>
      <w:tr>
        <w:trPr>
          <w:trHeight w:val="216"/>
        </w:trPr>
        <w:tc>
          <w:tcPr>
            <w:tcW w:w="6960" w:type="dxa"/>
            <w:vAlign w:val="bottom"/>
          </w:tcPr>
          <w:p>
            <w:pPr>
              <w:ind w:left="20"/>
              <w:spacing w:after="0"/>
              <w:rPr>
                <w:sz w:val="20"/>
                <w:szCs w:val="20"/>
                <w:color w:val="auto"/>
              </w:rPr>
            </w:pPr>
            <w:r>
              <w:rPr>
                <w:rFonts w:ascii="Arial" w:cs="Arial" w:eastAsia="Arial" w:hAnsi="Arial"/>
                <w:sz w:val="17"/>
                <w:szCs w:val="17"/>
                <w:color w:val="auto"/>
              </w:rPr>
              <w:t>Land held for future development (1)</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601,676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560,355</w:t>
            </w: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 and improvements</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15,325,228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14,014,010</w:t>
            </w:r>
          </w:p>
        </w:tc>
      </w:tr>
      <w:tr>
        <w:trPr>
          <w:trHeight w:val="216"/>
        </w:trPr>
        <w:tc>
          <w:tcPr>
            <w:tcW w:w="6960" w:type="dxa"/>
            <w:vAlign w:val="bottom"/>
          </w:tcPr>
          <w:p>
            <w:pPr>
              <w:ind w:left="20"/>
              <w:spacing w:after="0"/>
              <w:rPr>
                <w:sz w:val="20"/>
                <w:szCs w:val="20"/>
                <w:color w:val="auto"/>
              </w:rPr>
            </w:pPr>
            <w:r>
              <w:rPr>
                <w:rFonts w:ascii="Arial" w:cs="Arial" w:eastAsia="Arial" w:hAnsi="Arial"/>
                <w:sz w:val="17"/>
                <w:szCs w:val="17"/>
                <w:color w:val="auto"/>
              </w:rPr>
              <w:t>Tenant improvements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3,061,686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2,894,025</w:t>
            </w: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fixtures and equipment</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51,695</w:t>
            </w:r>
          </w:p>
        </w:tc>
      </w:tr>
      <w:tr>
        <w:trPr>
          <w:trHeight w:val="216"/>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Construction in progress</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670,167</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894,172</w:t>
            </w:r>
          </w:p>
        </w:tc>
      </w:tr>
      <w:tr>
        <w:trPr>
          <w:trHeight w:val="208"/>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25,230,302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23,786,528</w:t>
            </w:r>
          </w:p>
        </w:tc>
      </w:tr>
      <w:tr>
        <w:trPr>
          <w:trHeight w:val="216"/>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(6,055,172)</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(5,772,018)</w:t>
            </w:r>
          </w:p>
        </w:tc>
      </w:tr>
      <w:tr>
        <w:trPr>
          <w:trHeight w:val="233"/>
        </w:trPr>
        <w:tc>
          <w:tcPr>
            <w:tcW w:w="6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19,175,130</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18,014,510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(1)  Includes pre-development costs.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Acquisitions</w:t>
      </w:r>
    </w:p>
    <w:p>
      <w:pPr>
        <w:spacing w:after="0" w:line="84" w:lineRule="exact"/>
        <w:rPr>
          <w:sz w:val="20"/>
          <w:szCs w:val="20"/>
          <w:color w:val="auto"/>
        </w:rPr>
      </w:pPr>
    </w:p>
    <w:p>
      <w:pPr>
        <w:ind w:firstLine="419"/>
        <w:spacing w:after="0" w:line="257" w:lineRule="auto"/>
        <w:rPr>
          <w:sz w:val="20"/>
          <w:szCs w:val="20"/>
          <w:color w:val="auto"/>
        </w:rPr>
      </w:pPr>
      <w:r>
        <w:rPr>
          <w:rFonts w:ascii="Arial" w:cs="Arial" w:eastAsia="Arial" w:hAnsi="Arial"/>
          <w:sz w:val="17"/>
          <w:szCs w:val="17"/>
          <w:color w:val="auto"/>
        </w:rPr>
        <w:t>On May 17, 2022, the Company completed the acquisition of Madison Centre in Seattle, Washington for a net purchase price, including transaction costs, of approximately $724.3 million. The acquisition was completed using the proceeds from BPLP’s $730.0 million unsecured term loan (See Note 6). Madison Centre is an approximately 755,000 net rentable square foot, 37-story, LEED-Platinum certified, premier workplace. The following table summarizes the allocation of the purchase price, including transaction costs, of Madison Centre at the date of acquisition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840" w:type="dxa"/>
            <w:vAlign w:val="bottom"/>
            <w:shd w:val="clear" w:color="auto" w:fill="CCEEFF"/>
          </w:tcPr>
          <w:p>
            <w:pPr>
              <w:jc w:val="right"/>
              <w:ind w:right="635"/>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104,641</w:t>
            </w:r>
          </w:p>
        </w:tc>
      </w:tr>
      <w:tr>
        <w:trPr>
          <w:trHeight w:val="216"/>
        </w:trPr>
        <w:tc>
          <w:tcPr>
            <w:tcW w:w="9000" w:type="dxa"/>
            <w:vAlign w:val="bottom"/>
          </w:tcPr>
          <w:p>
            <w:pPr>
              <w:ind w:left="20"/>
              <w:spacing w:after="0"/>
              <w:rPr>
                <w:sz w:val="20"/>
                <w:szCs w:val="20"/>
                <w:color w:val="auto"/>
              </w:rPr>
            </w:pPr>
            <w:r>
              <w:rPr>
                <w:rFonts w:ascii="Arial" w:cs="Arial" w:eastAsia="Arial" w:hAnsi="Arial"/>
                <w:sz w:val="17"/>
                <w:szCs w:val="17"/>
                <w:color w:val="auto"/>
              </w:rPr>
              <w:t>Building and improvements</w:t>
            </w: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505,766</w:t>
            </w:r>
          </w:p>
        </w:tc>
      </w:t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Tenant improvements</w:t>
            </w: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58,570</w:t>
            </w:r>
          </w:p>
        </w:tc>
      </w:tr>
      <w:tr>
        <w:trPr>
          <w:trHeight w:val="216"/>
        </w:trPr>
        <w:tc>
          <w:tcPr>
            <w:tcW w:w="9000" w:type="dxa"/>
            <w:vAlign w:val="bottom"/>
          </w:tcPr>
          <w:p>
            <w:pPr>
              <w:ind w:left="20"/>
              <w:spacing w:after="0"/>
              <w:rPr>
                <w:sz w:val="20"/>
                <w:szCs w:val="20"/>
                <w:color w:val="auto"/>
              </w:rPr>
            </w:pPr>
            <w:r>
              <w:rPr>
                <w:rFonts w:ascii="Arial" w:cs="Arial" w:eastAsia="Arial" w:hAnsi="Arial"/>
                <w:sz w:val="17"/>
                <w:szCs w:val="17"/>
                <w:color w:val="auto"/>
              </w:rPr>
              <w:t>In-place lease intangibles</w:t>
            </w: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74,598</w:t>
            </w:r>
          </w:p>
        </w:tc>
      </w:t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Above-market lease intangibles</w:t>
            </w: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3,794</w:t>
            </w:r>
          </w:p>
        </w:tc>
      </w:tr>
      <w:tr>
        <w:trPr>
          <w:trHeight w:val="216"/>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Below-market lease intangibles</w:t>
            </w: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(23,114)</w:t>
            </w:r>
          </w:p>
        </w:tc>
      </w:tr>
      <w:tr>
        <w:trPr>
          <w:trHeight w:val="233"/>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assets acquired</w:t>
            </w:r>
          </w:p>
        </w:tc>
        <w:tc>
          <w:tcPr>
            <w:tcW w:w="84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724,255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firstLine="419"/>
        <w:spacing w:after="0" w:line="266" w:lineRule="auto"/>
        <w:rPr>
          <w:sz w:val="20"/>
          <w:szCs w:val="20"/>
          <w:color w:val="auto"/>
        </w:rPr>
      </w:pPr>
      <w:r>
        <w:rPr>
          <w:rFonts w:ascii="Arial" w:cs="Arial" w:eastAsia="Arial" w:hAnsi="Arial"/>
          <w:sz w:val="17"/>
          <w:szCs w:val="17"/>
          <w:color w:val="auto"/>
        </w:rPr>
        <w:t>The following table summarizes the estimated annual amortization of the acquired in-place lease intangibles and the acquired above- and below-market lease intangibles for Madison Centre from May 17, 2022 through the remainder of 2022 and each of the five succeeding fiscal years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8"/>
              </w:rPr>
              <w:t>Acquired In-Place Lease</w:t>
            </w:r>
          </w:p>
        </w:tc>
        <w:tc>
          <w:tcPr>
            <w:tcW w:w="274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w w:val="99"/>
              </w:rPr>
              <w:t>Acquired Above-Market Lease</w:t>
            </w:r>
          </w:p>
        </w:tc>
        <w:tc>
          <w:tcPr>
            <w:tcW w:w="260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Acquired Below-Market Lease</w:t>
            </w:r>
          </w:p>
        </w:tc>
        <w:tc>
          <w:tcPr>
            <w:tcW w:w="0" w:type="dxa"/>
            <w:vAlign w:val="bottom"/>
          </w:tcPr>
          <w:p>
            <w:pPr>
              <w:spacing w:after="0"/>
              <w:rPr>
                <w:sz w:val="1"/>
                <w:szCs w:val="1"/>
                <w:color w:val="auto"/>
              </w:rPr>
            </w:pPr>
          </w:p>
        </w:tc>
      </w:tr>
      <w:tr>
        <w:trPr>
          <w:trHeight w:val="228"/>
        </w:trPr>
        <w:tc>
          <w:tcPr>
            <w:tcW w:w="3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Intangibles</w:t>
            </w:r>
          </w:p>
        </w:tc>
        <w:tc>
          <w:tcPr>
            <w:tcW w:w="480" w:type="dxa"/>
            <w:vAlign w:val="bottom"/>
          </w:tcPr>
          <w:p>
            <w:pPr>
              <w:spacing w:after="0"/>
              <w:rPr>
                <w:sz w:val="19"/>
                <w:szCs w:val="19"/>
                <w:color w:val="auto"/>
              </w:rPr>
            </w:pPr>
          </w:p>
        </w:tc>
        <w:tc>
          <w:tcPr>
            <w:tcW w:w="2260" w:type="dxa"/>
            <w:vAlign w:val="bottom"/>
            <w:gridSpan w:val="2"/>
          </w:tcPr>
          <w:p>
            <w:pPr>
              <w:jc w:val="center"/>
              <w:ind w:right="640"/>
              <w:spacing w:after="0"/>
              <w:rPr>
                <w:sz w:val="20"/>
                <w:szCs w:val="20"/>
                <w:color w:val="auto"/>
              </w:rPr>
            </w:pPr>
            <w:r>
              <w:rPr>
                <w:rFonts w:ascii="Arial" w:cs="Arial" w:eastAsia="Arial" w:hAnsi="Arial"/>
                <w:sz w:val="17"/>
                <w:szCs w:val="17"/>
                <w:b w:val="1"/>
                <w:bCs w:val="1"/>
                <w:color w:val="auto"/>
              </w:rPr>
              <w:t>Intangibles</w:t>
            </w:r>
          </w:p>
        </w:tc>
        <w:tc>
          <w:tcPr>
            <w:tcW w:w="480" w:type="dxa"/>
            <w:vAlign w:val="bottom"/>
          </w:tcPr>
          <w:p>
            <w:pPr>
              <w:spacing w:after="0"/>
              <w:rPr>
                <w:sz w:val="19"/>
                <w:szCs w:val="19"/>
                <w:color w:val="auto"/>
              </w:rPr>
            </w:pPr>
          </w:p>
        </w:tc>
        <w:tc>
          <w:tcPr>
            <w:tcW w:w="2120" w:type="dxa"/>
            <w:vAlign w:val="bottom"/>
          </w:tcPr>
          <w:p>
            <w:pPr>
              <w:jc w:val="right"/>
              <w:ind w:right="775"/>
              <w:spacing w:after="0"/>
              <w:rPr>
                <w:sz w:val="20"/>
                <w:szCs w:val="20"/>
                <w:color w:val="auto"/>
              </w:rPr>
            </w:pPr>
            <w:r>
              <w:rPr>
                <w:rFonts w:ascii="Arial" w:cs="Arial" w:eastAsia="Arial" w:hAnsi="Arial"/>
                <w:sz w:val="17"/>
                <w:szCs w:val="17"/>
                <w:b w:val="1"/>
                <w:bCs w:val="1"/>
                <w:color w:val="auto"/>
              </w:rPr>
              <w:t>Intangibles</w:t>
            </w:r>
          </w:p>
        </w:tc>
        <w:tc>
          <w:tcPr>
            <w:tcW w:w="0" w:type="dxa"/>
            <w:vAlign w:val="bottom"/>
          </w:tcPr>
          <w:p>
            <w:pPr>
              <w:spacing w:after="0"/>
              <w:rPr>
                <w:sz w:val="1"/>
                <w:szCs w:val="1"/>
                <w:color w:val="auto"/>
              </w:rPr>
            </w:pPr>
          </w:p>
        </w:tc>
      </w:tr>
      <w:tr>
        <w:trPr>
          <w:trHeight w:val="145"/>
        </w:trPr>
        <w:tc>
          <w:tcPr>
            <w:tcW w:w="3140" w:type="dxa"/>
            <w:vAlign w:val="bottom"/>
            <w:tcBorders>
              <w:top w:val="single" w:sz="8" w:color="CCEEFF"/>
            </w:tcBorders>
            <w:shd w:val="clear" w:color="auto" w:fill="CCEEFF"/>
          </w:tcPr>
          <w:p>
            <w:pPr>
              <w:ind w:left="20"/>
              <w:spacing w:after="0" w:line="145" w:lineRule="exact"/>
              <w:rPr>
                <w:sz w:val="20"/>
                <w:szCs w:val="20"/>
                <w:color w:val="auto"/>
              </w:rPr>
            </w:pPr>
            <w:r>
              <w:rPr>
                <w:rFonts w:ascii="Arial" w:cs="Arial" w:eastAsia="Arial" w:hAnsi="Arial"/>
                <w:sz w:val="16"/>
                <w:szCs w:val="16"/>
                <w:color w:val="auto"/>
              </w:rPr>
              <w:t>Period from May 17, 2022 through</w:t>
            </w:r>
          </w:p>
        </w:tc>
        <w:tc>
          <w:tcPr>
            <w:tcW w:w="220" w:type="dxa"/>
            <w:vAlign w:val="bottom"/>
            <w:tcBorders>
              <w:top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7,266</w:t>
            </w: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vMerge w:val="restart"/>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2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vMerge w:val="restart"/>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2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2,011</w:t>
            </w:r>
          </w:p>
        </w:tc>
        <w:tc>
          <w:tcPr>
            <w:tcW w:w="0" w:type="dxa"/>
            <w:vAlign w:val="bottom"/>
          </w:tcPr>
          <w:p>
            <w:pPr>
              <w:spacing w:after="0"/>
              <w:rPr>
                <w:sz w:val="1"/>
                <w:szCs w:val="1"/>
                <w:color w:val="auto"/>
              </w:rPr>
            </w:pPr>
          </w:p>
        </w:tc>
      </w:tr>
      <w:tr>
        <w:trPr>
          <w:trHeight w:val="228"/>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31, 2022</w:t>
            </w:r>
          </w:p>
        </w:tc>
        <w:tc>
          <w:tcPr>
            <w:tcW w:w="220" w:type="dxa"/>
            <w:vAlign w:val="bottom"/>
            <w:vMerge w:val="continue"/>
            <w:shd w:val="clear" w:color="auto" w:fill="CCEEFF"/>
          </w:tcPr>
          <w:p>
            <w:pPr>
              <w:spacing w:after="0"/>
              <w:rPr>
                <w:sz w:val="19"/>
                <w:szCs w:val="19"/>
                <w:color w:val="auto"/>
              </w:rPr>
            </w:pPr>
          </w:p>
        </w:tc>
        <w:tc>
          <w:tcPr>
            <w:tcW w:w="24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21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2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7"/>
                <w:szCs w:val="17"/>
                <w:color w:val="auto"/>
              </w:rPr>
              <w:t>2023</w:t>
            </w:r>
          </w:p>
        </w:tc>
        <w:tc>
          <w:tcPr>
            <w:tcW w:w="22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7"/>
                <w:szCs w:val="17"/>
                <w:color w:val="auto"/>
              </w:rPr>
              <w:t>12,200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1,098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3,442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3,411</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7"/>
                <w:szCs w:val="17"/>
                <w:color w:val="auto"/>
              </w:rPr>
              <w:t>2025</w:t>
            </w:r>
          </w:p>
        </w:tc>
        <w:tc>
          <w:tcPr>
            <w:tcW w:w="22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7"/>
                <w:szCs w:val="17"/>
                <w:color w:val="auto"/>
              </w:rPr>
              <w:t>10,770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254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3,398</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10,306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3,210</w:t>
            </w: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Arial" w:cs="Arial" w:eastAsia="Arial" w:hAnsi="Arial"/>
                <w:sz w:val="17"/>
                <w:szCs w:val="17"/>
                <w:color w:val="auto"/>
              </w:rPr>
              <w:t>2027</w:t>
            </w:r>
          </w:p>
        </w:tc>
        <w:tc>
          <w:tcPr>
            <w:tcW w:w="2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7"/>
                <w:szCs w:val="17"/>
                <w:color w:val="auto"/>
              </w:rPr>
              <w:t>9,161</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254</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2,805</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120" w:firstLine="419"/>
        <w:spacing w:after="0" w:line="283" w:lineRule="auto"/>
        <w:rPr>
          <w:sz w:val="20"/>
          <w:szCs w:val="20"/>
          <w:color w:val="auto"/>
        </w:rPr>
      </w:pPr>
      <w:r>
        <w:rPr>
          <w:rFonts w:ascii="Arial" w:cs="Arial" w:eastAsia="Arial" w:hAnsi="Arial"/>
          <w:sz w:val="17"/>
          <w:szCs w:val="17"/>
          <w:color w:val="auto"/>
        </w:rPr>
        <w:t>Madison Centre contributed approximately $18.8 million of revenue and approximately $1.3 million of net income to the Company for the period from May 17, 2022 through September 30, 2022.</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80" w:firstLine="419"/>
        <w:spacing w:after="0" w:line="260" w:lineRule="auto"/>
        <w:rPr>
          <w:sz w:val="20"/>
          <w:szCs w:val="20"/>
          <w:color w:val="auto"/>
        </w:rPr>
      </w:pPr>
      <w:r>
        <w:rPr>
          <w:rFonts w:ascii="Arial" w:cs="Arial" w:eastAsia="Arial" w:hAnsi="Arial"/>
          <w:sz w:val="17"/>
          <w:szCs w:val="17"/>
          <w:color w:val="auto"/>
        </w:rPr>
        <w:t>On September 16, 2022, the Company acquired 125 Broadway in Cambridge, Massachusetts for a net purchase price, including transaction costs, of approximately $592.4 million. The acquisition was completed with available cash and borrowings under BPLP’s unsecured credit facility. 125 Broadway is a 271,000 net rentable square foot, six-story, laboratory/life sciences property. The following table summarizes the allocation of the purchase price, including transaction costs, of 125 Broadway at the date of acquisition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840" w:type="dxa"/>
            <w:vAlign w:val="bottom"/>
            <w:shd w:val="clear" w:color="auto" w:fill="CCEEFF"/>
          </w:tcPr>
          <w:p>
            <w:pPr>
              <w:jc w:val="right"/>
              <w:ind w:right="635"/>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126,364</w:t>
            </w:r>
          </w:p>
        </w:tc>
      </w:tr>
      <w:tr>
        <w:trPr>
          <w:trHeight w:val="216"/>
        </w:trPr>
        <w:tc>
          <w:tcPr>
            <w:tcW w:w="9000" w:type="dxa"/>
            <w:vAlign w:val="bottom"/>
          </w:tcPr>
          <w:p>
            <w:pPr>
              <w:ind w:left="20"/>
              <w:spacing w:after="0"/>
              <w:rPr>
                <w:sz w:val="20"/>
                <w:szCs w:val="20"/>
                <w:color w:val="auto"/>
              </w:rPr>
            </w:pPr>
            <w:r>
              <w:rPr>
                <w:rFonts w:ascii="Arial" w:cs="Arial" w:eastAsia="Arial" w:hAnsi="Arial"/>
                <w:sz w:val="17"/>
                <w:szCs w:val="17"/>
                <w:color w:val="auto"/>
              </w:rPr>
              <w:t>Building and improvements</w:t>
            </w: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403,588</w:t>
            </w:r>
          </w:p>
        </w:tc>
      </w:t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Tenant improvements</w:t>
            </w: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30,074</w:t>
            </w:r>
          </w:p>
        </w:tc>
      </w:tr>
      <w:tr>
        <w:trPr>
          <w:trHeight w:val="216"/>
        </w:trPr>
        <w:tc>
          <w:tcPr>
            <w:tcW w:w="9000" w:type="dxa"/>
            <w:vAlign w:val="bottom"/>
          </w:tcPr>
          <w:p>
            <w:pPr>
              <w:ind w:left="20"/>
              <w:spacing w:after="0"/>
              <w:rPr>
                <w:sz w:val="20"/>
                <w:szCs w:val="20"/>
                <w:color w:val="auto"/>
              </w:rPr>
            </w:pPr>
            <w:r>
              <w:rPr>
                <w:rFonts w:ascii="Arial" w:cs="Arial" w:eastAsia="Arial" w:hAnsi="Arial"/>
                <w:sz w:val="17"/>
                <w:szCs w:val="17"/>
                <w:color w:val="auto"/>
              </w:rPr>
              <w:t>In-place lease intangibles</w:t>
            </w: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49,137</w:t>
            </w:r>
          </w:p>
        </w:tc>
      </w:t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Below-market lease intangibles</w:t>
            </w:r>
          </w:p>
        </w:tc>
        <w:tc>
          <w:tcPr>
            <w:tcW w:w="8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(16,725)</w:t>
            </w:r>
          </w:p>
        </w:tc>
      </w:tr>
      <w:tr>
        <w:trPr>
          <w:trHeight w:val="208"/>
        </w:trPr>
        <w:tc>
          <w:tcPr>
            <w:tcW w:w="9000" w:type="dxa"/>
            <w:vAlign w:val="bottom"/>
          </w:tcPr>
          <w:p>
            <w:pPr>
              <w:ind w:left="20"/>
              <w:spacing w:after="0"/>
              <w:rPr>
                <w:sz w:val="20"/>
                <w:szCs w:val="20"/>
                <w:color w:val="auto"/>
              </w:rPr>
            </w:pPr>
            <w:r>
              <w:rPr>
                <w:rFonts w:ascii="Arial" w:cs="Arial" w:eastAsia="Arial" w:hAnsi="Arial"/>
                <w:sz w:val="17"/>
                <w:szCs w:val="17"/>
                <w:color w:val="auto"/>
              </w:rPr>
              <w:t>Net assets acquired</w:t>
            </w:r>
          </w:p>
        </w:tc>
        <w:tc>
          <w:tcPr>
            <w:tcW w:w="84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592,438</w:t>
            </w:r>
          </w:p>
        </w:tc>
      </w:tr>
      <w:tr>
        <w:trPr>
          <w:trHeight w:val="20"/>
        </w:trPr>
        <w:tc>
          <w:tcPr>
            <w:tcW w:w="9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380" w:firstLine="419"/>
        <w:spacing w:after="0" w:line="266" w:lineRule="auto"/>
        <w:rPr>
          <w:sz w:val="20"/>
          <w:szCs w:val="20"/>
          <w:color w:val="auto"/>
        </w:rPr>
      </w:pPr>
      <w:r>
        <w:rPr>
          <w:rFonts w:ascii="Arial" w:cs="Arial" w:eastAsia="Arial" w:hAnsi="Arial"/>
          <w:sz w:val="17"/>
          <w:szCs w:val="17"/>
          <w:color w:val="auto"/>
        </w:rPr>
        <w:t>The following table summarizes the estimated annual amortization of the acquired in-place lease intangibles and the acquired below-market lease intangible for 125 Broadway from September 16, 2022 through the remainder of 2022 and each of the five succeeding fiscal years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8"/>
              </w:rPr>
              <w:t>Acquired In-Place Lease</w:t>
            </w:r>
          </w:p>
        </w:tc>
        <w:tc>
          <w:tcPr>
            <w:tcW w:w="260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Acquired Below-Market Lease</w:t>
            </w:r>
          </w:p>
        </w:tc>
      </w:tr>
      <w:tr>
        <w:trPr>
          <w:trHeight w:val="220"/>
        </w:trPr>
        <w:tc>
          <w:tcPr>
            <w:tcW w:w="6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Intangibles</w:t>
            </w:r>
          </w:p>
        </w:tc>
        <w:tc>
          <w:tcPr>
            <w:tcW w:w="500" w:type="dxa"/>
            <w:vAlign w:val="bottom"/>
          </w:tcPr>
          <w:p>
            <w:pPr>
              <w:spacing w:after="0"/>
              <w:rPr>
                <w:sz w:val="19"/>
                <w:szCs w:val="19"/>
                <w:color w:val="auto"/>
              </w:rPr>
            </w:pPr>
          </w:p>
        </w:tc>
        <w:tc>
          <w:tcPr>
            <w:tcW w:w="2100" w:type="dxa"/>
            <w:vAlign w:val="bottom"/>
          </w:tcPr>
          <w:p>
            <w:pPr>
              <w:jc w:val="right"/>
              <w:ind w:right="815"/>
              <w:spacing w:after="0"/>
              <w:rPr>
                <w:sz w:val="20"/>
                <w:szCs w:val="20"/>
                <w:color w:val="auto"/>
              </w:rPr>
            </w:pPr>
            <w:r>
              <w:rPr>
                <w:rFonts w:ascii="Arial" w:cs="Arial" w:eastAsia="Arial" w:hAnsi="Arial"/>
                <w:sz w:val="17"/>
                <w:szCs w:val="17"/>
                <w:b w:val="1"/>
                <w:bCs w:val="1"/>
                <w:color w:val="auto"/>
              </w:rPr>
              <w:t>Intangible</w:t>
            </w:r>
          </w:p>
        </w:tc>
      </w:tr>
      <w:tr>
        <w:trPr>
          <w:trHeight w:val="208"/>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Period from September 16, 2022 through December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2,185</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744</w:t>
            </w:r>
          </w:p>
        </w:tc>
      </w:tr>
      <w:tr>
        <w:trPr>
          <w:trHeight w:val="216"/>
        </w:trPr>
        <w:tc>
          <w:tcPr>
            <w:tcW w:w="6160" w:type="dxa"/>
            <w:vAlign w:val="bottom"/>
          </w:tcPr>
          <w:p>
            <w:pPr>
              <w:ind w:left="20"/>
              <w:spacing w:after="0"/>
              <w:rPr>
                <w:sz w:val="20"/>
                <w:szCs w:val="20"/>
                <w:color w:val="auto"/>
              </w:rPr>
            </w:pPr>
            <w:r>
              <w:rPr>
                <w:rFonts w:ascii="Arial" w:cs="Arial" w:eastAsia="Arial" w:hAnsi="Arial"/>
                <w:sz w:val="17"/>
                <w:szCs w:val="17"/>
                <w:color w:val="auto"/>
              </w:rPr>
              <w:t>2023</w:t>
            </w:r>
          </w:p>
        </w:tc>
        <w:tc>
          <w:tcPr>
            <w:tcW w:w="1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7"/>
                <w:szCs w:val="17"/>
                <w:color w:val="auto"/>
              </w:rPr>
              <w:t>8,740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2,975</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6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2,975</w:t>
            </w:r>
          </w:p>
        </w:tc>
      </w:tr>
      <w:tr>
        <w:trPr>
          <w:trHeight w:val="216"/>
        </w:trPr>
        <w:tc>
          <w:tcPr>
            <w:tcW w:w="6160" w:type="dxa"/>
            <w:vAlign w:val="bottom"/>
          </w:tcPr>
          <w:p>
            <w:pPr>
              <w:ind w:left="20"/>
              <w:spacing w:after="0"/>
              <w:rPr>
                <w:sz w:val="20"/>
                <w:szCs w:val="20"/>
                <w:color w:val="auto"/>
              </w:rPr>
            </w:pPr>
            <w:r>
              <w:rPr>
                <w:rFonts w:ascii="Arial" w:cs="Arial" w:eastAsia="Arial" w:hAnsi="Arial"/>
                <w:sz w:val="17"/>
                <w:szCs w:val="17"/>
                <w:color w:val="auto"/>
              </w:rPr>
              <w:t>2025</w:t>
            </w:r>
          </w:p>
        </w:tc>
        <w:tc>
          <w:tcPr>
            <w:tcW w:w="1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7"/>
                <w:szCs w:val="17"/>
                <w:color w:val="auto"/>
              </w:rPr>
              <w:t>8,740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2,975</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6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2,975</w:t>
            </w:r>
          </w:p>
        </w:tc>
      </w:tr>
      <w:tr>
        <w:trPr>
          <w:trHeight w:val="223"/>
        </w:trPr>
        <w:tc>
          <w:tcPr>
            <w:tcW w:w="6160" w:type="dxa"/>
            <w:vAlign w:val="bottom"/>
          </w:tcPr>
          <w:p>
            <w:pPr>
              <w:ind w:left="20"/>
              <w:spacing w:after="0"/>
              <w:rPr>
                <w:sz w:val="20"/>
                <w:szCs w:val="20"/>
                <w:color w:val="auto"/>
              </w:rPr>
            </w:pPr>
            <w:r>
              <w:rPr>
                <w:rFonts w:ascii="Arial" w:cs="Arial" w:eastAsia="Arial" w:hAnsi="Arial"/>
                <w:sz w:val="17"/>
                <w:szCs w:val="17"/>
                <w:color w:val="auto"/>
              </w:rPr>
              <w:t>2027</w:t>
            </w:r>
          </w:p>
        </w:tc>
        <w:tc>
          <w:tcPr>
            <w:tcW w:w="16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7"/>
                <w:szCs w:val="17"/>
                <w:color w:val="auto"/>
              </w:rPr>
              <w:t>8,740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2,975</w:t>
            </w:r>
          </w:p>
        </w:tc>
      </w:tr>
    </w:tbl>
    <w:p>
      <w:pPr>
        <w:spacing w:after="0" w:line="217" w:lineRule="exact"/>
        <w:rPr>
          <w:sz w:val="20"/>
          <w:szCs w:val="20"/>
          <w:color w:val="auto"/>
        </w:rPr>
      </w:pPr>
    </w:p>
    <w:p>
      <w:pPr>
        <w:ind w:right="320" w:firstLine="419"/>
        <w:spacing w:after="0" w:line="283" w:lineRule="auto"/>
        <w:rPr>
          <w:sz w:val="20"/>
          <w:szCs w:val="20"/>
          <w:color w:val="auto"/>
        </w:rPr>
      </w:pPr>
      <w:r>
        <w:rPr>
          <w:rFonts w:ascii="Arial" w:cs="Arial" w:eastAsia="Arial" w:hAnsi="Arial"/>
          <w:sz w:val="17"/>
          <w:szCs w:val="17"/>
          <w:color w:val="auto"/>
        </w:rPr>
        <w:t>125 Broadway contributed approximately $1.6 million of revenue and approximately $0.4 million of net income to the Company for the period from September 16, 2022 through September 30, 2022.</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Dispositions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March 31, 2022, the Company completed the sale of 195 West Street located in Waltham, Massachusetts for a gross sale price of</w:t>
      </w:r>
    </w:p>
    <w:p>
      <w:pPr>
        <w:spacing w:after="0" w:line="24"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$37.7 million. Net cash proceeds totaled approximately $35.4 million, resulting in a gain on sale of real estate totaling approximately $22.7 million for BXP and approximately $23.4 million for BPLP. 195 West Street is an approximately 63,500 net rentable square foot office property. 195 West Street contributed approximately $0.4 million of net income to the Company from January 1, 2022 through March 30, 2022 and contributed approximately $0.4 million and $0.2 million of net income to the Company for the three and nine months ended September 30, 2021, respectively.</w:t>
      </w:r>
    </w:p>
    <w:p>
      <w:pPr>
        <w:spacing w:after="0" w:line="121" w:lineRule="exact"/>
        <w:rPr>
          <w:sz w:val="20"/>
          <w:szCs w:val="20"/>
          <w:color w:val="auto"/>
        </w:rPr>
      </w:pPr>
    </w:p>
    <w:p>
      <w:pPr>
        <w:ind w:right="20" w:firstLine="419"/>
        <w:spacing w:after="0" w:line="271" w:lineRule="auto"/>
        <w:rPr>
          <w:sz w:val="20"/>
          <w:szCs w:val="20"/>
          <w:color w:val="auto"/>
        </w:rPr>
      </w:pPr>
      <w:r>
        <w:rPr>
          <w:rFonts w:ascii="Arial" w:cs="Arial" w:eastAsia="Arial" w:hAnsi="Arial"/>
          <w:sz w:val="16"/>
          <w:szCs w:val="16"/>
          <w:color w:val="auto"/>
        </w:rPr>
        <w:t>On April 19, 2021, the Company entered into an agreement to acquire 11251 Roger Bacon Drive in Reston, Virginia for an aggregate purchase price of approximately $5.6 million. On April 7, 2022, the Company executed an agreement to assign its right to acquire 11251 Roger Bacon Drive to a third party for an assignment fee of approximately $6.9 million. Net cash proceeds totaled approximately $6.6 million and is reflected as Other income</w:t>
      </w:r>
    </w:p>
    <w:p>
      <w:pPr>
        <w:spacing w:after="0" w:line="2" w:lineRule="exact"/>
        <w:rPr>
          <w:sz w:val="20"/>
          <w:szCs w:val="20"/>
          <w:color w:val="auto"/>
        </w:rPr>
      </w:pPr>
    </w:p>
    <w:p>
      <w:pPr>
        <w:ind w:right="200" w:firstLine="2"/>
        <w:spacing w:after="0" w:line="263" w:lineRule="auto"/>
        <w:tabs>
          <w:tab w:leader="none" w:pos="103" w:val="left"/>
        </w:tabs>
        <w:numPr>
          <w:ilvl w:val="0"/>
          <w:numId w:val="9"/>
        </w:numPr>
        <w:rPr>
          <w:rFonts w:ascii="Arial" w:cs="Arial" w:eastAsia="Arial" w:hAnsi="Arial"/>
          <w:sz w:val="17"/>
          <w:szCs w:val="17"/>
          <w:color w:val="auto"/>
        </w:rPr>
      </w:pPr>
      <w:r>
        <w:rPr>
          <w:rFonts w:ascii="Arial" w:cs="Arial" w:eastAsia="Arial" w:hAnsi="Arial"/>
          <w:sz w:val="17"/>
          <w:szCs w:val="17"/>
          <w:color w:val="auto"/>
        </w:rPr>
        <w:t>assignment fee in the Company's Consolidated Statements of Operations. 11251 Roger Bacon Drive is an approximately 65,000 square foot office building situated on approximately 2.6 acres. The property was 100% leased.</w:t>
      </w:r>
    </w:p>
    <w:p>
      <w:pPr>
        <w:spacing w:after="0" w:line="114" w:lineRule="exact"/>
        <w:rPr>
          <w:sz w:val="20"/>
          <w:szCs w:val="20"/>
          <w:color w:val="auto"/>
        </w:rPr>
      </w:pPr>
    </w:p>
    <w:p>
      <w:pPr>
        <w:ind w:right="80" w:firstLine="419"/>
        <w:spacing w:after="0" w:line="256" w:lineRule="auto"/>
        <w:rPr>
          <w:sz w:val="20"/>
          <w:szCs w:val="20"/>
          <w:color w:val="auto"/>
        </w:rPr>
      </w:pPr>
      <w:r>
        <w:rPr>
          <w:rFonts w:ascii="Arial" w:cs="Arial" w:eastAsia="Arial" w:hAnsi="Arial"/>
          <w:sz w:val="17"/>
          <w:szCs w:val="17"/>
          <w:color w:val="auto"/>
        </w:rPr>
        <w:t>On June 15, 2022, the Company completed the sale of its suburban Virginia 95 Office Park properties located in Springfield, Virginia for an aggregate gross sale price of $ 127.5 million. Net cash proceeds totaled approximately $121.9 million, resulting in a gain on sale of real estate totaling approximately $96.2 million for BXP and approximately $99.5 million for BPLP. Virginia 95 Office Park consists of eleven office/flex properties aggregating approximately 733,000 net rentable square feet. Virginia 95 Office Park contributed approximately $2.3 million of net income to the Company from January 1, 2022 through June 14, 2022 and contributed approximately $1.8 million and $5.9 million of net income to the Company for the three and nine months ended September 30, 2021, respectively.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August 30, 2022, the Company completed the sale of 601 Massachusetts Avenue located in Washington, DC for a gross sale price of</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$531.0 million. Net cash proceeds totaled approximately $512.3 million, resulting in a gain on sale of real estate of approximately $237.4 million for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BXP and approximately $237.5 million for BPLP. 601 Massachusetts Avenue is an approximately 479,000 net rentable square foot premier workplace.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601 Massachusetts Avenue contributed approximately $3.6 million and $14.9 million of net income to the Company for the period from July 1, 2022</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through August 29, 2022 and the period from January 1, 2022 through August 29, 2022, respectively, and contributed approximately $5.6 million and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$16.7 million of net income to the Company for the three and nine months ended September 30, 2021, respectively.</w:t>
      </w:r>
    </w:p>
    <w:p>
      <w:pPr>
        <w:spacing w:after="0" w:line="144" w:lineRule="exact"/>
        <w:rPr>
          <w:sz w:val="20"/>
          <w:szCs w:val="20"/>
          <w:color w:val="auto"/>
        </w:rPr>
      </w:pPr>
    </w:p>
    <w:p>
      <w:pPr>
        <w:ind w:right="360" w:firstLine="419"/>
        <w:spacing w:after="0" w:line="266" w:lineRule="auto"/>
        <w:rPr>
          <w:sz w:val="20"/>
          <w:szCs w:val="20"/>
          <w:color w:val="auto"/>
        </w:rPr>
      </w:pPr>
      <w:r>
        <w:rPr>
          <w:rFonts w:ascii="Arial" w:cs="Arial" w:eastAsia="Arial" w:hAnsi="Arial"/>
          <w:sz w:val="17"/>
          <w:szCs w:val="17"/>
          <w:color w:val="auto"/>
        </w:rPr>
        <w:t>On September 15, 2022, the Company completed the sale of two parcels of land located in Loudoun County, Virginia for an aggregate gross sale price of $27.0 million. Net cash proceeds totaled approximately $25.6 million, resulting in a gain on sale of real estate totaling approximately $24.4 million for BXP and BPLP.</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Developments</w:t>
      </w:r>
    </w:p>
    <w:p>
      <w:pPr>
        <w:spacing w:after="0" w:line="84" w:lineRule="exact"/>
        <w:rPr>
          <w:sz w:val="20"/>
          <w:szCs w:val="20"/>
          <w:color w:val="auto"/>
        </w:rPr>
      </w:pPr>
    </w:p>
    <w:p>
      <w:pPr>
        <w:ind w:right="20" w:firstLine="419"/>
        <w:spacing w:after="0" w:line="255" w:lineRule="auto"/>
        <w:rPr>
          <w:sz w:val="20"/>
          <w:szCs w:val="20"/>
          <w:color w:val="auto"/>
        </w:rPr>
      </w:pPr>
      <w:r>
        <w:rPr>
          <w:rFonts w:ascii="Arial" w:cs="Arial" w:eastAsia="Arial" w:hAnsi="Arial"/>
          <w:sz w:val="17"/>
          <w:szCs w:val="17"/>
          <w:color w:val="auto"/>
        </w:rPr>
        <w:t>On April 27, 2022, the Company entered into a 15-year lease agreement with AstraZeneca for approximately 570,000 net rentable square feet at the Company’s 290 Binney Street future development project. 290 Binney Street is part of the initial phase of a future life sciences development project located in the heart of Kendall Square in Cambridge, Massachusetts. The full project will consist of two buildings aggregating approximately</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1.1 million rentable square feet of life sciences space and an approximately 400,000 square foot residential building. The lease and commencement of construction are subject to various conditions, some of which are not within the Company’s control. There can be no assurance that the conditions will be satisfied or that the Company will commence the development on the terms and schedule currently contemplated or at all.</w:t>
      </w:r>
    </w:p>
    <w:p>
      <w:pPr>
        <w:spacing w:after="0" w:line="120" w:lineRule="exact"/>
        <w:rPr>
          <w:sz w:val="20"/>
          <w:szCs w:val="20"/>
          <w:color w:val="auto"/>
        </w:rPr>
      </w:pPr>
    </w:p>
    <w:p>
      <w:pPr>
        <w:ind w:right="80" w:firstLine="419"/>
        <w:spacing w:after="0" w:line="283" w:lineRule="auto"/>
        <w:rPr>
          <w:sz w:val="20"/>
          <w:szCs w:val="20"/>
          <w:color w:val="auto"/>
        </w:rPr>
      </w:pPr>
      <w:r>
        <w:rPr>
          <w:rFonts w:ascii="Arial" w:cs="Arial" w:eastAsia="Arial" w:hAnsi="Arial"/>
          <w:sz w:val="17"/>
          <w:szCs w:val="17"/>
          <w:color w:val="auto"/>
        </w:rPr>
        <w:t>On April 29, 2022, the Company partially placed in-service 2100 Pennsylvania Avenue, a premier workplace project with approximately 480,000 net rentable square feet located in Washington, DC.</w:t>
      </w:r>
    </w:p>
    <w:p>
      <w:pPr>
        <w:spacing w:after="0" w:line="97" w:lineRule="exact"/>
        <w:rPr>
          <w:sz w:val="20"/>
          <w:szCs w:val="20"/>
          <w:color w:val="auto"/>
        </w:rPr>
      </w:pPr>
    </w:p>
    <w:p>
      <w:pPr>
        <w:ind w:right="260" w:firstLine="419"/>
        <w:spacing w:after="0" w:line="283" w:lineRule="auto"/>
        <w:rPr>
          <w:sz w:val="20"/>
          <w:szCs w:val="20"/>
          <w:color w:val="auto"/>
        </w:rPr>
      </w:pPr>
      <w:r>
        <w:rPr>
          <w:rFonts w:ascii="Arial" w:cs="Arial" w:eastAsia="Arial" w:hAnsi="Arial"/>
          <w:sz w:val="17"/>
          <w:szCs w:val="17"/>
          <w:color w:val="auto"/>
        </w:rPr>
        <w:t>On May 13, 2022, the Company commenced the development of Reston Next Office Phase II, a premier workplace project located in Reston, Virginia. When completed, the building will consist of approximately 90,000 net rentable square feet.</w:t>
      </w:r>
    </w:p>
    <w:p>
      <w:pPr>
        <w:spacing w:after="0" w:line="97" w:lineRule="exact"/>
        <w:rPr>
          <w:sz w:val="20"/>
          <w:szCs w:val="20"/>
          <w:color w:val="auto"/>
        </w:rPr>
      </w:pPr>
    </w:p>
    <w:p>
      <w:pPr>
        <w:ind w:right="40" w:firstLine="419"/>
        <w:spacing w:after="0" w:line="283" w:lineRule="auto"/>
        <w:rPr>
          <w:sz w:val="20"/>
          <w:szCs w:val="20"/>
          <w:color w:val="auto"/>
        </w:rPr>
      </w:pPr>
      <w:r>
        <w:rPr>
          <w:rFonts w:ascii="Arial" w:cs="Arial" w:eastAsia="Arial" w:hAnsi="Arial"/>
          <w:sz w:val="17"/>
          <w:szCs w:val="17"/>
          <w:color w:val="auto"/>
        </w:rPr>
        <w:t>On June 29, 2022, the Company completed and fully placed in-service 325 Main Street, a premier workplace project with approximately 414,000 net rentable square feet located in Cambridge, Massachusetts.</w:t>
      </w:r>
    </w:p>
    <w:p>
      <w:pPr>
        <w:spacing w:after="0" w:line="97" w:lineRule="exact"/>
        <w:rPr>
          <w:sz w:val="20"/>
          <w:szCs w:val="20"/>
          <w:color w:val="auto"/>
        </w:rPr>
      </w:pPr>
    </w:p>
    <w:p>
      <w:pPr>
        <w:ind w:right="440" w:firstLine="419"/>
        <w:spacing w:after="0" w:line="281" w:lineRule="auto"/>
        <w:rPr>
          <w:sz w:val="20"/>
          <w:szCs w:val="20"/>
          <w:color w:val="auto"/>
        </w:rPr>
      </w:pPr>
      <w:r>
        <w:rPr>
          <w:rFonts w:ascii="Arial" w:cs="Arial" w:eastAsia="Arial" w:hAnsi="Arial"/>
          <w:sz w:val="16"/>
          <w:szCs w:val="16"/>
          <w:color w:val="auto"/>
        </w:rPr>
        <w:t>On July 1, 2022, the Company commenced the redevelopment of 140 Kendrick Street, a premier workplace that consists of three buildings aggregating approximately 388,000 net rentable square feet located in Needham, Massachusetts. The redevelopment is a repositioning of one building consisting of approximately 90,000 net rentable square feet into a net zero, carbon neutral premier workplace building, as defined by the LEED Zero Carbon Certification. When completed, the building will consist of approximately 104,000 net rentable square feet.</w:t>
      </w:r>
    </w:p>
    <w:p>
      <w:pPr>
        <w:spacing w:after="0" w:line="103" w:lineRule="exact"/>
        <w:rPr>
          <w:sz w:val="20"/>
          <w:szCs w:val="20"/>
          <w:color w:val="auto"/>
        </w:rPr>
      </w:pPr>
    </w:p>
    <w:p>
      <w:pPr>
        <w:ind w:right="200" w:firstLine="419"/>
        <w:spacing w:after="0" w:line="283" w:lineRule="auto"/>
        <w:rPr>
          <w:sz w:val="20"/>
          <w:szCs w:val="20"/>
          <w:color w:val="auto"/>
        </w:rPr>
      </w:pPr>
      <w:r>
        <w:rPr>
          <w:rFonts w:ascii="Arial" w:cs="Arial" w:eastAsia="Arial" w:hAnsi="Arial"/>
          <w:sz w:val="17"/>
          <w:szCs w:val="17"/>
          <w:color w:val="auto"/>
        </w:rPr>
        <w:t>On July 15, 2022, the Company partially placed in-service 880 Winter Street, an approximately 244,000 net rentable square foot laboratory/life sciences project located in Waltham, Massachusetts.</w:t>
      </w:r>
    </w:p>
    <w:p>
      <w:pPr>
        <w:spacing w:after="0" w:line="97" w:lineRule="exact"/>
        <w:rPr>
          <w:sz w:val="20"/>
          <w:szCs w:val="20"/>
          <w:color w:val="auto"/>
        </w:rPr>
      </w:pPr>
    </w:p>
    <w:p>
      <w:pPr>
        <w:ind w:right="100" w:firstLine="419"/>
        <w:spacing w:after="0" w:line="257" w:lineRule="auto"/>
        <w:rPr>
          <w:sz w:val="20"/>
          <w:szCs w:val="20"/>
          <w:color w:val="auto"/>
        </w:rPr>
      </w:pPr>
      <w:r>
        <w:rPr>
          <w:rFonts w:ascii="Arial" w:cs="Arial" w:eastAsia="Arial" w:hAnsi="Arial"/>
          <w:sz w:val="17"/>
          <w:szCs w:val="17"/>
          <w:color w:val="auto"/>
        </w:rPr>
        <w:t>On September 8, 2022, the Company terminated its existing lease agreement with its client at 300 Binney Street to facilitate the conversion and expansion of the property. 300 Binney Street is a premier workplace with approximately 195,000 net rentable square feet at Kendall Center in Cambridge, Massachusetts that will be redeveloped into approximately 240,000 net rentable square feet of laboratory/life sciences space. The commencement of construction is subject to various conditions. There can be no assurance that the Company will commence the redevelopment on the terms and schedule currently contemplated or at all.</w:t>
      </w:r>
    </w:p>
    <w:p>
      <w:pPr>
        <w:spacing w:after="0" w:line="121" w:lineRule="exact"/>
        <w:rPr>
          <w:sz w:val="20"/>
          <w:szCs w:val="20"/>
          <w:color w:val="auto"/>
        </w:rPr>
      </w:pPr>
    </w:p>
    <w:p>
      <w:pPr>
        <w:ind w:right="20" w:firstLine="419"/>
        <w:spacing w:after="0" w:line="283" w:lineRule="auto"/>
        <w:rPr>
          <w:sz w:val="20"/>
          <w:szCs w:val="20"/>
          <w:color w:val="auto"/>
        </w:rPr>
      </w:pPr>
      <w:r>
        <w:rPr>
          <w:rFonts w:ascii="Arial" w:cs="Arial" w:eastAsia="Arial" w:hAnsi="Arial"/>
          <w:sz w:val="17"/>
          <w:szCs w:val="17"/>
          <w:color w:val="auto"/>
        </w:rPr>
        <w:t>On September 12, 2022, the Company commenced the redevelopment of 760 Boylston Street, a retail project at the Prudential Center located in Boston, Massachusetts. The redevelopment is a modernization of the space consisting of approximately 118,000 net rentable square feet.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Leases</w:t>
      </w:r>
    </w:p>
    <w:p>
      <w:pPr>
        <w:spacing w:after="0" w:line="96" w:lineRule="exact"/>
        <w:rPr>
          <w:sz w:val="20"/>
          <w:szCs w:val="20"/>
          <w:color w:val="auto"/>
        </w:rPr>
      </w:pPr>
    </w:p>
    <w:p>
      <w:pPr>
        <w:ind w:right="260" w:firstLine="419"/>
        <w:spacing w:after="0" w:line="290" w:lineRule="auto"/>
        <w:rPr>
          <w:sz w:val="20"/>
          <w:szCs w:val="20"/>
          <w:color w:val="auto"/>
        </w:rPr>
      </w:pPr>
      <w:r>
        <w:rPr>
          <w:rFonts w:ascii="Arial" w:cs="Arial" w:eastAsia="Arial" w:hAnsi="Arial"/>
          <w:sz w:val="16"/>
          <w:szCs w:val="16"/>
          <w:color w:val="auto"/>
        </w:rPr>
        <w:t>The Company estimates the collectability of its accrued rent and accounts receivable balances related to lease revenue. When evaluating the collectability of these accrued rent and accounts receivable balances, management considers client creditworthiness, current economic trends, including the impact of the COVID-19 pandemic on clients’ businesses, and changes in clients’ payment patterns, on a lease-by-lease basis.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firstLine="419"/>
        <w:spacing w:after="0" w:line="260" w:lineRule="auto"/>
        <w:rPr>
          <w:sz w:val="20"/>
          <w:szCs w:val="20"/>
          <w:color w:val="auto"/>
        </w:rPr>
      </w:pPr>
      <w:r>
        <w:rPr>
          <w:rFonts w:ascii="Arial" w:cs="Arial" w:eastAsia="Arial" w:hAnsi="Arial"/>
          <w:sz w:val="17"/>
          <w:szCs w:val="17"/>
          <w:color w:val="auto"/>
        </w:rPr>
        <w:t>During the nine months ended September 30, 2021, the Company wrote off approximately $ 1.3 million related to accrued rent, net balances and accounts receivable, net balances. There were no write-offs related to accrued rent, net balances and accounts receivable, net balances for the three months ended September 30, 2021. The write-offs were for clients, primarily in the retail sector, that either terminated their leases or for which the Company determined their accrued rent and/or accounts receivable balances were no longer probable of collection.</w:t>
      </w:r>
    </w:p>
    <w:p>
      <w:pPr>
        <w:spacing w:after="0" w:line="118" w:lineRule="exact"/>
        <w:rPr>
          <w:sz w:val="20"/>
          <w:szCs w:val="20"/>
          <w:color w:val="auto"/>
        </w:rPr>
      </w:pPr>
    </w:p>
    <w:p>
      <w:pPr>
        <w:ind w:right="140" w:firstLine="419"/>
        <w:spacing w:after="0" w:line="260" w:lineRule="auto"/>
        <w:rPr>
          <w:sz w:val="20"/>
          <w:szCs w:val="20"/>
          <w:color w:val="auto"/>
        </w:rPr>
      </w:pPr>
      <w:r>
        <w:rPr>
          <w:rFonts w:ascii="Arial" w:cs="Arial" w:eastAsia="Arial" w:hAnsi="Arial"/>
          <w:sz w:val="17"/>
          <w:szCs w:val="17"/>
          <w:color w:val="auto"/>
        </w:rPr>
        <w:t>During the nine months ended September 30, 2022, the Company determined it was probable of collecting substantially all of certain clients’ accrued rent and account receivable balances and, therefore, ceased recognizing revenue from such clients on a cash basis. As a result of returning these clients to accrual basis accounting, the Company reinstated approximately $ 1.5 million of accrued rent balances during the nine months ended September 30, 2022. There was no reinstatement of accrued rent balances during the three months ended September 30, 2022.</w:t>
      </w:r>
    </w:p>
    <w:p>
      <w:pPr>
        <w:spacing w:after="0" w:line="118" w:lineRule="exact"/>
        <w:rPr>
          <w:sz w:val="20"/>
          <w:szCs w:val="20"/>
          <w:color w:val="auto"/>
        </w:rPr>
      </w:pPr>
    </w:p>
    <w:p>
      <w:pPr>
        <w:ind w:right="380" w:firstLine="419"/>
        <w:spacing w:after="0" w:line="283" w:lineRule="auto"/>
        <w:rPr>
          <w:sz w:val="20"/>
          <w:szCs w:val="20"/>
          <w:color w:val="auto"/>
        </w:rPr>
      </w:pPr>
      <w:r>
        <w:rPr>
          <w:rFonts w:ascii="Arial" w:cs="Arial" w:eastAsia="Arial" w:hAnsi="Arial"/>
          <w:sz w:val="17"/>
          <w:szCs w:val="17"/>
          <w:color w:val="auto"/>
        </w:rPr>
        <w:t>For information related to write-offs of accrued rent, net balances and accounts receivable, net balances and reinstatements of accrued rent balances for the Company’s unconsolidated joint ventures, see Note 5.</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7"/>
          <w:szCs w:val="17"/>
          <w:u w:val="single" w:color="auto"/>
          <w:color w:val="auto"/>
        </w:rPr>
        <w:t>Lessor</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components of lease revenue recognized during the three and nine months ended September 30, 2022 and</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2021 included within the Company's Consolidated Statements of Operations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gridSpan w:val="5"/>
          </w:tcPr>
          <w:p>
            <w:pPr>
              <w:ind w:left="20"/>
              <w:spacing w:after="0"/>
              <w:rPr>
                <w:sz w:val="20"/>
                <w:szCs w:val="20"/>
                <w:color w:val="auto"/>
              </w:rPr>
            </w:pPr>
            <w:r>
              <w:rPr>
                <w:rFonts w:ascii="Arial" w:cs="Arial" w:eastAsia="Arial" w:hAnsi="Arial"/>
                <w:sz w:val="15"/>
                <w:szCs w:val="15"/>
                <w:b w:val="1"/>
                <w:bCs w:val="1"/>
                <w:color w:val="auto"/>
              </w:rPr>
              <w:t>Three months ended September 30,</w:t>
            </w:r>
          </w:p>
        </w:tc>
        <w:tc>
          <w:tcPr>
            <w:tcW w:w="160" w:type="dxa"/>
            <w:vAlign w:val="bottom"/>
          </w:tcPr>
          <w:p>
            <w:pPr>
              <w:spacing w:after="0"/>
              <w:rPr>
                <w:sz w:val="17"/>
                <w:szCs w:val="17"/>
                <w:color w:val="auto"/>
              </w:rPr>
            </w:pPr>
          </w:p>
        </w:tc>
        <w:tc>
          <w:tcPr>
            <w:tcW w:w="2780" w:type="dxa"/>
            <w:vAlign w:val="bottom"/>
            <w:gridSpan w:val="4"/>
          </w:tcPr>
          <w:p>
            <w:pPr>
              <w:jc w:val="right"/>
              <w:ind w:right="138"/>
              <w:spacing w:after="0"/>
              <w:rPr>
                <w:sz w:val="20"/>
                <w:szCs w:val="20"/>
                <w:color w:val="auto"/>
              </w:rPr>
            </w:pPr>
            <w:r>
              <w:rPr>
                <w:rFonts w:ascii="Arial" w:cs="Arial" w:eastAsia="Arial" w:hAnsi="Arial"/>
                <w:sz w:val="15"/>
                <w:szCs w:val="15"/>
                <w:b w:val="1"/>
                <w:bCs w:val="1"/>
                <w:color w:val="auto"/>
              </w:rPr>
              <w:t>Nine months ended September 30,</w:t>
            </w:r>
          </w:p>
        </w:tc>
      </w:tr>
      <w:tr>
        <w:trPr>
          <w:trHeight w:val="196"/>
        </w:trPr>
        <w:tc>
          <w:tcPr>
            <w:tcW w:w="5120" w:type="dxa"/>
            <w:vAlign w:val="bottom"/>
            <w:gridSpan w:val="2"/>
          </w:tcPr>
          <w:p>
            <w:pPr>
              <w:ind w:left="20"/>
              <w:spacing w:after="0"/>
              <w:rPr>
                <w:sz w:val="20"/>
                <w:szCs w:val="20"/>
                <w:color w:val="auto"/>
              </w:rPr>
            </w:pPr>
            <w:r>
              <w:rPr>
                <w:rFonts w:ascii="Arial" w:cs="Arial" w:eastAsia="Arial" w:hAnsi="Arial"/>
                <w:sz w:val="15"/>
                <w:szCs w:val="15"/>
                <w:b w:val="1"/>
                <w:bCs w:val="1"/>
                <w:color w:val="auto"/>
              </w:rPr>
              <w:t>Lease Revenue</w:t>
            </w: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18"/>
              <w:spacing w:after="0"/>
              <w:rPr>
                <w:sz w:val="20"/>
                <w:szCs w:val="20"/>
                <w:color w:val="auto"/>
              </w:rPr>
            </w:pPr>
            <w:r>
              <w:rPr>
                <w:rFonts w:ascii="Arial" w:cs="Arial" w:eastAsia="Arial" w:hAnsi="Arial"/>
                <w:sz w:val="15"/>
                <w:szCs w:val="15"/>
                <w:b w:val="1"/>
                <w:bCs w:val="1"/>
                <w:color w:val="auto"/>
              </w:rPr>
              <w:t>2022</w:t>
            </w: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38"/>
              <w:spacing w:after="0"/>
              <w:rPr>
                <w:sz w:val="20"/>
                <w:szCs w:val="20"/>
                <w:color w:val="auto"/>
              </w:rPr>
            </w:pPr>
            <w:r>
              <w:rPr>
                <w:rFonts w:ascii="Arial" w:cs="Arial" w:eastAsia="Arial" w:hAnsi="Arial"/>
                <w:sz w:val="15"/>
                <w:szCs w:val="15"/>
                <w:b w:val="1"/>
                <w:bCs w:val="1"/>
                <w:color w:val="auto"/>
              </w:rPr>
              <w:t>2021</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39"/>
              <w:spacing w:after="0"/>
              <w:rPr>
                <w:sz w:val="20"/>
                <w:szCs w:val="20"/>
                <w:color w:val="auto"/>
              </w:rPr>
            </w:pPr>
            <w:r>
              <w:rPr>
                <w:rFonts w:ascii="Arial" w:cs="Arial" w:eastAsia="Arial" w:hAnsi="Arial"/>
                <w:sz w:val="15"/>
                <w:szCs w:val="15"/>
                <w:b w:val="1"/>
                <w:bCs w:val="1"/>
                <w:color w:val="auto"/>
              </w:rPr>
              <w:t>2022</w:t>
            </w:r>
          </w:p>
        </w:tc>
        <w:tc>
          <w:tcPr>
            <w:tcW w:w="2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18"/>
              <w:spacing w:after="0"/>
              <w:rPr>
                <w:sz w:val="20"/>
                <w:szCs w:val="20"/>
                <w:color w:val="auto"/>
              </w:rPr>
            </w:pPr>
            <w:r>
              <w:rPr>
                <w:rFonts w:ascii="Arial" w:cs="Arial" w:eastAsia="Arial" w:hAnsi="Arial"/>
                <w:sz w:val="15"/>
                <w:szCs w:val="15"/>
                <w:b w:val="1"/>
                <w:bCs w:val="1"/>
                <w:color w:val="auto"/>
              </w:rPr>
              <w:t>2021</w:t>
            </w:r>
          </w:p>
        </w:tc>
      </w:tr>
      <w:tr>
        <w:trPr>
          <w:trHeight w:val="208"/>
        </w:trPr>
        <w:tc>
          <w:tcPr>
            <w:tcW w:w="4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Fixed contractual payments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610,878</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581,393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1,811,836</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1,732,930</w:t>
            </w:r>
          </w:p>
        </w:tc>
      </w:tr>
      <w:tr>
        <w:trPr>
          <w:trHeight w:val="216"/>
        </w:trPr>
        <w:tc>
          <w:tcPr>
            <w:tcW w:w="51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Variable lease payments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128,377</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110,867</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367,438</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329,172</w:t>
            </w:r>
          </w:p>
        </w:tc>
      </w:tr>
      <w:tr>
        <w:trPr>
          <w:trHeight w:val="233"/>
        </w:trPr>
        <w:tc>
          <w:tcPr>
            <w:tcW w:w="49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739,255</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692,260</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2,179,274</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2,062,102</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786"/>
        </w:trPr>
        <w:tc>
          <w:tcPr>
            <w:tcW w:w="4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678"/>
              <w:spacing w:after="0"/>
              <w:rPr>
                <w:sz w:val="20"/>
                <w:szCs w:val="20"/>
                <w:color w:val="auto"/>
              </w:rPr>
            </w:pPr>
            <w:r>
              <w:rPr>
                <w:rFonts w:ascii="Arial" w:cs="Arial" w:eastAsia="Arial" w:hAnsi="Arial"/>
                <w:sz w:val="17"/>
                <w:szCs w:val="17"/>
                <w:color w:val="auto"/>
              </w:rPr>
              <w:t>23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04"/>
        </w:trPr>
        <w:tc>
          <w:tcPr>
            <w:tcW w:w="4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Investments in Unconsolidated Joint Ventures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investments in unconsolidated joint ventures consist of the following at September 30, 2022 and December 31,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404"/>
              <w:spacing w:after="0"/>
              <w:rPr>
                <w:sz w:val="20"/>
                <w:szCs w:val="20"/>
                <w:color w:val="auto"/>
              </w:rPr>
            </w:pPr>
            <w:r>
              <w:rPr>
                <w:rFonts w:ascii="Arial" w:cs="Arial" w:eastAsia="Arial" w:hAnsi="Arial"/>
                <w:sz w:val="14"/>
                <w:szCs w:val="14"/>
                <w:b w:val="1"/>
                <w:bCs w:val="1"/>
                <w:color w:val="auto"/>
              </w:rPr>
              <w:t>Carrying Value of Investment (1)</w:t>
            </w:r>
          </w:p>
        </w:tc>
        <w:tc>
          <w:tcPr>
            <w:tcW w:w="0" w:type="dxa"/>
            <w:vAlign w:val="bottom"/>
          </w:tcPr>
          <w:p>
            <w:pPr>
              <w:spacing w:after="0"/>
              <w:rPr>
                <w:sz w:val="1"/>
                <w:szCs w:val="1"/>
                <w:color w:val="auto"/>
              </w:rPr>
            </w:pPr>
          </w:p>
        </w:tc>
      </w:tr>
      <w:tr>
        <w:trPr>
          <w:trHeight w:val="120"/>
        </w:trPr>
        <w:tc>
          <w:tcPr>
            <w:tcW w:w="3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Entity</w:t>
            </w:r>
          </w:p>
        </w:tc>
        <w:tc>
          <w:tcPr>
            <w:tcW w:w="3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Properties</w:t>
            </w:r>
          </w:p>
        </w:tc>
        <w:tc>
          <w:tcPr>
            <w:tcW w:w="1820" w:type="dxa"/>
            <w:vAlign w:val="bottom"/>
            <w:gridSpan w:val="2"/>
          </w:tcPr>
          <w:p>
            <w:pPr>
              <w:ind w:left="20"/>
              <w:spacing w:after="0" w:line="121" w:lineRule="exact"/>
              <w:rPr>
                <w:sz w:val="20"/>
                <w:szCs w:val="20"/>
                <w:color w:val="auto"/>
              </w:rPr>
            </w:pPr>
            <w:r>
              <w:rPr>
                <w:rFonts w:ascii="Arial" w:cs="Arial" w:eastAsia="Arial" w:hAnsi="Arial"/>
                <w:sz w:val="12"/>
                <w:szCs w:val="12"/>
                <w:b w:val="1"/>
                <w:bCs w:val="1"/>
                <w:color w:val="auto"/>
              </w:rPr>
              <w:t>Nominal %</w:t>
            </w:r>
          </w:p>
        </w:tc>
        <w:tc>
          <w:tcPr>
            <w:tcW w:w="16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September 30, 2022</w:t>
            </w:r>
          </w:p>
        </w:tc>
        <w:tc>
          <w:tcPr>
            <w:tcW w:w="1380" w:type="dxa"/>
            <w:vAlign w:val="bottom"/>
            <w:gridSpan w:val="2"/>
            <w:vMerge w:val="restart"/>
          </w:tcPr>
          <w:p>
            <w:pPr>
              <w:jc w:val="right"/>
              <w:ind w:right="4"/>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78"/>
        </w:trPr>
        <w:tc>
          <w:tcPr>
            <w:tcW w:w="3360" w:type="dxa"/>
            <w:vAlign w:val="bottom"/>
            <w:gridSpan w:val="2"/>
            <w:vMerge w:val="continue"/>
          </w:tcPr>
          <w:p>
            <w:pPr>
              <w:spacing w:after="0"/>
              <w:rPr>
                <w:sz w:val="15"/>
                <w:szCs w:val="15"/>
                <w:color w:val="auto"/>
              </w:rPr>
            </w:pPr>
          </w:p>
        </w:tc>
        <w:tc>
          <w:tcPr>
            <w:tcW w:w="3000" w:type="dxa"/>
            <w:vAlign w:val="bottom"/>
            <w:gridSpan w:val="2"/>
            <w:vMerge w:val="continue"/>
          </w:tcPr>
          <w:p>
            <w:pPr>
              <w:spacing w:after="0"/>
              <w:rPr>
                <w:sz w:val="15"/>
                <w:szCs w:val="15"/>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b w:val="1"/>
                <w:bCs w:val="1"/>
                <w:color w:val="auto"/>
              </w:rPr>
              <w:t>Ownership</w:t>
            </w:r>
          </w:p>
        </w:tc>
        <w:tc>
          <w:tcPr>
            <w:tcW w:w="1680" w:type="dxa"/>
            <w:vAlign w:val="bottom"/>
            <w:gridSpan w:val="3"/>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Square 407 Limited Partnership</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Market Square North</w:t>
            </w:r>
          </w:p>
        </w:tc>
        <w:tc>
          <w:tcPr>
            <w:tcW w:w="12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50.00 %</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(5,759)</w:t>
            </w: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(1,205)</w:t>
            </w:r>
          </w:p>
        </w:tc>
        <w:tc>
          <w:tcPr>
            <w:tcW w:w="0" w:type="dxa"/>
            <w:vAlign w:val="bottom"/>
          </w:tcPr>
          <w:p>
            <w:pPr>
              <w:spacing w:after="0"/>
              <w:rPr>
                <w:sz w:val="1"/>
                <w:szCs w:val="1"/>
                <w:color w:val="auto"/>
              </w:rPr>
            </w:pPr>
          </w:p>
        </w:tc>
      </w:tr>
      <w:tr>
        <w:trPr>
          <w:trHeight w:val="202"/>
        </w:trPr>
        <w:tc>
          <w:tcPr>
            <w:tcW w:w="3360" w:type="dxa"/>
            <w:vAlign w:val="bottom"/>
            <w:gridSpan w:val="2"/>
          </w:tcPr>
          <w:p>
            <w:pPr>
              <w:ind w:left="20"/>
              <w:spacing w:after="0"/>
              <w:rPr>
                <w:sz w:val="20"/>
                <w:szCs w:val="20"/>
                <w:color w:val="auto"/>
              </w:rPr>
            </w:pPr>
            <w:r>
              <w:rPr>
                <w:rFonts w:ascii="Arial" w:cs="Arial" w:eastAsia="Arial" w:hAnsi="Arial"/>
                <w:sz w:val="15"/>
                <w:szCs w:val="15"/>
                <w:color w:val="auto"/>
              </w:rPr>
              <w:t>BP/CRF Metropolitan Square LLC</w:t>
            </w:r>
          </w:p>
        </w:tc>
        <w:tc>
          <w:tcPr>
            <w:tcW w:w="3000" w:type="dxa"/>
            <w:vAlign w:val="bottom"/>
            <w:gridSpan w:val="2"/>
          </w:tcPr>
          <w:p>
            <w:pPr>
              <w:ind w:left="20"/>
              <w:spacing w:after="0"/>
              <w:rPr>
                <w:sz w:val="20"/>
                <w:szCs w:val="20"/>
                <w:color w:val="auto"/>
              </w:rPr>
            </w:pPr>
            <w:r>
              <w:rPr>
                <w:rFonts w:ascii="Arial" w:cs="Arial" w:eastAsia="Arial" w:hAnsi="Arial"/>
                <w:sz w:val="15"/>
                <w:szCs w:val="15"/>
                <w:color w:val="auto"/>
              </w:rPr>
              <w:t>Metropolitan Square</w:t>
            </w:r>
          </w:p>
        </w:tc>
        <w:tc>
          <w:tcPr>
            <w:tcW w:w="1220" w:type="dxa"/>
            <w:vAlign w:val="bottom"/>
          </w:tcPr>
          <w:p>
            <w:pPr>
              <w:ind w:left="640"/>
              <w:spacing w:after="0"/>
              <w:rPr>
                <w:sz w:val="20"/>
                <w:szCs w:val="20"/>
                <w:color w:val="auto"/>
              </w:rPr>
            </w:pPr>
            <w:r>
              <w:rPr>
                <w:rFonts w:ascii="Arial" w:cs="Arial" w:eastAsia="Arial" w:hAnsi="Arial"/>
                <w:sz w:val="15"/>
                <w:szCs w:val="15"/>
                <w:color w:val="auto"/>
              </w:rPr>
              <w:t>20.00 %</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(39,318)</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(15,356)</w:t>
            </w:r>
          </w:p>
        </w:tc>
        <w:tc>
          <w:tcPr>
            <w:tcW w:w="0" w:type="dxa"/>
            <w:vAlign w:val="bottom"/>
          </w:tcPr>
          <w:p>
            <w:pPr>
              <w:spacing w:after="0"/>
              <w:rPr>
                <w:sz w:val="1"/>
                <w:szCs w:val="1"/>
                <w:color w:val="auto"/>
              </w:rPr>
            </w:pPr>
          </w:p>
        </w:tc>
      </w:tr>
      <w:tr>
        <w:trPr>
          <w:trHeight w:val="204"/>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901 New York, LLC</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901 New York Avenue</w:t>
            </w:r>
          </w:p>
        </w:tc>
        <w:tc>
          <w:tcPr>
            <w:tcW w:w="18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25.00 % (2)</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(12,506)</w:t>
            </w: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(12,597)</w:t>
            </w:r>
          </w:p>
        </w:tc>
        <w:tc>
          <w:tcPr>
            <w:tcW w:w="0" w:type="dxa"/>
            <w:vAlign w:val="bottom"/>
          </w:tcPr>
          <w:p>
            <w:pPr>
              <w:spacing w:after="0"/>
              <w:rPr>
                <w:sz w:val="1"/>
                <w:szCs w:val="1"/>
                <w:color w:val="auto"/>
              </w:rPr>
            </w:pPr>
          </w:p>
        </w:tc>
      </w:tr>
      <w:tr>
        <w:trPr>
          <w:trHeight w:val="202"/>
        </w:trPr>
        <w:tc>
          <w:tcPr>
            <w:tcW w:w="3360" w:type="dxa"/>
            <w:vAlign w:val="bottom"/>
            <w:gridSpan w:val="2"/>
          </w:tcPr>
          <w:p>
            <w:pPr>
              <w:ind w:left="20"/>
              <w:spacing w:after="0"/>
              <w:rPr>
                <w:sz w:val="20"/>
                <w:szCs w:val="20"/>
                <w:color w:val="auto"/>
              </w:rPr>
            </w:pPr>
            <w:r>
              <w:rPr>
                <w:rFonts w:ascii="Arial" w:cs="Arial" w:eastAsia="Arial" w:hAnsi="Arial"/>
                <w:sz w:val="15"/>
                <w:szCs w:val="15"/>
                <w:color w:val="auto"/>
              </w:rPr>
              <w:t>WP Project Developer LLC</w:t>
            </w:r>
          </w:p>
        </w:tc>
        <w:tc>
          <w:tcPr>
            <w:tcW w:w="3000" w:type="dxa"/>
            <w:vAlign w:val="bottom"/>
            <w:gridSpan w:val="2"/>
          </w:tcPr>
          <w:p>
            <w:pPr>
              <w:ind w:left="20"/>
              <w:spacing w:after="0"/>
              <w:rPr>
                <w:sz w:val="20"/>
                <w:szCs w:val="20"/>
                <w:color w:val="auto"/>
              </w:rPr>
            </w:pPr>
            <w:r>
              <w:rPr>
                <w:rFonts w:ascii="Arial" w:cs="Arial" w:eastAsia="Arial" w:hAnsi="Arial"/>
                <w:sz w:val="15"/>
                <w:szCs w:val="15"/>
                <w:color w:val="auto"/>
              </w:rPr>
              <w:t>Wisconsin Place Land and Infrastructure</w:t>
            </w:r>
          </w:p>
        </w:tc>
        <w:tc>
          <w:tcPr>
            <w:tcW w:w="1820" w:type="dxa"/>
            <w:vAlign w:val="bottom"/>
            <w:gridSpan w:val="2"/>
          </w:tcPr>
          <w:p>
            <w:pPr>
              <w:ind w:left="640"/>
              <w:spacing w:after="0"/>
              <w:rPr>
                <w:sz w:val="20"/>
                <w:szCs w:val="20"/>
                <w:color w:val="auto"/>
              </w:rPr>
            </w:pPr>
            <w:r>
              <w:rPr>
                <w:rFonts w:ascii="Arial" w:cs="Arial" w:eastAsia="Arial" w:hAnsi="Arial"/>
                <w:sz w:val="15"/>
                <w:szCs w:val="15"/>
                <w:color w:val="auto"/>
              </w:rPr>
              <w:t>33.33 % (3)</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32,638</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33,732</w:t>
            </w:r>
          </w:p>
        </w:tc>
        <w:tc>
          <w:tcPr>
            <w:tcW w:w="0" w:type="dxa"/>
            <w:vAlign w:val="bottom"/>
          </w:tcPr>
          <w:p>
            <w:pPr>
              <w:spacing w:after="0"/>
              <w:rPr>
                <w:sz w:val="1"/>
                <w:szCs w:val="1"/>
                <w:color w:val="auto"/>
              </w:rPr>
            </w:pPr>
          </w:p>
        </w:tc>
      </w:tr>
      <w:tr>
        <w:trPr>
          <w:trHeight w:val="204"/>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500 North Capitol Venture LLC</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500 North Capitol Street, NW</w:t>
            </w:r>
          </w:p>
        </w:tc>
        <w:tc>
          <w:tcPr>
            <w:tcW w:w="12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30.00 %</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(9,432)</w:t>
            </w: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(7,913)</w:t>
            </w:r>
          </w:p>
        </w:tc>
        <w:tc>
          <w:tcPr>
            <w:tcW w:w="0" w:type="dxa"/>
            <w:vAlign w:val="bottom"/>
          </w:tcPr>
          <w:p>
            <w:pPr>
              <w:spacing w:after="0"/>
              <w:rPr>
                <w:sz w:val="1"/>
                <w:szCs w:val="1"/>
                <w:color w:val="auto"/>
              </w:rPr>
            </w:pPr>
          </w:p>
        </w:tc>
      </w:tr>
      <w:tr>
        <w:trPr>
          <w:trHeight w:val="202"/>
        </w:trPr>
        <w:tc>
          <w:tcPr>
            <w:tcW w:w="3360" w:type="dxa"/>
            <w:vAlign w:val="bottom"/>
            <w:gridSpan w:val="2"/>
          </w:tcPr>
          <w:p>
            <w:pPr>
              <w:ind w:left="20"/>
              <w:spacing w:after="0"/>
              <w:rPr>
                <w:sz w:val="20"/>
                <w:szCs w:val="20"/>
                <w:color w:val="auto"/>
              </w:rPr>
            </w:pPr>
            <w:r>
              <w:rPr>
                <w:rFonts w:ascii="Arial" w:cs="Arial" w:eastAsia="Arial" w:hAnsi="Arial"/>
                <w:sz w:val="15"/>
                <w:szCs w:val="15"/>
                <w:color w:val="auto"/>
              </w:rPr>
              <w:t>501 K Street LLC</w:t>
            </w:r>
          </w:p>
        </w:tc>
        <w:tc>
          <w:tcPr>
            <w:tcW w:w="3000" w:type="dxa"/>
            <w:vAlign w:val="bottom"/>
            <w:gridSpan w:val="2"/>
          </w:tcPr>
          <w:p>
            <w:pPr>
              <w:ind w:left="20"/>
              <w:spacing w:after="0"/>
              <w:rPr>
                <w:sz w:val="20"/>
                <w:szCs w:val="20"/>
                <w:color w:val="auto"/>
              </w:rPr>
            </w:pPr>
            <w:r>
              <w:rPr>
                <w:rFonts w:ascii="Arial" w:cs="Arial" w:eastAsia="Arial" w:hAnsi="Arial"/>
                <w:sz w:val="15"/>
                <w:szCs w:val="15"/>
                <w:color w:val="auto"/>
              </w:rPr>
              <w:t>1001 6th Street</w:t>
            </w:r>
          </w:p>
        </w:tc>
        <w:tc>
          <w:tcPr>
            <w:tcW w:w="1820" w:type="dxa"/>
            <w:vAlign w:val="bottom"/>
            <w:gridSpan w:val="2"/>
          </w:tcPr>
          <w:p>
            <w:pPr>
              <w:ind w:left="640"/>
              <w:spacing w:after="0"/>
              <w:rPr>
                <w:sz w:val="20"/>
                <w:szCs w:val="20"/>
                <w:color w:val="auto"/>
              </w:rPr>
            </w:pPr>
            <w:r>
              <w:rPr>
                <w:rFonts w:ascii="Arial" w:cs="Arial" w:eastAsia="Arial" w:hAnsi="Arial"/>
                <w:sz w:val="15"/>
                <w:szCs w:val="15"/>
                <w:color w:val="auto"/>
              </w:rPr>
              <w:t>50.00 % (4)</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42,922</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42,576</w:t>
            </w:r>
          </w:p>
        </w:tc>
        <w:tc>
          <w:tcPr>
            <w:tcW w:w="0" w:type="dxa"/>
            <w:vAlign w:val="bottom"/>
          </w:tcPr>
          <w:p>
            <w:pPr>
              <w:spacing w:after="0"/>
              <w:rPr>
                <w:sz w:val="1"/>
                <w:szCs w:val="1"/>
                <w:color w:val="auto"/>
              </w:rPr>
            </w:pPr>
          </w:p>
        </w:tc>
      </w:tr>
      <w:tr>
        <w:trPr>
          <w:trHeight w:val="204"/>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Podium Developer LLC</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The Hub on Causeway - Podium</w:t>
            </w:r>
          </w:p>
        </w:tc>
        <w:tc>
          <w:tcPr>
            <w:tcW w:w="12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50.00 %</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48,571</w:t>
            </w: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48,980</w:t>
            </w:r>
          </w:p>
        </w:tc>
        <w:tc>
          <w:tcPr>
            <w:tcW w:w="0" w:type="dxa"/>
            <w:vAlign w:val="bottom"/>
          </w:tcPr>
          <w:p>
            <w:pPr>
              <w:spacing w:after="0"/>
              <w:rPr>
                <w:sz w:val="1"/>
                <w:szCs w:val="1"/>
                <w:color w:val="auto"/>
              </w:rPr>
            </w:pPr>
          </w:p>
        </w:tc>
      </w:tr>
      <w:tr>
        <w:trPr>
          <w:trHeight w:val="202"/>
        </w:trPr>
        <w:tc>
          <w:tcPr>
            <w:tcW w:w="3360" w:type="dxa"/>
            <w:vAlign w:val="bottom"/>
            <w:gridSpan w:val="2"/>
          </w:tcPr>
          <w:p>
            <w:pPr>
              <w:ind w:left="20"/>
              <w:spacing w:after="0"/>
              <w:rPr>
                <w:sz w:val="20"/>
                <w:szCs w:val="20"/>
                <w:color w:val="auto"/>
              </w:rPr>
            </w:pPr>
            <w:r>
              <w:rPr>
                <w:rFonts w:ascii="Arial" w:cs="Arial" w:eastAsia="Arial" w:hAnsi="Arial"/>
                <w:sz w:val="15"/>
                <w:szCs w:val="15"/>
                <w:color w:val="auto"/>
              </w:rPr>
              <w:t>Residential Tower Developer LLC</w:t>
            </w:r>
          </w:p>
        </w:tc>
        <w:tc>
          <w:tcPr>
            <w:tcW w:w="3000" w:type="dxa"/>
            <w:vAlign w:val="bottom"/>
            <w:gridSpan w:val="2"/>
          </w:tcPr>
          <w:p>
            <w:pPr>
              <w:ind w:left="20"/>
              <w:spacing w:after="0"/>
              <w:rPr>
                <w:sz w:val="20"/>
                <w:szCs w:val="20"/>
                <w:color w:val="auto"/>
              </w:rPr>
            </w:pPr>
            <w:r>
              <w:rPr>
                <w:rFonts w:ascii="Arial" w:cs="Arial" w:eastAsia="Arial" w:hAnsi="Arial"/>
                <w:sz w:val="15"/>
                <w:szCs w:val="15"/>
                <w:color w:val="auto"/>
              </w:rPr>
              <w:t>Hub50House</w:t>
            </w:r>
          </w:p>
        </w:tc>
        <w:tc>
          <w:tcPr>
            <w:tcW w:w="1220" w:type="dxa"/>
            <w:vAlign w:val="bottom"/>
          </w:tcPr>
          <w:p>
            <w:pPr>
              <w:ind w:left="640"/>
              <w:spacing w:after="0"/>
              <w:rPr>
                <w:sz w:val="20"/>
                <w:szCs w:val="20"/>
                <w:color w:val="auto"/>
              </w:rPr>
            </w:pPr>
            <w:r>
              <w:rPr>
                <w:rFonts w:ascii="Arial" w:cs="Arial" w:eastAsia="Arial" w:hAnsi="Arial"/>
                <w:sz w:val="15"/>
                <w:szCs w:val="15"/>
                <w:color w:val="auto"/>
              </w:rPr>
              <w:t>50.00 %</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45,662</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47,774</w:t>
            </w:r>
          </w:p>
        </w:tc>
        <w:tc>
          <w:tcPr>
            <w:tcW w:w="0" w:type="dxa"/>
            <w:vAlign w:val="bottom"/>
          </w:tcPr>
          <w:p>
            <w:pPr>
              <w:spacing w:after="0"/>
              <w:rPr>
                <w:sz w:val="1"/>
                <w:szCs w:val="1"/>
                <w:color w:val="auto"/>
              </w:rPr>
            </w:pPr>
          </w:p>
        </w:tc>
      </w:tr>
      <w:tr>
        <w:trPr>
          <w:trHeight w:val="204"/>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Hotel Tower Developer LLC</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The Hub on Causeway - Hotel Air Rights</w:t>
            </w:r>
          </w:p>
        </w:tc>
        <w:tc>
          <w:tcPr>
            <w:tcW w:w="12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50.00 %</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12,165</w:t>
            </w: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11,505</w:t>
            </w:r>
          </w:p>
        </w:tc>
        <w:tc>
          <w:tcPr>
            <w:tcW w:w="0" w:type="dxa"/>
            <w:vAlign w:val="bottom"/>
          </w:tcPr>
          <w:p>
            <w:pPr>
              <w:spacing w:after="0"/>
              <w:rPr>
                <w:sz w:val="1"/>
                <w:szCs w:val="1"/>
                <w:color w:val="auto"/>
              </w:rPr>
            </w:pPr>
          </w:p>
        </w:tc>
      </w:tr>
      <w:tr>
        <w:trPr>
          <w:trHeight w:val="202"/>
        </w:trPr>
        <w:tc>
          <w:tcPr>
            <w:tcW w:w="3360" w:type="dxa"/>
            <w:vAlign w:val="bottom"/>
            <w:gridSpan w:val="2"/>
          </w:tcPr>
          <w:p>
            <w:pPr>
              <w:ind w:left="20"/>
              <w:spacing w:after="0"/>
              <w:rPr>
                <w:sz w:val="20"/>
                <w:szCs w:val="20"/>
                <w:color w:val="auto"/>
              </w:rPr>
            </w:pPr>
            <w:r>
              <w:rPr>
                <w:rFonts w:ascii="Arial" w:cs="Arial" w:eastAsia="Arial" w:hAnsi="Arial"/>
                <w:sz w:val="15"/>
                <w:szCs w:val="15"/>
                <w:color w:val="auto"/>
              </w:rPr>
              <w:t>Office Tower Developer LLC</w:t>
            </w:r>
          </w:p>
        </w:tc>
        <w:tc>
          <w:tcPr>
            <w:tcW w:w="3000" w:type="dxa"/>
            <w:vAlign w:val="bottom"/>
            <w:gridSpan w:val="2"/>
          </w:tcPr>
          <w:p>
            <w:pPr>
              <w:ind w:left="20"/>
              <w:spacing w:after="0"/>
              <w:rPr>
                <w:sz w:val="20"/>
                <w:szCs w:val="20"/>
                <w:color w:val="auto"/>
              </w:rPr>
            </w:pPr>
            <w:r>
              <w:rPr>
                <w:rFonts w:ascii="Arial" w:cs="Arial" w:eastAsia="Arial" w:hAnsi="Arial"/>
                <w:sz w:val="15"/>
                <w:szCs w:val="15"/>
                <w:color w:val="auto"/>
              </w:rPr>
              <w:t>100 Causeway Street</w:t>
            </w:r>
          </w:p>
        </w:tc>
        <w:tc>
          <w:tcPr>
            <w:tcW w:w="1220" w:type="dxa"/>
            <w:vAlign w:val="bottom"/>
          </w:tcPr>
          <w:p>
            <w:pPr>
              <w:ind w:left="640"/>
              <w:spacing w:after="0"/>
              <w:rPr>
                <w:sz w:val="20"/>
                <w:szCs w:val="20"/>
                <w:color w:val="auto"/>
              </w:rPr>
            </w:pPr>
            <w:r>
              <w:rPr>
                <w:rFonts w:ascii="Arial" w:cs="Arial" w:eastAsia="Arial" w:hAnsi="Arial"/>
                <w:sz w:val="15"/>
                <w:szCs w:val="15"/>
                <w:color w:val="auto"/>
              </w:rPr>
              <w:t>50.00 %</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59,379</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57,687</w:t>
            </w:r>
          </w:p>
        </w:tc>
        <w:tc>
          <w:tcPr>
            <w:tcW w:w="0" w:type="dxa"/>
            <w:vAlign w:val="bottom"/>
          </w:tcPr>
          <w:p>
            <w:pPr>
              <w:spacing w:after="0"/>
              <w:rPr>
                <w:sz w:val="1"/>
                <w:szCs w:val="1"/>
                <w:color w:val="auto"/>
              </w:rPr>
            </w:pPr>
          </w:p>
        </w:tc>
      </w:tr>
      <w:tr>
        <w:trPr>
          <w:trHeight w:val="204"/>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1265 Main Office JV LLC</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1265 Main Street</w:t>
            </w:r>
          </w:p>
        </w:tc>
        <w:tc>
          <w:tcPr>
            <w:tcW w:w="12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50.00 %</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3,358</w:t>
            </w: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3,541</w:t>
            </w:r>
          </w:p>
        </w:tc>
        <w:tc>
          <w:tcPr>
            <w:tcW w:w="0" w:type="dxa"/>
            <w:vAlign w:val="bottom"/>
          </w:tcPr>
          <w:p>
            <w:pPr>
              <w:spacing w:after="0"/>
              <w:rPr>
                <w:sz w:val="1"/>
                <w:szCs w:val="1"/>
                <w:color w:val="auto"/>
              </w:rPr>
            </w:pPr>
          </w:p>
        </w:tc>
      </w:tr>
      <w:tr>
        <w:trPr>
          <w:trHeight w:val="202"/>
        </w:trPr>
        <w:tc>
          <w:tcPr>
            <w:tcW w:w="3360" w:type="dxa"/>
            <w:vAlign w:val="bottom"/>
            <w:gridSpan w:val="2"/>
          </w:tcPr>
          <w:p>
            <w:pPr>
              <w:ind w:left="20"/>
              <w:spacing w:after="0"/>
              <w:rPr>
                <w:sz w:val="20"/>
                <w:szCs w:val="20"/>
                <w:color w:val="auto"/>
              </w:rPr>
            </w:pPr>
            <w:r>
              <w:rPr>
                <w:rFonts w:ascii="Arial" w:cs="Arial" w:eastAsia="Arial" w:hAnsi="Arial"/>
                <w:sz w:val="15"/>
                <w:szCs w:val="15"/>
                <w:color w:val="auto"/>
              </w:rPr>
              <w:t>BNY Tower Holdings LLC</w:t>
            </w:r>
          </w:p>
        </w:tc>
        <w:tc>
          <w:tcPr>
            <w:tcW w:w="3000" w:type="dxa"/>
            <w:vAlign w:val="bottom"/>
            <w:gridSpan w:val="2"/>
          </w:tcPr>
          <w:p>
            <w:pPr>
              <w:ind w:left="20"/>
              <w:spacing w:after="0"/>
              <w:rPr>
                <w:sz w:val="20"/>
                <w:szCs w:val="20"/>
                <w:color w:val="auto"/>
              </w:rPr>
            </w:pPr>
            <w:r>
              <w:rPr>
                <w:rFonts w:ascii="Arial" w:cs="Arial" w:eastAsia="Arial" w:hAnsi="Arial"/>
                <w:sz w:val="15"/>
                <w:szCs w:val="15"/>
                <w:color w:val="auto"/>
              </w:rPr>
              <w:t>Dock 72</w:t>
            </w:r>
          </w:p>
        </w:tc>
        <w:tc>
          <w:tcPr>
            <w:tcW w:w="1220" w:type="dxa"/>
            <w:vAlign w:val="bottom"/>
          </w:tcPr>
          <w:p>
            <w:pPr>
              <w:ind w:left="640"/>
              <w:spacing w:after="0"/>
              <w:rPr>
                <w:sz w:val="20"/>
                <w:szCs w:val="20"/>
                <w:color w:val="auto"/>
              </w:rPr>
            </w:pPr>
            <w:r>
              <w:rPr>
                <w:rFonts w:ascii="Arial" w:cs="Arial" w:eastAsia="Arial" w:hAnsi="Arial"/>
                <w:sz w:val="15"/>
                <w:szCs w:val="15"/>
                <w:color w:val="auto"/>
              </w:rPr>
              <w:t>50.00 %</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26,947</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27,343</w:t>
            </w:r>
          </w:p>
        </w:tc>
        <w:tc>
          <w:tcPr>
            <w:tcW w:w="0" w:type="dxa"/>
            <w:vAlign w:val="bottom"/>
          </w:tcPr>
          <w:p>
            <w:pPr>
              <w:spacing w:after="0"/>
              <w:rPr>
                <w:sz w:val="1"/>
                <w:szCs w:val="1"/>
                <w:color w:val="auto"/>
              </w:rPr>
            </w:pPr>
          </w:p>
        </w:tc>
      </w:tr>
      <w:tr>
        <w:trPr>
          <w:trHeight w:val="204"/>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BNYTA Amenity Operator LLC</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Dock 72</w:t>
            </w:r>
          </w:p>
        </w:tc>
        <w:tc>
          <w:tcPr>
            <w:tcW w:w="12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50.00 %</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825</w:t>
            </w: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1,069</w:t>
            </w:r>
          </w:p>
        </w:tc>
        <w:tc>
          <w:tcPr>
            <w:tcW w:w="0" w:type="dxa"/>
            <w:vAlign w:val="bottom"/>
          </w:tcPr>
          <w:p>
            <w:pPr>
              <w:spacing w:after="0"/>
              <w:rPr>
                <w:sz w:val="1"/>
                <w:szCs w:val="1"/>
                <w:color w:val="auto"/>
              </w:rPr>
            </w:pPr>
          </w:p>
        </w:tc>
      </w:tr>
      <w:tr>
        <w:trPr>
          <w:trHeight w:val="202"/>
        </w:trPr>
        <w:tc>
          <w:tcPr>
            <w:tcW w:w="3360" w:type="dxa"/>
            <w:vAlign w:val="bottom"/>
            <w:gridSpan w:val="2"/>
          </w:tcPr>
          <w:p>
            <w:pPr>
              <w:ind w:left="20"/>
              <w:spacing w:after="0"/>
              <w:rPr>
                <w:sz w:val="20"/>
                <w:szCs w:val="20"/>
                <w:color w:val="auto"/>
              </w:rPr>
            </w:pPr>
            <w:r>
              <w:rPr>
                <w:rFonts w:ascii="Arial" w:cs="Arial" w:eastAsia="Arial" w:hAnsi="Arial"/>
                <w:sz w:val="15"/>
                <w:szCs w:val="15"/>
                <w:color w:val="auto"/>
              </w:rPr>
              <w:t>CA-Colorado Center, LLC</w:t>
            </w:r>
          </w:p>
        </w:tc>
        <w:tc>
          <w:tcPr>
            <w:tcW w:w="3000" w:type="dxa"/>
            <w:vAlign w:val="bottom"/>
            <w:gridSpan w:val="2"/>
          </w:tcPr>
          <w:p>
            <w:pPr>
              <w:ind w:left="20"/>
              <w:spacing w:after="0"/>
              <w:rPr>
                <w:sz w:val="20"/>
                <w:szCs w:val="20"/>
                <w:color w:val="auto"/>
              </w:rPr>
            </w:pPr>
            <w:r>
              <w:rPr>
                <w:rFonts w:ascii="Arial" w:cs="Arial" w:eastAsia="Arial" w:hAnsi="Arial"/>
                <w:sz w:val="15"/>
                <w:szCs w:val="15"/>
                <w:color w:val="auto"/>
              </w:rPr>
              <w:t>Colorado Center</w:t>
            </w:r>
          </w:p>
        </w:tc>
        <w:tc>
          <w:tcPr>
            <w:tcW w:w="1220" w:type="dxa"/>
            <w:vAlign w:val="bottom"/>
          </w:tcPr>
          <w:p>
            <w:pPr>
              <w:ind w:left="640"/>
              <w:spacing w:after="0"/>
              <w:rPr>
                <w:sz w:val="20"/>
                <w:szCs w:val="20"/>
                <w:color w:val="auto"/>
              </w:rPr>
            </w:pPr>
            <w:r>
              <w:rPr>
                <w:rFonts w:ascii="Arial" w:cs="Arial" w:eastAsia="Arial" w:hAnsi="Arial"/>
                <w:sz w:val="15"/>
                <w:szCs w:val="15"/>
                <w:color w:val="auto"/>
              </w:rPr>
              <w:t>50.00 %</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234,271</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231,479</w:t>
            </w:r>
          </w:p>
        </w:tc>
        <w:tc>
          <w:tcPr>
            <w:tcW w:w="0" w:type="dxa"/>
            <w:vAlign w:val="bottom"/>
          </w:tcPr>
          <w:p>
            <w:pPr>
              <w:spacing w:after="0"/>
              <w:rPr>
                <w:sz w:val="1"/>
                <w:szCs w:val="1"/>
                <w:color w:val="auto"/>
              </w:rPr>
            </w:pPr>
          </w:p>
        </w:tc>
      </w:tr>
      <w:tr>
        <w:trPr>
          <w:trHeight w:val="204"/>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7750 Wisconsin Avenue LLC</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7750 Wisconsin Avenue</w:t>
            </w:r>
          </w:p>
        </w:tc>
        <w:tc>
          <w:tcPr>
            <w:tcW w:w="12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50.00 %</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52,656</w:t>
            </w: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61,626</w:t>
            </w:r>
          </w:p>
        </w:tc>
        <w:tc>
          <w:tcPr>
            <w:tcW w:w="0" w:type="dxa"/>
            <w:vAlign w:val="bottom"/>
          </w:tcPr>
          <w:p>
            <w:pPr>
              <w:spacing w:after="0"/>
              <w:rPr>
                <w:sz w:val="1"/>
                <w:szCs w:val="1"/>
                <w:color w:val="auto"/>
              </w:rPr>
            </w:pPr>
          </w:p>
        </w:tc>
      </w:tr>
      <w:tr>
        <w:trPr>
          <w:trHeight w:val="202"/>
        </w:trPr>
        <w:tc>
          <w:tcPr>
            <w:tcW w:w="3360" w:type="dxa"/>
            <w:vAlign w:val="bottom"/>
            <w:gridSpan w:val="2"/>
          </w:tcPr>
          <w:p>
            <w:pPr>
              <w:ind w:left="20"/>
              <w:spacing w:after="0"/>
              <w:rPr>
                <w:sz w:val="20"/>
                <w:szCs w:val="20"/>
                <w:color w:val="auto"/>
              </w:rPr>
            </w:pPr>
            <w:r>
              <w:rPr>
                <w:rFonts w:ascii="Arial" w:cs="Arial" w:eastAsia="Arial" w:hAnsi="Arial"/>
                <w:sz w:val="15"/>
                <w:szCs w:val="15"/>
                <w:color w:val="auto"/>
              </w:rPr>
              <w:t>BP-M 3HB Venture LLC</w:t>
            </w:r>
          </w:p>
        </w:tc>
        <w:tc>
          <w:tcPr>
            <w:tcW w:w="3000" w:type="dxa"/>
            <w:vAlign w:val="bottom"/>
            <w:gridSpan w:val="2"/>
          </w:tcPr>
          <w:p>
            <w:pPr>
              <w:ind w:left="20"/>
              <w:spacing w:after="0"/>
              <w:rPr>
                <w:sz w:val="20"/>
                <w:szCs w:val="20"/>
                <w:color w:val="auto"/>
              </w:rPr>
            </w:pPr>
            <w:r>
              <w:rPr>
                <w:rFonts w:ascii="Arial" w:cs="Arial" w:eastAsia="Arial" w:hAnsi="Arial"/>
                <w:sz w:val="15"/>
                <w:szCs w:val="15"/>
                <w:color w:val="auto"/>
              </w:rPr>
              <w:t>3 Hudson Boulevard</w:t>
            </w:r>
          </w:p>
        </w:tc>
        <w:tc>
          <w:tcPr>
            <w:tcW w:w="1220" w:type="dxa"/>
            <w:vAlign w:val="bottom"/>
          </w:tcPr>
          <w:p>
            <w:pPr>
              <w:ind w:left="640"/>
              <w:spacing w:after="0"/>
              <w:rPr>
                <w:sz w:val="20"/>
                <w:szCs w:val="20"/>
                <w:color w:val="auto"/>
              </w:rPr>
            </w:pPr>
            <w:r>
              <w:rPr>
                <w:rFonts w:ascii="Arial" w:cs="Arial" w:eastAsia="Arial" w:hAnsi="Arial"/>
                <w:sz w:val="15"/>
                <w:szCs w:val="15"/>
                <w:color w:val="auto"/>
              </w:rPr>
              <w:t>25.00 %</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116,678</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116,306</w:t>
            </w:r>
          </w:p>
        </w:tc>
        <w:tc>
          <w:tcPr>
            <w:tcW w:w="0" w:type="dxa"/>
            <w:vAlign w:val="bottom"/>
          </w:tcPr>
          <w:p>
            <w:pPr>
              <w:spacing w:after="0"/>
              <w:rPr>
                <w:sz w:val="1"/>
                <w:szCs w:val="1"/>
                <w:color w:val="auto"/>
              </w:rPr>
            </w:pPr>
          </w:p>
        </w:tc>
      </w:tr>
      <w:tr>
        <w:trPr>
          <w:trHeight w:val="204"/>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SMBP Venture LP</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Santa Monica Business Park</w:t>
            </w:r>
          </w:p>
        </w:tc>
        <w:tc>
          <w:tcPr>
            <w:tcW w:w="12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55.00 %</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166,302</w:t>
            </w: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156,639</w:t>
            </w:r>
          </w:p>
        </w:tc>
        <w:tc>
          <w:tcPr>
            <w:tcW w:w="0" w:type="dxa"/>
            <w:vAlign w:val="bottom"/>
          </w:tcPr>
          <w:p>
            <w:pPr>
              <w:spacing w:after="0"/>
              <w:rPr>
                <w:sz w:val="1"/>
                <w:szCs w:val="1"/>
                <w:color w:val="auto"/>
              </w:rPr>
            </w:pPr>
          </w:p>
        </w:tc>
      </w:tr>
      <w:tr>
        <w:trPr>
          <w:trHeight w:val="202"/>
        </w:trPr>
        <w:tc>
          <w:tcPr>
            <w:tcW w:w="3360" w:type="dxa"/>
            <w:vAlign w:val="bottom"/>
            <w:gridSpan w:val="2"/>
          </w:tcPr>
          <w:p>
            <w:pPr>
              <w:ind w:left="20"/>
              <w:spacing w:after="0"/>
              <w:rPr>
                <w:sz w:val="20"/>
                <w:szCs w:val="20"/>
                <w:color w:val="auto"/>
              </w:rPr>
            </w:pPr>
            <w:r>
              <w:rPr>
                <w:rFonts w:ascii="Arial" w:cs="Arial" w:eastAsia="Arial" w:hAnsi="Arial"/>
                <w:sz w:val="15"/>
                <w:szCs w:val="15"/>
                <w:color w:val="auto"/>
              </w:rPr>
              <w:t>Platform 16 Holdings LP</w:t>
            </w:r>
          </w:p>
        </w:tc>
        <w:tc>
          <w:tcPr>
            <w:tcW w:w="3000" w:type="dxa"/>
            <w:vAlign w:val="bottom"/>
            <w:gridSpan w:val="2"/>
          </w:tcPr>
          <w:p>
            <w:pPr>
              <w:ind w:left="20"/>
              <w:spacing w:after="0"/>
              <w:rPr>
                <w:sz w:val="20"/>
                <w:szCs w:val="20"/>
                <w:color w:val="auto"/>
              </w:rPr>
            </w:pPr>
            <w:r>
              <w:rPr>
                <w:rFonts w:ascii="Arial" w:cs="Arial" w:eastAsia="Arial" w:hAnsi="Arial"/>
                <w:sz w:val="15"/>
                <w:szCs w:val="15"/>
                <w:color w:val="auto"/>
              </w:rPr>
              <w:t>Platform 16</w:t>
            </w:r>
          </w:p>
        </w:tc>
        <w:tc>
          <w:tcPr>
            <w:tcW w:w="1820" w:type="dxa"/>
            <w:vAlign w:val="bottom"/>
            <w:gridSpan w:val="2"/>
          </w:tcPr>
          <w:p>
            <w:pPr>
              <w:ind w:left="640"/>
              <w:spacing w:after="0"/>
              <w:rPr>
                <w:sz w:val="20"/>
                <w:szCs w:val="20"/>
                <w:color w:val="auto"/>
              </w:rPr>
            </w:pPr>
            <w:r>
              <w:rPr>
                <w:rFonts w:ascii="Arial" w:cs="Arial" w:eastAsia="Arial" w:hAnsi="Arial"/>
                <w:sz w:val="15"/>
                <w:szCs w:val="15"/>
                <w:color w:val="auto"/>
              </w:rPr>
              <w:t>55.00 % (5)</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143,558</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109,086</w:t>
            </w:r>
          </w:p>
        </w:tc>
        <w:tc>
          <w:tcPr>
            <w:tcW w:w="0" w:type="dxa"/>
            <w:vAlign w:val="bottom"/>
          </w:tcPr>
          <w:p>
            <w:pPr>
              <w:spacing w:after="0"/>
              <w:rPr>
                <w:sz w:val="1"/>
                <w:szCs w:val="1"/>
                <w:color w:val="auto"/>
              </w:rPr>
            </w:pPr>
          </w:p>
        </w:tc>
      </w:tr>
      <w:tr>
        <w:trPr>
          <w:trHeight w:val="204"/>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Gateway Portfolio Holdings LLC</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Gateway Commons</w:t>
            </w:r>
          </w:p>
        </w:tc>
        <w:tc>
          <w:tcPr>
            <w:tcW w:w="18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50.00 % (6)</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314,137</w:t>
            </w: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327,148</w:t>
            </w:r>
          </w:p>
        </w:tc>
        <w:tc>
          <w:tcPr>
            <w:tcW w:w="0" w:type="dxa"/>
            <w:vAlign w:val="bottom"/>
          </w:tcPr>
          <w:p>
            <w:pPr>
              <w:spacing w:after="0"/>
              <w:rPr>
                <w:sz w:val="1"/>
                <w:szCs w:val="1"/>
                <w:color w:val="auto"/>
              </w:rPr>
            </w:pPr>
          </w:p>
        </w:tc>
      </w:tr>
      <w:tr>
        <w:trPr>
          <w:trHeight w:val="202"/>
        </w:trPr>
        <w:tc>
          <w:tcPr>
            <w:tcW w:w="3360" w:type="dxa"/>
            <w:vAlign w:val="bottom"/>
            <w:gridSpan w:val="2"/>
          </w:tcPr>
          <w:p>
            <w:pPr>
              <w:ind w:left="20"/>
              <w:spacing w:after="0"/>
              <w:rPr>
                <w:sz w:val="20"/>
                <w:szCs w:val="20"/>
                <w:color w:val="auto"/>
              </w:rPr>
            </w:pPr>
            <w:r>
              <w:rPr>
                <w:rFonts w:ascii="Arial" w:cs="Arial" w:eastAsia="Arial" w:hAnsi="Arial"/>
                <w:sz w:val="15"/>
                <w:szCs w:val="15"/>
                <w:color w:val="auto"/>
              </w:rPr>
              <w:t>Rosecrans-Sepulveda Partners 4, LLC</w:t>
            </w:r>
          </w:p>
        </w:tc>
        <w:tc>
          <w:tcPr>
            <w:tcW w:w="3000" w:type="dxa"/>
            <w:vAlign w:val="bottom"/>
            <w:gridSpan w:val="2"/>
          </w:tcPr>
          <w:p>
            <w:pPr>
              <w:ind w:left="20"/>
              <w:spacing w:after="0"/>
              <w:rPr>
                <w:sz w:val="20"/>
                <w:szCs w:val="20"/>
                <w:color w:val="auto"/>
              </w:rPr>
            </w:pPr>
            <w:r>
              <w:rPr>
                <w:rFonts w:ascii="Arial" w:cs="Arial" w:eastAsia="Arial" w:hAnsi="Arial"/>
                <w:sz w:val="15"/>
                <w:szCs w:val="15"/>
                <w:color w:val="auto"/>
              </w:rPr>
              <w:t>Beach Cities Media Campus</w:t>
            </w:r>
          </w:p>
        </w:tc>
        <w:tc>
          <w:tcPr>
            <w:tcW w:w="1220" w:type="dxa"/>
            <w:vAlign w:val="bottom"/>
          </w:tcPr>
          <w:p>
            <w:pPr>
              <w:ind w:left="640"/>
              <w:spacing w:after="0"/>
              <w:rPr>
                <w:sz w:val="20"/>
                <w:szCs w:val="20"/>
                <w:color w:val="auto"/>
              </w:rPr>
            </w:pPr>
            <w:r>
              <w:rPr>
                <w:rFonts w:ascii="Arial" w:cs="Arial" w:eastAsia="Arial" w:hAnsi="Arial"/>
                <w:sz w:val="15"/>
                <w:szCs w:val="15"/>
                <w:color w:val="auto"/>
              </w:rPr>
              <w:t>50.00 %</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27,017</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27,106</w:t>
            </w:r>
          </w:p>
        </w:tc>
        <w:tc>
          <w:tcPr>
            <w:tcW w:w="0" w:type="dxa"/>
            <w:vAlign w:val="bottom"/>
          </w:tcPr>
          <w:p>
            <w:pPr>
              <w:spacing w:after="0"/>
              <w:rPr>
                <w:sz w:val="1"/>
                <w:szCs w:val="1"/>
                <w:color w:val="auto"/>
              </w:rPr>
            </w:pPr>
          </w:p>
        </w:tc>
      </w:tr>
      <w:tr>
        <w:trPr>
          <w:trHeight w:val="204"/>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Safeco Plaza REIT LLC</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Safeco Plaza</w:t>
            </w:r>
          </w:p>
        </w:tc>
        <w:tc>
          <w:tcPr>
            <w:tcW w:w="18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33.67 % (7)</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70,889</w:t>
            </w: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72,545</w:t>
            </w:r>
          </w:p>
        </w:tc>
        <w:tc>
          <w:tcPr>
            <w:tcW w:w="0" w:type="dxa"/>
            <w:vAlign w:val="bottom"/>
          </w:tcPr>
          <w:p>
            <w:pPr>
              <w:spacing w:after="0"/>
              <w:rPr>
                <w:sz w:val="1"/>
                <w:szCs w:val="1"/>
                <w:color w:val="auto"/>
              </w:rPr>
            </w:pPr>
          </w:p>
        </w:tc>
      </w:tr>
      <w:tr>
        <w:trPr>
          <w:trHeight w:val="202"/>
        </w:trPr>
        <w:tc>
          <w:tcPr>
            <w:tcW w:w="3360" w:type="dxa"/>
            <w:vAlign w:val="bottom"/>
            <w:gridSpan w:val="2"/>
          </w:tcPr>
          <w:p>
            <w:pPr>
              <w:ind w:left="20"/>
              <w:spacing w:after="0"/>
              <w:rPr>
                <w:sz w:val="20"/>
                <w:szCs w:val="20"/>
                <w:color w:val="auto"/>
              </w:rPr>
            </w:pPr>
            <w:r>
              <w:rPr>
                <w:rFonts w:ascii="Arial" w:cs="Arial" w:eastAsia="Arial" w:hAnsi="Arial"/>
                <w:sz w:val="15"/>
                <w:szCs w:val="15"/>
                <w:color w:val="auto"/>
              </w:rPr>
              <w:t>360 PAS Holdco LLC</w:t>
            </w:r>
          </w:p>
        </w:tc>
        <w:tc>
          <w:tcPr>
            <w:tcW w:w="3000" w:type="dxa"/>
            <w:vAlign w:val="bottom"/>
            <w:gridSpan w:val="2"/>
          </w:tcPr>
          <w:p>
            <w:pPr>
              <w:ind w:left="20"/>
              <w:spacing w:after="0"/>
              <w:rPr>
                <w:sz w:val="20"/>
                <w:szCs w:val="20"/>
                <w:color w:val="auto"/>
              </w:rPr>
            </w:pPr>
            <w:r>
              <w:rPr>
                <w:rFonts w:ascii="Arial" w:cs="Arial" w:eastAsia="Arial" w:hAnsi="Arial"/>
                <w:sz w:val="15"/>
                <w:szCs w:val="15"/>
                <w:color w:val="auto"/>
              </w:rPr>
              <w:t>360 Park Avenue South</w:t>
            </w:r>
          </w:p>
        </w:tc>
        <w:tc>
          <w:tcPr>
            <w:tcW w:w="1820" w:type="dxa"/>
            <w:vAlign w:val="bottom"/>
            <w:gridSpan w:val="2"/>
          </w:tcPr>
          <w:p>
            <w:pPr>
              <w:ind w:left="640"/>
              <w:spacing w:after="0"/>
              <w:rPr>
                <w:sz w:val="20"/>
                <w:szCs w:val="20"/>
                <w:color w:val="auto"/>
              </w:rPr>
            </w:pPr>
            <w:r>
              <w:rPr>
                <w:rFonts w:ascii="Arial" w:cs="Arial" w:eastAsia="Arial" w:hAnsi="Arial"/>
                <w:sz w:val="15"/>
                <w:szCs w:val="15"/>
                <w:color w:val="auto"/>
              </w:rPr>
              <w:t>42.21 % (8)</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112,772</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106,855</w:t>
            </w:r>
          </w:p>
        </w:tc>
        <w:tc>
          <w:tcPr>
            <w:tcW w:w="0" w:type="dxa"/>
            <w:vAlign w:val="bottom"/>
          </w:tcPr>
          <w:p>
            <w:pPr>
              <w:spacing w:after="0"/>
              <w:rPr>
                <w:sz w:val="1"/>
                <w:szCs w:val="1"/>
                <w:color w:val="auto"/>
              </w:rPr>
            </w:pPr>
          </w:p>
        </w:tc>
      </w:tr>
      <w:tr>
        <w:trPr>
          <w:trHeight w:val="204"/>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 II/BXP Reston Gateway LLC</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Reston Next Residential</w:t>
            </w:r>
          </w:p>
        </w:tc>
        <w:tc>
          <w:tcPr>
            <w:tcW w:w="18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20.00 % (9)</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11,267</w:t>
            </w: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2"/>
        </w:trPr>
        <w:tc>
          <w:tcPr>
            <w:tcW w:w="33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751 Gateway Holdings LLC</w:t>
            </w:r>
          </w:p>
        </w:tc>
        <w:tc>
          <w:tcPr>
            <w:tcW w:w="30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751 Gateway</w:t>
            </w:r>
          </w:p>
        </w:tc>
        <w:tc>
          <w:tcPr>
            <w:tcW w:w="1820" w:type="dxa"/>
            <w:vAlign w:val="bottom"/>
            <w:tcBorders>
              <w:bottom w:val="single" w:sz="8" w:color="CCEEFF"/>
            </w:tcBorders>
            <w:gridSpan w:val="2"/>
          </w:tcPr>
          <w:p>
            <w:pPr>
              <w:ind w:left="640"/>
              <w:spacing w:after="0"/>
              <w:rPr>
                <w:sz w:val="20"/>
                <w:szCs w:val="20"/>
                <w:color w:val="auto"/>
              </w:rPr>
            </w:pPr>
            <w:r>
              <w:rPr>
                <w:rFonts w:ascii="Arial" w:cs="Arial" w:eastAsia="Arial" w:hAnsi="Arial"/>
                <w:sz w:val="15"/>
                <w:szCs w:val="15"/>
                <w:color w:val="auto"/>
              </w:rPr>
              <w:t>49.00 % (6)</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71,820</w:t>
            </w:r>
          </w:p>
        </w:tc>
        <w:tc>
          <w:tcPr>
            <w:tcW w:w="2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21"/>
        </w:trPr>
        <w:tc>
          <w:tcPr>
            <w:tcW w:w="3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1,526,819</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1,445,926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w:t>
      </w:r>
    </w:p>
    <w:p>
      <w:pPr>
        <w:spacing w:after="0" w:line="26" w:lineRule="exact"/>
        <w:rPr>
          <w:sz w:val="20"/>
          <w:szCs w:val="20"/>
          <w:color w:val="auto"/>
        </w:rPr>
      </w:pPr>
    </w:p>
    <w:p>
      <w:pPr>
        <w:ind w:left="460" w:right="180" w:hanging="306"/>
        <w:spacing w:after="0" w:line="256" w:lineRule="auto"/>
        <w:tabs>
          <w:tab w:leader="none" w:pos="456"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Investments with deficit balances aggregating approximately $67.0 million and $37.1 million at September 30, 2022 and December 31, 2021, respectively, are included within Other Liabilities in the Company’s Consolidated Balance Sheets.</w:t>
      </w:r>
    </w:p>
    <w:p>
      <w:pPr>
        <w:ind w:left="460" w:right="240" w:hanging="306"/>
        <w:spacing w:after="0" w:line="252" w:lineRule="auto"/>
        <w:tabs>
          <w:tab w:leader="none" w:pos="456"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Company’s economic ownership has increased based on the achievement of certain return thresholds. At September 30, 2022 and December 31, 2021, the Company’s economic ownership was approximately 50%.</w:t>
      </w:r>
    </w:p>
    <w:p>
      <w:pPr>
        <w:spacing w:after="0" w:line="1" w:lineRule="exact"/>
        <w:rPr>
          <w:rFonts w:ascii="Arial" w:cs="Arial" w:eastAsia="Arial" w:hAnsi="Arial"/>
          <w:sz w:val="15"/>
          <w:szCs w:val="15"/>
          <w:color w:val="auto"/>
        </w:rPr>
      </w:pPr>
    </w:p>
    <w:p>
      <w:pPr>
        <w:ind w:left="460" w:right="240" w:hanging="306"/>
        <w:spacing w:after="0" w:line="256" w:lineRule="auto"/>
        <w:tabs>
          <w:tab w:leader="none" w:pos="456"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Company’s wholly-owned subsidiary that owns Wisconsin Place Office also owns a 33.33% interest in the joint venture entity that owns the land, parking garage and infrastructure of the project.</w:t>
      </w:r>
    </w:p>
    <w:p>
      <w:pPr>
        <w:ind w:left="460" w:right="140" w:hanging="306"/>
        <w:spacing w:after="0" w:line="250" w:lineRule="auto"/>
        <w:tabs>
          <w:tab w:leader="none" w:pos="456" w:val="left"/>
        </w:tabs>
        <w:numPr>
          <w:ilvl w:val="0"/>
          <w:numId w:val="10"/>
        </w:numPr>
        <w:rPr>
          <w:rFonts w:ascii="Arial" w:cs="Arial" w:eastAsia="Arial" w:hAnsi="Arial"/>
          <w:sz w:val="15"/>
          <w:szCs w:val="15"/>
          <w:color w:val="auto"/>
        </w:rPr>
      </w:pPr>
      <w:r>
        <w:rPr>
          <w:rFonts w:ascii="Arial" w:cs="Arial" w:eastAsia="Arial" w:hAnsi="Arial"/>
          <w:sz w:val="15"/>
          <w:szCs w:val="15"/>
          <w:color w:val="auto"/>
        </w:rPr>
        <w:t>Under the joint venture agreement for this land parcel, the partner will be entitled to up to two additional payments from the venture based on increases in total entitled square footage of the project in excess of 520,000 square feet and achieving certain project returns at stabilization.</w:t>
      </w:r>
    </w:p>
    <w:p>
      <w:pPr>
        <w:ind w:left="460" w:hanging="306"/>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This entity is a VIE (See Note 2).</w:t>
      </w:r>
    </w:p>
    <w:p>
      <w:pPr>
        <w:spacing w:after="0" w:line="13" w:lineRule="exact"/>
        <w:rPr>
          <w:rFonts w:ascii="Arial" w:cs="Arial" w:eastAsia="Arial" w:hAnsi="Arial"/>
          <w:sz w:val="15"/>
          <w:szCs w:val="15"/>
          <w:color w:val="auto"/>
        </w:rPr>
      </w:pPr>
    </w:p>
    <w:p>
      <w:pPr>
        <w:ind w:left="460" w:hanging="306"/>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On June 16, 2022, in accordance with the Gateway Commons joint venture agreement, 751 Gateway was segregated into a new single-purpose joint venture.</w:t>
      </w:r>
    </w:p>
    <w:p>
      <w:pPr>
        <w:spacing w:after="0" w:line="9" w:lineRule="exact"/>
        <w:rPr>
          <w:rFonts w:ascii="Arial" w:cs="Arial" w:eastAsia="Arial" w:hAnsi="Arial"/>
          <w:sz w:val="15"/>
          <w:szCs w:val="15"/>
          <w:color w:val="auto"/>
        </w:rPr>
      </w:pPr>
    </w:p>
    <w:p>
      <w:pPr>
        <w:ind w:left="460" w:right="280" w:hanging="306"/>
        <w:spacing w:after="0" w:line="256" w:lineRule="auto"/>
        <w:tabs>
          <w:tab w:leader="none" w:pos="456"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Company’s ownership includes (1) a 33.0% direct interest in the joint venture, and (2) an additional 1% interest in each of the two entities through which each partner owns its interest in the joint venture.</w:t>
      </w:r>
    </w:p>
    <w:p>
      <w:pPr>
        <w:ind w:left="460" w:right="160" w:hanging="306"/>
        <w:spacing w:after="0" w:line="265" w:lineRule="auto"/>
        <w:tabs>
          <w:tab w:leader="none" w:pos="456"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Company’s ownership includes (1) a 35.79% direct interest in the joint venture, (2) an additional 5.837% indirect ownership in the joint venture, and (3) an additional 1% interest in each of the two entities through which each partner owns its interest in the joint venture. The Company’s partners will fund required capital until their aggregate investment is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approximately 58% of all capital contributions; thereafter, the partners will fund required capital according to their percentage interests.</w:t>
      </w:r>
    </w:p>
    <w:p>
      <w:pPr>
        <w:spacing w:after="0" w:line="19" w:lineRule="exact"/>
        <w:rPr>
          <w:sz w:val="20"/>
          <w:szCs w:val="20"/>
          <w:color w:val="auto"/>
        </w:rPr>
      </w:pPr>
    </w:p>
    <w:p>
      <w:pPr>
        <w:ind w:left="460" w:right="40" w:hanging="306"/>
        <w:spacing w:after="0" w:line="283" w:lineRule="auto"/>
        <w:tabs>
          <w:tab w:leader="none" w:pos="456"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Company’s partner will fund required capital until its aggregate investment is approximately 80% of all capital contributions; thereafter, the partners will fund required capital according to their percentage interests.</w:t>
      </w:r>
    </w:p>
    <w:p>
      <w:pPr>
        <w:spacing w:after="0" w:line="197" w:lineRule="exact"/>
        <w:rPr>
          <w:sz w:val="20"/>
          <w:szCs w:val="20"/>
          <w:color w:val="auto"/>
        </w:rPr>
      </w:pPr>
    </w:p>
    <w:p>
      <w:pPr>
        <w:ind w:right="160" w:firstLine="419"/>
        <w:spacing w:after="0" w:line="266" w:lineRule="auto"/>
        <w:rPr>
          <w:sz w:val="20"/>
          <w:szCs w:val="20"/>
          <w:color w:val="auto"/>
        </w:rPr>
      </w:pPr>
      <w:r>
        <w:rPr>
          <w:rFonts w:ascii="Arial" w:cs="Arial" w:eastAsia="Arial" w:hAnsi="Arial"/>
          <w:sz w:val="17"/>
          <w:szCs w:val="17"/>
          <w:color w:val="auto"/>
        </w:rPr>
        <w:t>Certain of the Company’s unconsolidated joint venture agreements include provisions whereby, at certain specified times, each partner has the right to initiate a purchase or sale of its interest in the joint ventures. Under certain of the Company’s joint venture agreements, if certain return thresholds are achieved, the partners or the Company will be entitled to an additional promoted interest or payments.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combined summarized balance sheets of the Company’s unconsolidated joint ventures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September 30, 2022</w:t>
            </w: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December 31, 2021</w:t>
            </w:r>
          </w:p>
        </w:tc>
        <w:tc>
          <w:tcPr>
            <w:tcW w:w="0" w:type="dxa"/>
            <w:vAlign w:val="bottom"/>
          </w:tcPr>
          <w:p>
            <w:pPr>
              <w:spacing w:after="0"/>
              <w:rPr>
                <w:sz w:val="1"/>
                <w:szCs w:val="1"/>
                <w:color w:val="auto"/>
              </w:rPr>
            </w:pPr>
          </w:p>
        </w:tc>
      </w:tr>
      <w:tr>
        <w:trPr>
          <w:trHeight w:val="196"/>
        </w:trPr>
        <w:tc>
          <w:tcPr>
            <w:tcW w:w="7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4"/>
          </w:tcPr>
          <w:p>
            <w:pPr>
              <w:jc w:val="right"/>
              <w:ind w:right="1164"/>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3560"/>
              <w:spacing w:after="0"/>
              <w:rPr>
                <w:sz w:val="20"/>
                <w:szCs w:val="20"/>
                <w:color w:val="auto"/>
              </w:rPr>
            </w:pPr>
            <w:r>
              <w:rPr>
                <w:rFonts w:ascii="Arial" w:cs="Arial" w:eastAsia="Arial" w:hAnsi="Arial"/>
                <w:sz w:val="15"/>
                <w:szCs w:val="15"/>
                <w:b w:val="1"/>
                <w:bCs w:val="1"/>
                <w:color w:val="auto"/>
              </w:rPr>
              <w:t>ASSETS</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20" w:type="dxa"/>
            <w:vAlign w:val="bottom"/>
          </w:tcPr>
          <w:p>
            <w:pPr>
              <w:ind w:left="20"/>
              <w:spacing w:after="0"/>
              <w:rPr>
                <w:sz w:val="20"/>
                <w:szCs w:val="20"/>
                <w:color w:val="auto"/>
              </w:rPr>
            </w:pPr>
            <w:r>
              <w:rPr>
                <w:rFonts w:ascii="Arial" w:cs="Arial" w:eastAsia="Arial" w:hAnsi="Arial"/>
                <w:sz w:val="15"/>
                <w:szCs w:val="15"/>
                <w:color w:val="auto"/>
              </w:rPr>
              <w:t>Real estate and development in process, net (1)</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5,858,271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5,579,218</w:t>
            </w: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655,549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586,470</w:t>
            </w:r>
          </w:p>
        </w:tc>
        <w:tc>
          <w:tcPr>
            <w:tcW w:w="0" w:type="dxa"/>
            <w:vAlign w:val="bottom"/>
          </w:tcPr>
          <w:p>
            <w:pPr>
              <w:spacing w:after="0"/>
              <w:rPr>
                <w:sz w:val="1"/>
                <w:szCs w:val="1"/>
                <w:color w:val="auto"/>
              </w:rPr>
            </w:pPr>
          </w:p>
        </w:tc>
      </w:tr>
      <w:tr>
        <w:trPr>
          <w:trHeight w:val="194"/>
        </w:trPr>
        <w:tc>
          <w:tcPr>
            <w:tcW w:w="7720" w:type="dxa"/>
            <w:vAlign w:val="bottom"/>
          </w:tcPr>
          <w:p>
            <w:pPr>
              <w:ind w:left="320"/>
              <w:spacing w:after="0"/>
              <w:rPr>
                <w:sz w:val="20"/>
                <w:szCs w:val="20"/>
                <w:color w:val="auto"/>
              </w:rPr>
            </w:pPr>
            <w:r>
              <w:rPr>
                <w:rFonts w:ascii="Arial" w:cs="Arial" w:eastAsia="Arial" w:hAnsi="Arial"/>
                <w:sz w:val="15"/>
                <w:szCs w:val="15"/>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6,513,820</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6,165,688</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20" w:type="dxa"/>
            <w:vAlign w:val="bottom"/>
            <w:shd w:val="clear" w:color="auto" w:fill="CCEEFF"/>
          </w:tcPr>
          <w:p>
            <w:pPr>
              <w:ind w:left="2040"/>
              <w:spacing w:after="0" w:line="170" w:lineRule="exact"/>
              <w:rPr>
                <w:sz w:val="20"/>
                <w:szCs w:val="20"/>
                <w:color w:val="auto"/>
              </w:rPr>
            </w:pPr>
            <w:r>
              <w:rPr>
                <w:rFonts w:ascii="Arial" w:cs="Arial" w:eastAsia="Arial" w:hAnsi="Arial"/>
                <w:sz w:val="15"/>
                <w:szCs w:val="15"/>
                <w:b w:val="1"/>
                <w:bCs w:val="1"/>
                <w:color w:val="auto"/>
              </w:rPr>
              <w:t>LIABILITIES AND MEMBERS’/PARTNERS’ EQUITY</w:t>
            </w: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720" w:type="dxa"/>
            <w:vAlign w:val="bottom"/>
          </w:tcPr>
          <w:p>
            <w:pPr>
              <w:ind w:left="20"/>
              <w:spacing w:after="0"/>
              <w:rPr>
                <w:sz w:val="20"/>
                <w:szCs w:val="20"/>
                <w:color w:val="auto"/>
              </w:rPr>
            </w:pPr>
            <w:r>
              <w:rPr>
                <w:rFonts w:ascii="Arial" w:cs="Arial" w:eastAsia="Arial" w:hAnsi="Arial"/>
                <w:sz w:val="15"/>
                <w:szCs w:val="15"/>
                <w:color w:val="auto"/>
              </w:rPr>
              <w:t>Mortgage and notes payable, net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3,425,972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3,214,961</w:t>
            </w: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liabilities (2)</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681,228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652,135</w:t>
            </w:r>
          </w:p>
        </w:tc>
        <w:tc>
          <w:tcPr>
            <w:tcW w:w="0" w:type="dxa"/>
            <w:vAlign w:val="bottom"/>
          </w:tcPr>
          <w:p>
            <w:pPr>
              <w:spacing w:after="0"/>
              <w:rPr>
                <w:sz w:val="1"/>
                <w:szCs w:val="1"/>
                <w:color w:val="auto"/>
              </w:rPr>
            </w:pPr>
          </w:p>
        </w:tc>
      </w:tr>
      <w:tr>
        <w:trPr>
          <w:trHeight w:val="202"/>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Members’/Partners’ equity</w:t>
            </w: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2,406,620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2,298,592</w:t>
            </w:r>
          </w:p>
        </w:tc>
        <w:tc>
          <w:tcPr>
            <w:tcW w:w="0" w:type="dxa"/>
            <w:vAlign w:val="bottom"/>
          </w:tcPr>
          <w:p>
            <w:pPr>
              <w:spacing w:after="0"/>
              <w:rPr>
                <w:sz w:val="1"/>
                <w:szCs w:val="1"/>
                <w:color w:val="auto"/>
              </w:rPr>
            </w:pPr>
          </w:p>
        </w:tc>
      </w:tr>
      <w:tr>
        <w:trPr>
          <w:trHeight w:val="221"/>
        </w:trPr>
        <w:tc>
          <w:tcPr>
            <w:tcW w:w="7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 liabilities and members’/partners’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6,513,820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6,165,688</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Company’s share of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20" w:type="dxa"/>
            <w:vAlign w:val="bottom"/>
            <w:vMerge w:val="continue"/>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1,180,507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1,104,175</w:t>
            </w: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Basis differentials (3)</w:t>
            </w:r>
          </w:p>
        </w:tc>
        <w:tc>
          <w:tcPr>
            <w:tcW w:w="1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346,312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341,751</w:t>
            </w:r>
          </w:p>
        </w:tc>
        <w:tc>
          <w:tcPr>
            <w:tcW w:w="0" w:type="dxa"/>
            <w:vAlign w:val="bottom"/>
          </w:tcPr>
          <w:p>
            <w:pPr>
              <w:spacing w:after="0"/>
              <w:rPr>
                <w:sz w:val="1"/>
                <w:szCs w:val="1"/>
                <w:color w:val="auto"/>
              </w:rPr>
            </w:pPr>
          </w:p>
        </w:tc>
      </w:tr>
      <w:tr>
        <w:trPr>
          <w:trHeight w:val="194"/>
        </w:trPr>
        <w:tc>
          <w:tcPr>
            <w:tcW w:w="7720" w:type="dxa"/>
            <w:vAlign w:val="bottom"/>
          </w:tcPr>
          <w:p>
            <w:pPr>
              <w:ind w:left="20"/>
              <w:spacing w:after="0"/>
              <w:rPr>
                <w:sz w:val="20"/>
                <w:szCs w:val="20"/>
                <w:color w:val="auto"/>
              </w:rPr>
            </w:pPr>
            <w:r>
              <w:rPr>
                <w:rFonts w:ascii="Arial" w:cs="Arial" w:eastAsia="Arial" w:hAnsi="Arial"/>
                <w:sz w:val="15"/>
                <w:szCs w:val="15"/>
                <w:color w:val="auto"/>
              </w:rPr>
              <w:t>Carrying value of the Company’s investments in unconsolidated joint ventures (4)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1,526,819</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1,445,926</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26" w:lineRule="exact"/>
        <w:rPr>
          <w:sz w:val="20"/>
          <w:szCs w:val="20"/>
          <w:color w:val="auto"/>
        </w:rPr>
      </w:pPr>
    </w:p>
    <w:p>
      <w:pPr>
        <w:ind w:left="460" w:right="160" w:hanging="306"/>
        <w:spacing w:after="0" w:line="256" w:lineRule="auto"/>
        <w:tabs>
          <w:tab w:leader="none" w:pos="456" w:val="left"/>
        </w:tabs>
        <w:numPr>
          <w:ilvl w:val="0"/>
          <w:numId w:val="12"/>
        </w:numPr>
        <w:rPr>
          <w:rFonts w:ascii="Arial" w:cs="Arial" w:eastAsia="Arial" w:hAnsi="Arial"/>
          <w:sz w:val="15"/>
          <w:szCs w:val="15"/>
          <w:color w:val="auto"/>
        </w:rPr>
      </w:pPr>
      <w:r>
        <w:rPr>
          <w:rFonts w:ascii="Arial" w:cs="Arial" w:eastAsia="Arial" w:hAnsi="Arial"/>
          <w:sz w:val="15"/>
          <w:szCs w:val="15"/>
          <w:color w:val="auto"/>
        </w:rPr>
        <w:t>At September 30, 2022 and December 31, 2021, this amount included right of use assets - finance leases totaling approximately $248.9 million. At September 30, 2022 and December 31, 2021, this amount included right of use assets - operating leases totaling approximately $21.4 million and $22.3 million, respectively.</w:t>
      </w:r>
    </w:p>
    <w:p>
      <w:pPr>
        <w:spacing w:after="0" w:line="1" w:lineRule="exact"/>
        <w:rPr>
          <w:rFonts w:ascii="Arial" w:cs="Arial" w:eastAsia="Arial" w:hAnsi="Arial"/>
          <w:sz w:val="15"/>
          <w:szCs w:val="15"/>
          <w:color w:val="auto"/>
        </w:rPr>
      </w:pPr>
    </w:p>
    <w:p>
      <w:pPr>
        <w:ind w:left="460" w:right="100" w:hanging="306"/>
        <w:spacing w:after="0" w:line="253" w:lineRule="auto"/>
        <w:tabs>
          <w:tab w:leader="none" w:pos="456" w:val="left"/>
        </w:tabs>
        <w:numPr>
          <w:ilvl w:val="0"/>
          <w:numId w:val="12"/>
        </w:numPr>
        <w:rPr>
          <w:rFonts w:ascii="Arial" w:cs="Arial" w:eastAsia="Arial" w:hAnsi="Arial"/>
          <w:sz w:val="15"/>
          <w:szCs w:val="15"/>
          <w:color w:val="auto"/>
        </w:rPr>
      </w:pPr>
      <w:r>
        <w:rPr>
          <w:rFonts w:ascii="Arial" w:cs="Arial" w:eastAsia="Arial" w:hAnsi="Arial"/>
          <w:sz w:val="15"/>
          <w:szCs w:val="15"/>
          <w:color w:val="auto"/>
        </w:rPr>
        <w:t>At September 30, 2022 and December 31, 2021, this amount included lease liabilities - finance leases totaling approximately $383.0 million and $385.5 million, respectively. At September 30, 2022 and December 31, 2021, this amount included lease liabilities - operating leases totaling approximately $30.5 million and $30.4 million, respectively.</w:t>
      </w:r>
    </w:p>
    <w:p>
      <w:pPr>
        <w:ind w:left="460" w:right="20" w:hanging="306"/>
        <w:spacing w:after="0" w:line="261" w:lineRule="auto"/>
        <w:tabs>
          <w:tab w:leader="none" w:pos="456"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This amount represents the aggregate difference between the Company’s historical cost basis and the basis reflected at the joint venture level, which is typically amortized over the life of the related assets and liabilities. Basis differentials result from impairments of investments, acquisitions through joint ventures with no change in control and upon the transfer of assets that were previously owned by the Company into a joint venture. In addition, certain acquisition, transaction and other costs may not be reflected in the net assets at the joint venture level. The majority of the Company’s basis differences are as follows:</w:t>
      </w:r>
    </w:p>
    <w:p>
      <w:pPr>
        <w:spacing w:after="0" w:line="230" w:lineRule="exact"/>
        <w:rPr>
          <w:sz w:val="20"/>
          <w:szCs w:val="20"/>
          <w:color w:val="auto"/>
        </w:rPr>
      </w:pPr>
    </w:p>
    <w:tbl>
      <w:tblPr>
        <w:tblLayout w:type="fixed"/>
        <w:tblInd w:w="1020" w:type="dxa"/>
        <w:tblCellMar>
          <w:top w:w="0" w:type="dxa"/>
          <w:left w:w="0" w:type="dxa"/>
          <w:bottom w:w="0" w:type="dxa"/>
          <w:right w:w="0" w:type="dxa"/>
        </w:tblCellMar>
      </w:tblPr>
      <w:tr>
        <w:trPr>
          <w:trHeight w:val="203"/>
        </w:trPr>
        <w:tc>
          <w:tcPr>
            <w:tcW w:w="680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Property</w:t>
            </w: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9"/>
              </w:rPr>
              <w:t>September 30, 2022</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December 31, 2021</w:t>
            </w:r>
          </w:p>
        </w:tc>
        <w:tc>
          <w:tcPr>
            <w:tcW w:w="0" w:type="dxa"/>
            <w:vAlign w:val="bottom"/>
          </w:tcPr>
          <w:p>
            <w:pPr>
              <w:spacing w:after="0"/>
              <w:rPr>
                <w:sz w:val="1"/>
                <w:szCs w:val="1"/>
                <w:color w:val="auto"/>
              </w:rPr>
            </w:pPr>
          </w:p>
        </w:tc>
      </w:tr>
      <w:tr>
        <w:trPr>
          <w:trHeight w:val="145"/>
        </w:trPr>
        <w:tc>
          <w:tcPr>
            <w:tcW w:w="68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3300" w:type="dxa"/>
            <w:vAlign w:val="bottom"/>
            <w:gridSpan w:val="3"/>
          </w:tcPr>
          <w:p>
            <w:pPr>
              <w:jc w:val="right"/>
              <w:ind w:right="1104"/>
              <w:spacing w:after="0" w:line="133" w:lineRule="exact"/>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Colorado Center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302,539</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304,776</w:t>
            </w:r>
          </w:p>
        </w:tc>
        <w:tc>
          <w:tcPr>
            <w:tcW w:w="0" w:type="dxa"/>
            <w:vAlign w:val="bottom"/>
          </w:tcPr>
          <w:p>
            <w:pPr>
              <w:spacing w:after="0"/>
              <w:rPr>
                <w:sz w:val="1"/>
                <w:szCs w:val="1"/>
                <w:color w:val="auto"/>
              </w:rPr>
            </w:pPr>
          </w:p>
        </w:tc>
      </w:tr>
      <w:tr>
        <w:trPr>
          <w:trHeight w:val="202"/>
        </w:trPr>
        <w:tc>
          <w:tcPr>
            <w:tcW w:w="6800" w:type="dxa"/>
            <w:vAlign w:val="bottom"/>
            <w:gridSpan w:val="3"/>
          </w:tcPr>
          <w:p>
            <w:pPr>
              <w:ind w:left="20"/>
              <w:spacing w:after="0"/>
              <w:rPr>
                <w:sz w:val="20"/>
                <w:szCs w:val="20"/>
                <w:color w:val="auto"/>
              </w:rPr>
            </w:pPr>
            <w:r>
              <w:rPr>
                <w:rFonts w:ascii="Arial" w:cs="Arial" w:eastAsia="Arial" w:hAnsi="Arial"/>
                <w:sz w:val="15"/>
                <w:szCs w:val="15"/>
                <w:color w:val="auto"/>
              </w:rPr>
              <w:t>Gateway Commons</w:t>
            </w:r>
          </w:p>
        </w:tc>
        <w:tc>
          <w:tcPr>
            <w:tcW w:w="120" w:type="dxa"/>
            <w:vAlign w:val="bottom"/>
          </w:tcPr>
          <w:p>
            <w:pPr>
              <w:spacing w:after="0"/>
              <w:rPr>
                <w:sz w:val="17"/>
                <w:szCs w:val="17"/>
                <w:color w:val="auto"/>
              </w:rPr>
            </w:pP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51,188</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51,009</w:t>
            </w:r>
          </w:p>
        </w:tc>
        <w:tc>
          <w:tcPr>
            <w:tcW w:w="0" w:type="dxa"/>
            <w:vAlign w:val="bottom"/>
          </w:tcPr>
          <w:p>
            <w:pPr>
              <w:spacing w:after="0"/>
              <w:rPr>
                <w:sz w:val="1"/>
                <w:szCs w:val="1"/>
                <w:color w:val="auto"/>
              </w:rPr>
            </w:pPr>
          </w:p>
        </w:tc>
      </w:tr>
      <w:tr>
        <w:trPr>
          <w:trHeight w:val="204"/>
        </w:trPr>
        <w:tc>
          <w:tcPr>
            <w:tcW w:w="68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Dock 72</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(48,753)</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(50,051)</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These basis differentials (excluding land) will be amortized over the remaining lives of the related assets and liabilities.</w:t>
      </w:r>
    </w:p>
    <w:p>
      <w:pPr>
        <w:spacing w:after="0" w:line="94" w:lineRule="exact"/>
        <w:rPr>
          <w:sz w:val="20"/>
          <w:szCs w:val="20"/>
          <w:color w:val="auto"/>
        </w:rPr>
      </w:pPr>
    </w:p>
    <w:p>
      <w:pPr>
        <w:ind w:left="460" w:right="180" w:hanging="306"/>
        <w:spacing w:after="0" w:line="285" w:lineRule="auto"/>
        <w:tabs>
          <w:tab w:leader="none" w:pos="456"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Investments with deficit balances aggregating approximately $67.0 million and $37.1 million at September 30, 2022 and December 31, 2021, respectively, are reflected within Other Liabilities in the Company’s Consolidated Balance Sheets.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combined summarized statements of operations of the Company’s unconsolidated joint ventures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gridSpan w:val="5"/>
          </w:tcPr>
          <w:p>
            <w:pPr>
              <w:ind w:left="40"/>
              <w:spacing w:after="0"/>
              <w:rPr>
                <w:sz w:val="20"/>
                <w:szCs w:val="20"/>
                <w:color w:val="auto"/>
              </w:rPr>
            </w:pPr>
            <w:r>
              <w:rPr>
                <w:rFonts w:ascii="Arial" w:cs="Arial" w:eastAsia="Arial" w:hAnsi="Arial"/>
                <w:sz w:val="15"/>
                <w:szCs w:val="15"/>
                <w:b w:val="1"/>
                <w:bCs w:val="1"/>
                <w:color w:val="auto"/>
              </w:rPr>
              <w:t>Three months ended September 30,</w:t>
            </w:r>
          </w:p>
        </w:tc>
        <w:tc>
          <w:tcPr>
            <w:tcW w:w="200" w:type="dxa"/>
            <w:vAlign w:val="bottom"/>
          </w:tcPr>
          <w:p>
            <w:pPr>
              <w:spacing w:after="0"/>
              <w:rPr>
                <w:sz w:val="17"/>
                <w:szCs w:val="17"/>
                <w:color w:val="auto"/>
              </w:rPr>
            </w:pPr>
          </w:p>
        </w:tc>
        <w:tc>
          <w:tcPr>
            <w:tcW w:w="2840" w:type="dxa"/>
            <w:vAlign w:val="bottom"/>
            <w:gridSpan w:val="4"/>
          </w:tcPr>
          <w:p>
            <w:pPr>
              <w:jc w:val="right"/>
              <w:ind w:right="176"/>
              <w:spacing w:after="0"/>
              <w:rPr>
                <w:sz w:val="20"/>
                <w:szCs w:val="20"/>
                <w:color w:val="auto"/>
              </w:rPr>
            </w:pPr>
            <w:r>
              <w:rPr>
                <w:rFonts w:ascii="Arial" w:cs="Arial" w:eastAsia="Arial" w:hAnsi="Arial"/>
                <w:sz w:val="15"/>
                <w:szCs w:val="15"/>
                <w:b w:val="1"/>
                <w:bCs w:val="1"/>
                <w:color w:val="auto"/>
              </w:rPr>
              <w:t>Nine months ended September 30,</w:t>
            </w:r>
          </w:p>
        </w:tc>
      </w:tr>
      <w:tr>
        <w:trPr>
          <w:trHeight w:val="196"/>
        </w:trPr>
        <w:tc>
          <w:tcPr>
            <w:tcW w:w="49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5"/>
                <w:szCs w:val="15"/>
                <w:b w:val="1"/>
                <w:bCs w:val="1"/>
                <w:color w:val="auto"/>
              </w:rPr>
              <w:t>2022</w:t>
            </w:r>
          </w:p>
        </w:tc>
        <w:tc>
          <w:tcPr>
            <w:tcW w:w="2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5"/>
                <w:szCs w:val="15"/>
                <w:b w:val="1"/>
                <w:bCs w:val="1"/>
                <w:color w:val="auto"/>
              </w:rPr>
              <w:t>2022</w:t>
            </w:r>
          </w:p>
        </w:tc>
        <w:tc>
          <w:tcPr>
            <w:tcW w:w="2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2021</w:t>
            </w:r>
          </w:p>
        </w:tc>
      </w:tr>
      <w:tr>
        <w:trPr>
          <w:trHeight w:val="196"/>
        </w:trPr>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60" w:type="dxa"/>
            <w:vAlign w:val="bottom"/>
            <w:gridSpan w:val="5"/>
          </w:tcPr>
          <w:p>
            <w:pPr>
              <w:ind w:left="700"/>
              <w:spacing w:after="0"/>
              <w:rPr>
                <w:sz w:val="20"/>
                <w:szCs w:val="20"/>
                <w:color w:val="auto"/>
              </w:rPr>
            </w:pPr>
            <w:r>
              <w:rPr>
                <w:rFonts w:ascii="Arial" w:cs="Arial" w:eastAsia="Arial" w:hAnsi="Arial"/>
                <w:sz w:val="15"/>
                <w:szCs w:val="15"/>
                <w:b w:val="1"/>
                <w:bCs w:val="1"/>
                <w:color w:val="auto"/>
              </w:rPr>
              <w:t>(in thousands)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 (1)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127,996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373,358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268,501</w:t>
            </w:r>
          </w:p>
        </w:tc>
      </w:tr>
      <w:tr>
        <w:trPr>
          <w:trHeight w:val="216"/>
        </w:trPr>
        <w:tc>
          <w:tcPr>
            <w:tcW w:w="4980" w:type="dxa"/>
            <w:vAlign w:val="bottom"/>
          </w:tcPr>
          <w:p>
            <w:pPr>
              <w:ind w:left="20"/>
              <w:spacing w:after="0"/>
              <w:rPr>
                <w:sz w:val="20"/>
                <w:szCs w:val="20"/>
                <w:color w:val="auto"/>
              </w:rPr>
            </w:pPr>
            <w:r>
              <w:rPr>
                <w:rFonts w:ascii="Arial" w:cs="Arial" w:eastAsia="Arial" w:hAnsi="Arial"/>
                <w:sz w:val="17"/>
                <w:szCs w:val="17"/>
                <w:color w:val="auto"/>
              </w:rPr>
              <w:t>Expenses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Operating</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52,886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143,880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114,299</w:t>
            </w:r>
          </w:p>
        </w:tc>
      </w:tr>
      <w:tr>
        <w:trPr>
          <w:trHeight w:val="216"/>
        </w:trPr>
        <w:tc>
          <w:tcPr>
            <w:tcW w:w="4980" w:type="dxa"/>
            <w:vAlign w:val="bottom"/>
          </w:tcPr>
          <w:p>
            <w:pPr>
              <w:ind w:left="320"/>
              <w:spacing w:after="0"/>
              <w:rPr>
                <w:sz w:val="20"/>
                <w:szCs w:val="20"/>
                <w:color w:val="auto"/>
              </w:rPr>
            </w:pPr>
            <w:r>
              <w:rPr>
                <w:rFonts w:ascii="Arial" w:cs="Arial" w:eastAsia="Arial" w:hAnsi="Arial"/>
                <w:sz w:val="17"/>
                <w:szCs w:val="17"/>
                <w:color w:val="auto"/>
              </w:rPr>
              <w:t>Transaction costs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746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6"/>
        </w:trPr>
        <w:tc>
          <w:tcPr>
            <w:tcW w:w="4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44,132</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36,036</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132,089</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103,766</w:t>
            </w:r>
          </w:p>
        </w:tc>
      </w:tr>
      <w:tr>
        <w:trPr>
          <w:trHeight w:val="208"/>
        </w:trPr>
        <w:tc>
          <w:tcPr>
            <w:tcW w:w="4980" w:type="dxa"/>
            <w:vAlign w:val="bottom"/>
          </w:tcPr>
          <w:p>
            <w:pPr>
              <w:ind w:left="20"/>
              <w:spacing w:after="0"/>
              <w:rPr>
                <w:sz w:val="20"/>
                <w:szCs w:val="20"/>
                <w:color w:val="auto"/>
              </w:rPr>
            </w:pPr>
            <w:r>
              <w:rPr>
                <w:rFonts w:ascii="Arial" w:cs="Arial" w:eastAsia="Arial" w:hAnsi="Arial"/>
                <w:sz w:val="17"/>
                <w:szCs w:val="17"/>
                <w:color w:val="auto"/>
              </w:rPr>
              <w:t>Total expenses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96,953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76,414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276,715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218,072</w:t>
            </w: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980" w:type="dxa"/>
            <w:vAlign w:val="bottom"/>
          </w:tcPr>
          <w:p>
            <w:pPr>
              <w:ind w:left="320"/>
              <w:spacing w:after="0"/>
              <w:rPr>
                <w:sz w:val="20"/>
                <w:szCs w:val="20"/>
                <w:color w:val="auto"/>
              </w:rPr>
            </w:pPr>
            <w:r>
              <w:rPr>
                <w:rFonts w:ascii="Arial" w:cs="Arial" w:eastAsia="Arial" w:hAnsi="Arial"/>
                <w:sz w:val="17"/>
                <w:szCs w:val="17"/>
                <w:color w:val="auto"/>
              </w:rPr>
              <w:t>Loss from early extinguishment of debt</w:t>
            </w:r>
          </w:p>
        </w:tc>
        <w:tc>
          <w:tcPr>
            <w:tcW w:w="16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(1,327)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4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(40,678)</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(27,519)</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(103,270)</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(78,711)</w:t>
            </w:r>
          </w:p>
        </w:tc>
      </w:tr>
      <w:tr>
        <w:trPr>
          <w:trHeight w:val="208"/>
        </w:trPr>
        <w:tc>
          <w:tcPr>
            <w:tcW w:w="4980" w:type="dxa"/>
            <w:vAlign w:val="bottom"/>
          </w:tcPr>
          <w:p>
            <w:pPr>
              <w:ind w:left="620"/>
              <w:spacing w:after="0"/>
              <w:rPr>
                <w:sz w:val="20"/>
                <w:szCs w:val="20"/>
                <w:color w:val="auto"/>
              </w:rPr>
            </w:pPr>
            <w:r>
              <w:rPr>
                <w:rFonts w:ascii="Arial" w:cs="Arial" w:eastAsia="Arial" w:hAnsi="Arial"/>
                <w:sz w:val="17"/>
                <w:szCs w:val="17"/>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(9,635)</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(13,924)</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(7,954)</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(28,282)</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9"/>
        </w:trPr>
        <w:tc>
          <w:tcPr>
            <w:tcW w:w="4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7"/>
                <w:szCs w:val="17"/>
                <w:color w:val="auto"/>
              </w:rPr>
              <w:t>Company’s share of net income (loss)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(2,251)</w:t>
            </w:r>
          </w:p>
        </w:tc>
        <w:tc>
          <w:tcPr>
            <w:tcW w:w="200" w:type="dxa"/>
            <w:vAlign w:val="bottom"/>
          </w:tcPr>
          <w:p>
            <w:pPr>
              <w:spacing w:after="0"/>
              <w:rPr>
                <w:sz w:val="18"/>
                <w:szCs w:val="18"/>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(4,491)</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2,225</w:t>
            </w:r>
          </w:p>
        </w:tc>
        <w:tc>
          <w:tcPr>
            <w:tcW w:w="280" w:type="dxa"/>
            <w:vAlign w:val="bottom"/>
          </w:tcPr>
          <w:p>
            <w:pPr>
              <w:spacing w:after="0"/>
              <w:rPr>
                <w:sz w:val="18"/>
                <w:szCs w:val="18"/>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(10,268)</w:t>
            </w: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sale of investment (2)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10,257</w:t>
            </w:r>
          </w:p>
        </w:tc>
      </w:tr>
      <w:tr>
        <w:trPr>
          <w:trHeight w:val="216"/>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Basis differential (3)</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(1,273)</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(1,106)</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(3,614)</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(1,734)</w:t>
            </w:r>
          </w:p>
        </w:tc>
      </w:tr>
      <w:tr>
        <w:trPr>
          <w:trHeight w:val="23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unconsolidated joint ventures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(3,524)</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(5,597)</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(1,389)</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26" w:lineRule="exact"/>
        <w:rPr>
          <w:sz w:val="20"/>
          <w:szCs w:val="20"/>
          <w:color w:val="auto"/>
        </w:rPr>
      </w:pPr>
    </w:p>
    <w:p>
      <w:pPr>
        <w:ind w:left="460" w:right="240" w:hanging="306"/>
        <w:spacing w:after="0" w:line="253" w:lineRule="auto"/>
        <w:tabs>
          <w:tab w:leader="none" w:pos="456"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straight-line rent adjustments of approximately $9.6 million and $5.5 million for the three months ended September 30, 2022 and 2021, respectively, and approximately $54.9 million and $11.6 million for the nine months ended September 30, 2022 and 2021, respectively. For the nine months ended September 30, 2022, reinstatement of accrued rent balances totaled approximately $2.5 million.</w:t>
      </w:r>
    </w:p>
    <w:p>
      <w:pPr>
        <w:ind w:left="460" w:right="500" w:hanging="306"/>
        <w:spacing w:after="0" w:line="256" w:lineRule="auto"/>
        <w:tabs>
          <w:tab w:leader="none" w:pos="456" w:val="left"/>
        </w:tabs>
        <w:numPr>
          <w:ilvl w:val="0"/>
          <w:numId w:val="14"/>
        </w:numPr>
        <w:rPr>
          <w:rFonts w:ascii="Arial" w:cs="Arial" w:eastAsia="Arial" w:hAnsi="Arial"/>
          <w:sz w:val="15"/>
          <w:szCs w:val="15"/>
          <w:color w:val="auto"/>
        </w:rPr>
      </w:pPr>
      <w:r>
        <w:rPr>
          <w:rFonts w:ascii="Arial" w:cs="Arial" w:eastAsia="Arial" w:hAnsi="Arial"/>
          <w:sz w:val="15"/>
          <w:szCs w:val="15"/>
          <w:color w:val="auto"/>
        </w:rPr>
        <w:t>During the nine months ended September 30, 2021, the Company completed the sale of its 50% ownership interest in Annapolis Junction NFM LLC. The Company recognized a gain on sale of investment of approximately $10.3 million.</w:t>
      </w:r>
    </w:p>
    <w:p>
      <w:pPr>
        <w:ind w:left="460" w:hanging="306"/>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straight-line rent adjustments of approximately $0.1 million for each of the three months ended September 30, 2022 and 2021, and approximately</w:t>
      </w:r>
    </w:p>
    <w:p>
      <w:pPr>
        <w:spacing w:after="0" w:line="5" w:lineRule="exact"/>
        <w:rPr>
          <w:rFonts w:ascii="Arial" w:cs="Arial" w:eastAsia="Arial" w:hAnsi="Arial"/>
          <w:sz w:val="15"/>
          <w:szCs w:val="15"/>
          <w:color w:val="auto"/>
        </w:rPr>
      </w:pPr>
    </w:p>
    <w:p>
      <w:pPr>
        <w:ind w:left="460" w:right="80"/>
        <w:spacing w:after="0" w:line="265" w:lineRule="auto"/>
        <w:rPr>
          <w:rFonts w:ascii="Arial" w:cs="Arial" w:eastAsia="Arial" w:hAnsi="Arial"/>
          <w:sz w:val="15"/>
          <w:szCs w:val="15"/>
          <w:color w:val="auto"/>
        </w:rPr>
      </w:pPr>
      <w:r>
        <w:rPr>
          <w:rFonts w:ascii="Arial" w:cs="Arial" w:eastAsia="Arial" w:hAnsi="Arial"/>
          <w:sz w:val="15"/>
          <w:szCs w:val="15"/>
          <w:color w:val="auto"/>
        </w:rPr>
        <w:t>$0.3 million and $0.7 million for the nine months ended September 30, 2022 and 2021, respectively. Also includes net above-/below-market rent adjustments of approximately $0.1 million for each of the three months ended September 30, 2022 and 2021, and approximately $0.3 million and $0.2 million for the nine months ended September 30, 2022 and 2021, respectively.</w:t>
      </w:r>
    </w:p>
    <w:p>
      <w:pPr>
        <w:spacing w:after="0" w:line="298" w:lineRule="exact"/>
        <w:rPr>
          <w:sz w:val="20"/>
          <w:szCs w:val="20"/>
          <w:color w:val="auto"/>
        </w:rPr>
      </w:pPr>
    </w:p>
    <w:p>
      <w:pPr>
        <w:ind w:right="20" w:firstLine="419"/>
        <w:spacing w:after="0" w:line="266" w:lineRule="auto"/>
        <w:rPr>
          <w:sz w:val="20"/>
          <w:szCs w:val="20"/>
          <w:color w:val="auto"/>
        </w:rPr>
      </w:pPr>
      <w:r>
        <w:rPr>
          <w:rFonts w:ascii="Arial" w:cs="Arial" w:eastAsia="Arial" w:hAnsi="Arial"/>
          <w:sz w:val="17"/>
          <w:szCs w:val="17"/>
          <w:color w:val="auto"/>
        </w:rPr>
        <w:t>On January 18, 2022, a joint venture in which the Company has a 50% interest commenced the redevelopment of 651 Gateway located in South San Francisco, California. 651 Gateway is a premier workplace that is being converted to approximately 327,000 net rentable square feet of life sciences space.</w:t>
      </w:r>
    </w:p>
    <w:p>
      <w:pPr>
        <w:spacing w:after="0" w:line="112" w:lineRule="exact"/>
        <w:rPr>
          <w:sz w:val="20"/>
          <w:szCs w:val="20"/>
          <w:color w:val="auto"/>
        </w:rPr>
      </w:pPr>
    </w:p>
    <w:p>
      <w:pPr>
        <w:ind w:right="100" w:firstLine="419"/>
        <w:spacing w:after="0" w:line="260" w:lineRule="auto"/>
        <w:rPr>
          <w:sz w:val="20"/>
          <w:szCs w:val="20"/>
          <w:color w:val="auto"/>
        </w:rPr>
      </w:pPr>
      <w:r>
        <w:rPr>
          <w:rFonts w:ascii="Arial" w:cs="Arial" w:eastAsia="Arial" w:hAnsi="Arial"/>
          <w:sz w:val="17"/>
          <w:szCs w:val="17"/>
          <w:color w:val="auto"/>
        </w:rPr>
        <w:t>On February 2, 2022, a joint venture in which the Company has a 55% interest commenced the development of the first phase of Platform 16, a premier workplace project located in San Jose, California, that is expected to contain approximately 1.1 million net rentable square feet upon completion. The first phase of the development projects includes the construction of an approximately 390,000 net rentable square foot premier workplace building and a below-grade parking garage.</w:t>
      </w:r>
    </w:p>
    <w:p>
      <w:pPr>
        <w:spacing w:after="0" w:line="118" w:lineRule="exact"/>
        <w:rPr>
          <w:sz w:val="20"/>
          <w:szCs w:val="20"/>
          <w:color w:val="auto"/>
        </w:rPr>
      </w:pPr>
    </w:p>
    <w:p>
      <w:pPr>
        <w:ind w:right="20" w:firstLine="419"/>
        <w:spacing w:after="0" w:line="253" w:lineRule="auto"/>
        <w:rPr>
          <w:sz w:val="20"/>
          <w:szCs w:val="20"/>
          <w:color w:val="auto"/>
        </w:rPr>
      </w:pPr>
      <w:r>
        <w:rPr>
          <w:rFonts w:ascii="Arial" w:cs="Arial" w:eastAsia="Arial" w:hAnsi="Arial"/>
          <w:sz w:val="17"/>
          <w:szCs w:val="17"/>
          <w:color w:val="auto"/>
        </w:rPr>
        <w:t>On March 28, 2022, a joint venture in which the Company has a 20% interest refinanced with a new lender the debt secured by its Metropolitan Square property located in Washington, DC. At the time of the refinancing, the loan had an outstanding balance of approximately $294.1 million, bore interest at a variable rate equal to (1) the greater of (x) LIBOR or (y) 0.65%, plus (2) 4.75% per annum and was scheduled to mature on July 7, 2022, with two, one-year extension options, subject to certain conditions. There was no prepayment penalty associated with the prepayment of the previous mortgage loan. The joint venture recognized a loss from early extinguishment of debt totaling approximately $1.3 million due to the write-off of unamortized deferred financing costs. In conjunction with the refinancing, the joint venture settled its interest rate cap agreement, entered into in 2020, to limit its exposure to increases in the LIBOR rate. The new mortgage and mezzanine loans have an aggregate principal balance of $ 420.0 million, bear interest at a weighted average variable rate equal to the Secured Overnight Financing Rate (“SOFR“) plus 2.75% per annum and mature on April 9, 2024, with three, one-year extension options, subject to certain conditions. The joint venture distributed excess loan proceeds from the new mortgage and mezzanine loans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280"/>
        <w:spacing w:after="0" w:line="266" w:lineRule="auto"/>
        <w:rPr>
          <w:sz w:val="20"/>
          <w:szCs w:val="20"/>
          <w:color w:val="auto"/>
        </w:rPr>
      </w:pPr>
      <w:r>
        <w:rPr>
          <w:rFonts w:ascii="Arial" w:cs="Arial" w:eastAsia="Arial" w:hAnsi="Arial"/>
          <w:sz w:val="17"/>
          <w:szCs w:val="17"/>
          <w:color w:val="auto"/>
        </w:rPr>
        <w:t>totaling approximately $100.5 million, of which the Company’s share totaled approximately $20.1 million. On September 1, 2022, the joint venture entered into an interest rate cap agreement that capped SOFR at 4.50% per annum on a notional amount of $420.0 million through April 15, 2024. Metropolitan Square is a premier workplace with approximately 657,000 net rentable square feet located in Washington, DC.</w:t>
      </w:r>
    </w:p>
    <w:p>
      <w:pPr>
        <w:spacing w:after="0" w:line="112" w:lineRule="exact"/>
        <w:rPr>
          <w:sz w:val="20"/>
          <w:szCs w:val="20"/>
          <w:color w:val="auto"/>
        </w:rPr>
      </w:pPr>
    </w:p>
    <w:p>
      <w:pPr>
        <w:ind w:right="200" w:firstLine="419"/>
        <w:spacing w:after="0" w:line="252" w:lineRule="auto"/>
        <w:rPr>
          <w:sz w:val="20"/>
          <w:szCs w:val="20"/>
          <w:color w:val="auto"/>
        </w:rPr>
      </w:pPr>
      <w:r>
        <w:rPr>
          <w:rFonts w:ascii="Arial" w:cs="Arial" w:eastAsia="Arial" w:hAnsi="Arial"/>
          <w:sz w:val="17"/>
          <w:szCs w:val="17"/>
          <w:color w:val="auto"/>
        </w:rPr>
        <w:t>On April 18, 2022, a joint venture in which the Company has a 50% ownership interest extended the maturity date of the construction loan collateralized by its Hub50House property to June 19, 2022. At the time of the extension, the outstanding balance of the loan totaled approximately $176.5 million, bore interest at a variable rate equal to LIBOR plus 2.00% per annum and was scheduled to mature on April 19, 2022. On June 17, 2022, the joint venture repaid the existing construction loan and obtained a new mortgage loan. The new mortgage loan has a principal balance of $185.0 million, bears interest at a variable rate equal to SOFR plus 1.35% per annum and matures on June 17, 2032. At closing, the joint venture entered into interest rate swap contracts with notional amounts aggregating $185.0 million through April 10, 2032, resulting in a fixed rate of approximately 4.432% per annum through the expiration of the interest rate swap contracts. In conjunction with the new mortgage loan, the joint venture paid off the existing construction loan. At the time of the payoff of the construction loan, the outstanding balance of the loan totaled approximately $176.7 million. The joint venture distributed excess loan proceeds from the new mortgage loan totaling approximately $6.8 million, of which the Company’s share totaled approximately $3.4 million. Hub50House is a residential property that consists of approximately 320,000 net rentable square feet and 440 residential units located in Boston, Massachusetts.</w:t>
      </w:r>
    </w:p>
    <w:p>
      <w:pPr>
        <w:spacing w:after="0" w:line="128" w:lineRule="exact"/>
        <w:rPr>
          <w:sz w:val="20"/>
          <w:szCs w:val="20"/>
          <w:color w:val="auto"/>
        </w:rPr>
      </w:pPr>
    </w:p>
    <w:p>
      <w:pPr>
        <w:ind w:firstLine="419"/>
        <w:spacing w:after="0" w:line="272" w:lineRule="auto"/>
        <w:rPr>
          <w:sz w:val="20"/>
          <w:szCs w:val="20"/>
          <w:color w:val="auto"/>
        </w:rPr>
      </w:pPr>
      <w:r>
        <w:rPr>
          <w:rFonts w:ascii="Arial" w:cs="Arial" w:eastAsia="Arial" w:hAnsi="Arial"/>
          <w:sz w:val="16"/>
          <w:szCs w:val="16"/>
          <w:color w:val="auto"/>
        </w:rPr>
        <w:t>On May 13, 2022, the Company entered into a joint venture with a third party to own, operate and develop Reston Next Residential located in Reston, Virginia. Reston Next Residential is expected to consist of 508 residential rental units upon completion. The Company contributed approximately $11.3 million of improvements at closing and will contribute cash totaling approximately $3.5 million in the future for its 20% ownership interest in the joint venture. The partner contributed approximately $0.5 million of cash at closing and will contribute cash totaling approximately $58.7 million in the future for its 80% ownership interest in the joint venture. As a result of the partner’s deferred contribution, as of the acquisition date, the Company owned an approximately 96% interest in the joint venture. On May 13, 2022, the joint venture commenced development and entered into a construction loan collateralized by the property. The construction loan has a principal amount of up to $140.0 million, bears interest at a variable rate equal to SOFR plus 2.00% per annum and matures on May 13, 2026, with two, one-year extension options, subject to certain conditions.</w:t>
      </w:r>
    </w:p>
    <w:p>
      <w:pPr>
        <w:spacing w:after="0" w:line="109" w:lineRule="exact"/>
        <w:rPr>
          <w:sz w:val="20"/>
          <w:szCs w:val="20"/>
          <w:color w:val="auto"/>
        </w:rPr>
      </w:pPr>
    </w:p>
    <w:p>
      <w:pPr>
        <w:ind w:right="20" w:firstLine="419"/>
        <w:spacing w:after="0" w:line="256" w:lineRule="auto"/>
        <w:rPr>
          <w:sz w:val="20"/>
          <w:szCs w:val="20"/>
          <w:color w:val="auto"/>
        </w:rPr>
      </w:pPr>
      <w:r>
        <w:rPr>
          <w:rFonts w:ascii="Arial" w:cs="Arial" w:eastAsia="Arial" w:hAnsi="Arial"/>
          <w:sz w:val="17"/>
          <w:szCs w:val="17"/>
          <w:color w:val="auto"/>
        </w:rPr>
        <w:t>On June 16, 2022, the Company entered into a joint venture with a third party to own, operate and develop 751 Gateway, a laboratory building located in South San Francisco, California, that is expected to be approximately 231,000 net rentable square feet upon completion. 751 Gateway was previously part of the Company’s Gateway Commons joint venture. The Company contributed assets with an agreed upon value aggregating approximately $53.9 million and cash totaling approximately $2.6 million for its 49% ownership interest in the joint venture. The partner contributed assets with an agreed upon value aggregating approximately $53.9 million and cash totaling approximately $4.9 million for its 51% ownership interest in the joint venture.</w:t>
      </w:r>
    </w:p>
    <w:p>
      <w:pPr>
        <w:spacing w:after="0" w:line="120" w:lineRule="exact"/>
        <w:rPr>
          <w:sz w:val="20"/>
          <w:szCs w:val="20"/>
          <w:color w:val="auto"/>
        </w:rPr>
      </w:pPr>
    </w:p>
    <w:p>
      <w:pPr>
        <w:ind w:right="120" w:firstLine="419"/>
        <w:spacing w:after="0" w:line="256" w:lineRule="auto"/>
        <w:rPr>
          <w:sz w:val="20"/>
          <w:szCs w:val="20"/>
          <w:color w:val="auto"/>
        </w:rPr>
      </w:pPr>
      <w:r>
        <w:rPr>
          <w:rFonts w:ascii="Arial" w:cs="Arial" w:eastAsia="Arial" w:hAnsi="Arial"/>
          <w:sz w:val="17"/>
          <w:szCs w:val="17"/>
          <w:color w:val="auto"/>
        </w:rPr>
        <w:t>On August 8, 2022, a joint venture in which the Company has a 50% interest modified the construction loan collateralized by its Dock 72 property located in Brooklyn, New York. At the time of the modification, the loan had an outstanding balance totaling approximately $198.4 million, a total commitment amount of $250.0 million, bore interest at a variable rate equal to LIBOR plus 3.35% per annum, and was scheduled to mature on December 18, 2023. The modified construction loan bears interest at a variable rate equal to (1) the greater of (x) SOFR or (y) 0.25% plus (2) 3.10% per annum, has a total commitment amount of approximately $198.4 million, and continues to mature on December 18, 2023. Dock 72 is a premier workplace with approximately 669,000 net rentable square feet.</w:t>
      </w:r>
    </w:p>
    <w:p>
      <w:pPr>
        <w:spacing w:after="0" w:line="120" w:lineRule="exact"/>
        <w:rPr>
          <w:sz w:val="20"/>
          <w:szCs w:val="20"/>
          <w:color w:val="auto"/>
        </w:rPr>
      </w:pPr>
    </w:p>
    <w:p>
      <w:pPr>
        <w:ind w:right="60" w:firstLine="419"/>
        <w:spacing w:after="0" w:line="254" w:lineRule="auto"/>
        <w:rPr>
          <w:sz w:val="20"/>
          <w:szCs w:val="20"/>
          <w:color w:val="auto"/>
        </w:rPr>
      </w:pPr>
      <w:r>
        <w:rPr>
          <w:rFonts w:ascii="Arial" w:cs="Arial" w:eastAsia="Arial" w:hAnsi="Arial"/>
          <w:sz w:val="17"/>
          <w:szCs w:val="17"/>
          <w:color w:val="auto"/>
        </w:rPr>
        <w:t>On September 9, 2022, a joint venture in which the Company has an approximate 33.67% interest modified the mortgage loan collateralized by its Safeco Plaza property located in Seattle, Washington. At the time of the modification, the loan’s outstanding balance totaled $250.0 million, bore interest at a variable rate equal to the greater of (x) 2.35% or (y) LIBOR plus 2.20% per annum, and was scheduled to mature on September 1, 2026. The modified mortgage loan bears interest at a variable rate equal to the greater of (x) 2.35% or (y) SOFR plus 2.32% per annum and continues to mature on September 1, 2026. In conjunction with the loan modification, the joint venture entered into an interest rate cap agreement that capped SOFR at 2.50% per annum on a notional amount of $250.0 million through September 1, 2023. Safeco Plaza is a premier workplace with approximately 765,000 net rentable square feet.</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275" w:right="37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Unsecured Term Loan</w:t>
      </w:r>
    </w:p>
    <w:p>
      <w:pPr>
        <w:spacing w:after="0" w:line="84" w:lineRule="exact"/>
        <w:rPr>
          <w:sz w:val="20"/>
          <w:szCs w:val="20"/>
          <w:color w:val="auto"/>
        </w:rPr>
      </w:pPr>
    </w:p>
    <w:p>
      <w:pPr>
        <w:ind w:right="440" w:firstLine="419"/>
        <w:spacing w:after="0" w:line="283" w:lineRule="auto"/>
        <w:rPr>
          <w:sz w:val="20"/>
          <w:szCs w:val="20"/>
          <w:color w:val="auto"/>
        </w:rPr>
      </w:pPr>
      <w:r>
        <w:rPr>
          <w:rFonts w:ascii="Arial" w:cs="Arial" w:eastAsia="Arial" w:hAnsi="Arial"/>
          <w:sz w:val="17"/>
          <w:szCs w:val="17"/>
          <w:color w:val="auto"/>
        </w:rPr>
        <w:t>On May 17, 2022, BPLP entered into an unsecured credit agreement (the “Unsecured Term Loan”) providing for a single borrowing of up to $730.0 million. The Unsecured Term Loan matures on May 16, 2023.</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At BPLP’s option, the Unsecured Term Loan will bear interest at a rate per annum equal to (A) (1) a base rate per annum equal to the greater of</w:t>
      </w:r>
    </w:p>
    <w:p>
      <w:pPr>
        <w:spacing w:after="0" w:line="24" w:lineRule="exact"/>
        <w:rPr>
          <w:sz w:val="20"/>
          <w:szCs w:val="20"/>
          <w:color w:val="auto"/>
        </w:rPr>
      </w:pPr>
    </w:p>
    <w:p>
      <w:pPr>
        <w:ind w:right="160" w:firstLine="2"/>
        <w:spacing w:after="0" w:line="252" w:lineRule="auto"/>
        <w:tabs>
          <w:tab w:leader="none" w:pos="25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funds rate plus 0.5%, (b) the administrative agent’s prime rate, (c) term SOFR plus 1.00% and (d) 1.00%, or (2) a term SOFR rate per annum equal to the forward-looking SOFR term rate administered by CME Group Benchmark Administration (“CME”) two business days prior to the commencement of such interest period; or if the rate is unavailable, then the forward-looking SOFR term rate administered by CME on the first business day immediately prior thereto, in each case, plus 0.10%, and (B) a margin ranging from zero to 160 basis points based on BPLP’s credit rating.</w:t>
      </w:r>
    </w:p>
    <w:p>
      <w:pPr>
        <w:spacing w:after="0" w:line="125" w:lineRule="exact"/>
        <w:rPr>
          <w:sz w:val="20"/>
          <w:szCs w:val="20"/>
          <w:color w:val="auto"/>
        </w:rPr>
      </w:pPr>
    </w:p>
    <w:p>
      <w:pPr>
        <w:ind w:firstLine="419"/>
        <w:spacing w:after="0" w:line="266" w:lineRule="auto"/>
        <w:rPr>
          <w:sz w:val="20"/>
          <w:szCs w:val="20"/>
          <w:color w:val="auto"/>
        </w:rPr>
      </w:pPr>
      <w:r>
        <w:rPr>
          <w:rFonts w:ascii="Arial" w:cs="Arial" w:eastAsia="Arial" w:hAnsi="Arial"/>
          <w:sz w:val="17"/>
          <w:szCs w:val="17"/>
          <w:color w:val="auto"/>
        </w:rPr>
        <w:t>On May 17, 2022, BPLP exercised its option to draw $730.0 million under the Unsecured Term Loan (See Note 3). As of September 30, 2022, the Unsecured Term Loan bears interest at a variable rate equal to term SOFR plus 0.95% per annum based on BPLP’s credit rating at September 30, 2022. At September 30, 2022, BPLP had $730.0 million outstanding under the Unsecured Term Loan.</w:t>
      </w:r>
    </w:p>
    <w:p>
      <w:pPr>
        <w:spacing w:after="0" w:line="112" w:lineRule="exact"/>
        <w:rPr>
          <w:sz w:val="20"/>
          <w:szCs w:val="20"/>
          <w:color w:val="auto"/>
        </w:rPr>
      </w:pPr>
    </w:p>
    <w:p>
      <w:pPr>
        <w:ind w:right="40" w:firstLine="419"/>
        <w:spacing w:after="0" w:line="254" w:lineRule="auto"/>
        <w:rPr>
          <w:sz w:val="20"/>
          <w:szCs w:val="20"/>
          <w:color w:val="auto"/>
        </w:rPr>
      </w:pPr>
      <w:r>
        <w:rPr>
          <w:rFonts w:ascii="Arial" w:cs="Arial" w:eastAsia="Arial" w:hAnsi="Arial"/>
          <w:sz w:val="17"/>
          <w:szCs w:val="17"/>
          <w:color w:val="auto"/>
        </w:rPr>
        <w:t xml:space="preserve">The Unsecured Term Loan contains customary representations and warranties, affirmative and negative covenants and events of default provisions, including the failure to pay indebtedness, breaches of covenants and bankruptcy and other insolvency events, which could result in the acceleration of the obligation to repay any outstanding amount under the Unsecured Term Loan. Among other covenants, the Unsecured Term Loan requires that BPLP maintain on an ongoing basis: (1) a leverage ratio not to exceed 60%, however, the leverage ratio may increase to no greater than 65% provided that it is reduced back to 60% within one year, (2) a secured debt leverage ratio not to exceed 55%, (3) a fixed charge coverage ratio of at least 1.40, (4) an unsecured debt leverage ratio not to exceed 60%, however, the unsecured debt leverage ratio may increase to no greater than 65% provided that it is reduced to 60% within one year, (5) an unsecured debt interest coverage ratio of at least 1.75 and (6) limitations on permitted investments. At </w:t>
      </w:r>
      <w:r>
        <w:rPr>
          <w:rFonts w:ascii="Arial" w:cs="Arial" w:eastAsia="Arial" w:hAnsi="Arial"/>
          <w:sz w:val="15"/>
          <w:szCs w:val="15"/>
          <w:color w:val="auto"/>
        </w:rPr>
        <w:t>S</w:t>
      </w:r>
      <w:r>
        <w:rPr>
          <w:rFonts w:ascii="Arial" w:cs="Arial" w:eastAsia="Arial" w:hAnsi="Arial"/>
          <w:sz w:val="17"/>
          <w:szCs w:val="17"/>
          <w:color w:val="auto"/>
        </w:rPr>
        <w:t>eptember 30, 2022, BPLP was in compliance with each of these financial and other covenant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Commitments and Contingencies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General</w:t>
      </w:r>
    </w:p>
    <w:p>
      <w:pPr>
        <w:spacing w:after="0" w:line="82" w:lineRule="exact"/>
        <w:rPr>
          <w:sz w:val="20"/>
          <w:szCs w:val="20"/>
          <w:color w:val="auto"/>
        </w:rPr>
      </w:pPr>
    </w:p>
    <w:p>
      <w:pPr>
        <w:ind w:right="380" w:firstLine="419"/>
        <w:spacing w:after="0" w:line="260" w:lineRule="auto"/>
        <w:rPr>
          <w:sz w:val="20"/>
          <w:szCs w:val="20"/>
          <w:color w:val="auto"/>
        </w:rPr>
      </w:pPr>
      <w:r>
        <w:rPr>
          <w:rFonts w:ascii="Arial" w:cs="Arial" w:eastAsia="Arial" w:hAnsi="Arial"/>
          <w:sz w:val="17"/>
          <w:szCs w:val="17"/>
          <w:color w:val="auto"/>
        </w:rPr>
        <w:t>In the normal course of business, the Company guarantees its performance of services or indemnifies third parties against its negligence. In addition, in the normal course of business, the Company guarantees to certain clients the obligations of its subsidiaries for the payment of tenant improvement allowances and brokerage commissions in connection with their leases and limited costs arising from delays in delivery of their premises.</w:t>
      </w:r>
    </w:p>
    <w:p>
      <w:pPr>
        <w:spacing w:after="0" w:line="118" w:lineRule="exact"/>
        <w:rPr>
          <w:sz w:val="20"/>
          <w:szCs w:val="20"/>
          <w:color w:val="auto"/>
        </w:rPr>
      </w:pPr>
    </w:p>
    <w:p>
      <w:pPr>
        <w:ind w:right="260" w:firstLine="419"/>
        <w:spacing w:after="0" w:line="283" w:lineRule="auto"/>
        <w:rPr>
          <w:sz w:val="20"/>
          <w:szCs w:val="20"/>
          <w:color w:val="auto"/>
        </w:rPr>
      </w:pPr>
      <w:r>
        <w:rPr>
          <w:rFonts w:ascii="Arial" w:cs="Arial" w:eastAsia="Arial" w:hAnsi="Arial"/>
          <w:sz w:val="17"/>
          <w:szCs w:val="17"/>
          <w:color w:val="auto"/>
        </w:rPr>
        <w:t>The Company had letter of credit and performance obligations related to lender and development requirements that total approximately $26.5 million at September 30, 2022.</w:t>
      </w:r>
    </w:p>
    <w:p>
      <w:pPr>
        <w:spacing w:after="0" w:line="97" w:lineRule="exact"/>
        <w:rPr>
          <w:sz w:val="20"/>
          <w:szCs w:val="20"/>
          <w:color w:val="auto"/>
        </w:rPr>
      </w:pPr>
    </w:p>
    <w:p>
      <w:pPr>
        <w:ind w:right="100" w:firstLine="419"/>
        <w:spacing w:after="0" w:line="266" w:lineRule="auto"/>
        <w:rPr>
          <w:sz w:val="20"/>
          <w:szCs w:val="20"/>
          <w:color w:val="auto"/>
        </w:rPr>
      </w:pPr>
      <w:r>
        <w:rPr>
          <w:rFonts w:ascii="Arial" w:cs="Arial" w:eastAsia="Arial" w:hAnsi="Arial"/>
          <w:sz w:val="17"/>
          <w:szCs w:val="17"/>
          <w:color w:val="auto"/>
        </w:rPr>
        <w:t>Certain of the Company’s joint venture agreements include provisions whereby, at certain specified times, each partner has the right to initiate a purchase or sale of its interest in the joint ventures. From time to time, under certain of the Company’s joint venture agreements, if certain return thresholds are achieved, either the Company or its partners may be entitled to an additional promoted interest or payments.</w:t>
      </w:r>
    </w:p>
    <w:p>
      <w:pPr>
        <w:spacing w:after="0" w:line="112" w:lineRule="exact"/>
        <w:rPr>
          <w:sz w:val="20"/>
          <w:szCs w:val="20"/>
          <w:color w:val="auto"/>
        </w:rPr>
      </w:pPr>
    </w:p>
    <w:p>
      <w:pPr>
        <w:ind w:right="160" w:firstLine="419"/>
        <w:spacing w:after="0" w:line="256" w:lineRule="auto"/>
        <w:rPr>
          <w:sz w:val="20"/>
          <w:szCs w:val="20"/>
          <w:color w:val="auto"/>
        </w:rPr>
      </w:pPr>
      <w:r>
        <w:rPr>
          <w:rFonts w:ascii="Arial" w:cs="Arial" w:eastAsia="Arial" w:hAnsi="Arial"/>
          <w:sz w:val="17"/>
          <w:szCs w:val="17"/>
          <w:color w:val="auto"/>
        </w:rPr>
        <w:t>From time to time, the Company (or ventures in which the Company has an ownership interest) has agreed, and may in the future agree, to (1) guarantee portions of the principal, interest and other amounts in connection with their borrowings, (2) provide customary environmental indemnifications and nonrecourse carve-outs (e.g., guarantees against fraud, misrepresentation and bankruptcy) in connection with their borrowings and (3) provide guarantees to lenders, clients and other third parties for the completion of development projects. The Company has agreements with its outside or joint venture partners whereby the partners agree to reimburse the joint venture for their share of any payments made under the guarantee. In some cases, the Company earns a fee from the applicable joint venture for providing the guarantee.</w:t>
      </w:r>
    </w:p>
    <w:p>
      <w:pPr>
        <w:spacing w:after="0" w:line="120" w:lineRule="exact"/>
        <w:rPr>
          <w:sz w:val="20"/>
          <w:szCs w:val="20"/>
          <w:color w:val="auto"/>
        </w:rPr>
      </w:pPr>
    </w:p>
    <w:p>
      <w:pPr>
        <w:ind w:right="40" w:firstLine="419"/>
        <w:spacing w:after="0" w:line="257" w:lineRule="auto"/>
        <w:rPr>
          <w:sz w:val="20"/>
          <w:szCs w:val="20"/>
          <w:color w:val="auto"/>
        </w:rPr>
      </w:pPr>
      <w:r>
        <w:rPr>
          <w:rFonts w:ascii="Arial" w:cs="Arial" w:eastAsia="Arial" w:hAnsi="Arial"/>
          <w:sz w:val="17"/>
          <w:szCs w:val="17"/>
          <w:color w:val="auto"/>
        </w:rPr>
        <w:t>In connection with the refinancing of 767 Fifth Avenue’s (the General Motors Building) secured loan by the Company’s consolidated joint venture entity, 767 Venture, LLC, the Company guaranteed the consolidated entity’s obligation to fund various reserves for tenant improvement costs and allowances, leasing commissions and free rent obligations in lieu of cash deposits. As of September 30, 2022, the maximum funding obligation under the guarantee was approximately $14.9 million. The Company earns a fee from the joint venture for providing the guarantee and has an agreement with the outside partners to reimburse the joint venture for their share of any</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color w:val="auto"/>
        </w:rPr>
        <w:t>payments made under the guarantee. As of September 30, 2022, no amounts related to the guarantee were recorded as liabilities in the Company’s consolidated financial statements.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connection with the development of the 7750 Wisconsin Avenue office property located in Bethesda, Maryland, the Company entered into</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agreements with affiliates of The Bernstein Companies (the Company’s partner in the 7750 Wisconsin Avenue joint venture) under which the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Company could be required to act as a mezzanine and/or mortgage lender and finance the construction of the hotel property being developed by an</w:t>
      </w:r>
    </w:p>
    <w:p>
      <w:pPr>
        <w:spacing w:after="0" w:line="8" w:lineRule="exact"/>
        <w:rPr>
          <w:sz w:val="20"/>
          <w:szCs w:val="20"/>
          <w:color w:val="auto"/>
        </w:rPr>
      </w:pPr>
    </w:p>
    <w:p>
      <w:pPr>
        <w:spacing w:after="0"/>
        <w:tabs>
          <w:tab w:leader="none" w:pos="5160" w:val="left"/>
        </w:tabs>
        <w:rPr>
          <w:sz w:val="20"/>
          <w:szCs w:val="20"/>
          <w:color w:val="auto"/>
        </w:rPr>
      </w:pPr>
      <w:r>
        <w:rPr>
          <w:rFonts w:ascii="Arial" w:cs="Arial" w:eastAsia="Arial" w:hAnsi="Arial"/>
          <w:sz w:val="17"/>
          <w:szCs w:val="17"/>
          <w:color w:val="auto"/>
        </w:rPr>
        <w:t>affiliate of The Bernstein Companies adjacent to the office property.</w:t>
      </w:r>
      <w:r>
        <w:rPr>
          <w:sz w:val="20"/>
          <w:szCs w:val="20"/>
          <w:color w:val="auto"/>
        </w:rPr>
        <w:tab/>
      </w:r>
      <w:r>
        <w:rPr>
          <w:rFonts w:ascii="Arial" w:cs="Arial" w:eastAsia="Arial" w:hAnsi="Arial"/>
          <w:sz w:val="16"/>
          <w:szCs w:val="16"/>
          <w:color w:val="auto"/>
        </w:rPr>
        <w:t>An affiliate of The Bernstein Companies exercised its option to borrow</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$10.0 million from the Company under such agreements, and the Company provided the financing on June 1, 2020. The financing bore interest at a</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fixed rate of 8.00% per annum, compounded monthly, and was scheduled to mature on the fifth anniversary of the date on which the base building of</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the affiliate of The Bernstein Companies’ hotel property was substantially completed. On June 27, 2022, the borrower repaid the loan in full, including</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approximately $1.6 million of accrued interest. The financing was recorded as Note Receivable, Net in the Company’s Consolidated Balance Sheets.</w:t>
      </w:r>
    </w:p>
    <w:p>
      <w:pPr>
        <w:spacing w:after="0" w:line="144" w:lineRule="exact"/>
        <w:rPr>
          <w:sz w:val="20"/>
          <w:szCs w:val="20"/>
          <w:color w:val="auto"/>
        </w:rPr>
      </w:pPr>
    </w:p>
    <w:p>
      <w:pPr>
        <w:ind w:right="80" w:firstLine="419"/>
        <w:spacing w:after="0" w:line="254" w:lineRule="auto"/>
        <w:rPr>
          <w:sz w:val="20"/>
          <w:szCs w:val="20"/>
          <w:color w:val="auto"/>
        </w:rPr>
      </w:pPr>
      <w:r>
        <w:rPr>
          <w:rFonts w:ascii="Arial" w:cs="Arial" w:eastAsia="Arial" w:hAnsi="Arial"/>
          <w:sz w:val="17"/>
          <w:szCs w:val="17"/>
          <w:color w:val="auto"/>
        </w:rPr>
        <w:t>In connection with the redevelopment of the Company’s 325 Main Street property located in Cambridge, Massachusetts, the Company was required pursuant to the local zoning ordinance and urban renewal plan to commence construction of a residential building of at least 200,000 square feet with 25% of the project designated as income-restricted (with a minimum of 20% of the square footage devoted to home ownership units) prior to the occupancy of the 325 Main Street property. Each of the zoning ordinance and urban renewal plan was amended to decouple the residential requirement from the occupancy of the 325 Main Street property. 325 Main Street consisted of an approximately 115,000 net rentable square foot premier workplace that was demolished and redeveloped into an approximately 414,000 net rentable square foot premier workplace. While the amendment to the urban renewal plan is subject to completion of administrative processes, the City of Cambridge issued a temporary certificate of occupancy in the second quarter of 2022 (See Note 3).</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Insurance</w:t>
      </w:r>
    </w:p>
    <w:p>
      <w:pPr>
        <w:spacing w:after="0" w:line="82" w:lineRule="exact"/>
        <w:rPr>
          <w:sz w:val="20"/>
          <w:szCs w:val="20"/>
          <w:color w:val="auto"/>
        </w:rPr>
      </w:pPr>
    </w:p>
    <w:p>
      <w:pPr>
        <w:ind w:firstLine="419"/>
        <w:spacing w:after="0" w:line="251" w:lineRule="auto"/>
        <w:rPr>
          <w:sz w:val="20"/>
          <w:szCs w:val="20"/>
          <w:color w:val="auto"/>
        </w:rPr>
      </w:pPr>
      <w:r>
        <w:rPr>
          <w:rFonts w:ascii="Arial" w:cs="Arial" w:eastAsia="Arial" w:hAnsi="Arial"/>
          <w:sz w:val="17"/>
          <w:szCs w:val="17"/>
          <w:color w:val="auto"/>
        </w:rPr>
        <w:t>The Company’s property insurance program per occurrence limits are $1.0 billion for its portfolio insurance program, including coverage for acts of terrorism other than nuclear, biological, chemical or radiological terrorism (“Terrorism Coverage”). The Company also carries $1.35 billion of property insurance in excess of the $1.0 billion of coverage in the Company’s property insurance program for 601 Lexington Avenue, New York, New York, consisting of $ 750 million of property and Terrorism Coverage in excess of the Company’s property insurance program and $600 million of Terrorism Coverage only in excess of the $1.75 billion of coverage. Certain properties, including the General Motors Building located at 767 Fifth Avenue in New York, New York (“767 Fifth Avenue”), are currently insured in separate insurance programs. The property insurance program per occurrence limits for 767 Fifth Avenue are $1.625 billion, including Terrorism Coverage. The Company also currently carries nuclear, biological, chemical and radiological terrorism insurance coverage for acts of terrorism certified under the Federal Terrorism Risk Insurance Act (as amended, “TRIA”) (“NBCR Coverage”), which is provided by IXP as a direct insurer, for the properties in the Company’s portfolio, including 767 Fifth Avenue, but excluding certain other properties owned in joint ventures with third parties or which the Company manages. The per occurrence limit for NBCR Coverage is $1.0 billion. Under TRIA, after the payment of the required deductible and coinsurance, the NBCR Coverage provided by IXP is backstopped by the Federal Government if the aggregate industry insured losses resulting from a certified act of terrorism exceed a “program trigger.” The program trigger is $200 million, the coinsurance is 20% and the deductible is 20% of the premiums earned by the insurer for the year prior to a claim. If the Federal Government pays out for a loss under TRIA, it is mandatory that the Federal Government recoup the full amount of the loss from insurers offering TRIA coverage after the payment of the loss pursuant to a formula in TRIA. The Company may elect to terminate the NBCR Coverage if the Federal Government seeks recoupment for losses paid under TRIA, if TRIA is not extended after its expiration on December 31, 2027, if there is a change in its portfolio or for any other reason. The Company intends to continue to monitor the scope, nature and cost of available terrorism insurance.</w:t>
      </w:r>
    </w:p>
    <w:p>
      <w:pPr>
        <w:spacing w:after="0" w:line="128" w:lineRule="exact"/>
        <w:rPr>
          <w:sz w:val="20"/>
          <w:szCs w:val="20"/>
          <w:color w:val="auto"/>
        </w:rPr>
      </w:pPr>
    </w:p>
    <w:p>
      <w:pPr>
        <w:ind w:firstLine="419"/>
        <w:spacing w:after="0" w:line="254" w:lineRule="auto"/>
        <w:rPr>
          <w:sz w:val="20"/>
          <w:szCs w:val="20"/>
          <w:color w:val="auto"/>
        </w:rPr>
      </w:pPr>
      <w:r>
        <w:rPr>
          <w:rFonts w:ascii="Arial" w:cs="Arial" w:eastAsia="Arial" w:hAnsi="Arial"/>
          <w:sz w:val="17"/>
          <w:szCs w:val="17"/>
          <w:color w:val="auto"/>
        </w:rPr>
        <w:t>The Company also currently carries earthquake insurance on its properties located in areas known to be subject to earthquakes. Specifically, the Company currently carries earthquake insurance which covers its San Francisco and Los Angeles regions with a $330 million per occurrence limit, and a $ 330 million annual aggregate limit, $30 million of which is provided by IXP, as a direct insurer. This insurance is subject to a deductible in the amount of 3% of the value of the affected property. In addition, the Company currently carries earthquake insurance which covers its Seattle region with a $110 million per occurrence limit, and a $110 million annual aggregate limit. This insurance is subject to a deductible in the amount of 2% of the value of the affected property. The amount of the Company’s earthquake insurance coverage may not be sufficient to cover losses from earthquakes. In addition,</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0"/>
        <w:spacing w:after="0" w:line="266" w:lineRule="auto"/>
        <w:rPr>
          <w:sz w:val="20"/>
          <w:szCs w:val="20"/>
          <w:color w:val="auto"/>
        </w:rPr>
      </w:pPr>
      <w:r>
        <w:rPr>
          <w:rFonts w:ascii="Arial" w:cs="Arial" w:eastAsia="Arial" w:hAnsi="Arial"/>
          <w:sz w:val="17"/>
          <w:szCs w:val="17"/>
          <w:color w:val="auto"/>
        </w:rPr>
        <w:t>the amount of earthquake coverage could impact the Company’s ability to finance properties subject to earthquake risk. The Company may discontinue earthquake insurance or change the structure of its earthquake insurance program on some or all of its properties in the future if the premiums exceed the Company’s estimation of the value of the coverage.</w:t>
      </w:r>
    </w:p>
    <w:p>
      <w:pPr>
        <w:spacing w:after="0" w:line="112" w:lineRule="exact"/>
        <w:rPr>
          <w:sz w:val="20"/>
          <w:szCs w:val="20"/>
          <w:color w:val="auto"/>
        </w:rPr>
      </w:pPr>
    </w:p>
    <w:p>
      <w:pPr>
        <w:ind w:right="20" w:firstLine="419"/>
        <w:spacing w:after="0" w:line="253" w:lineRule="auto"/>
        <w:rPr>
          <w:sz w:val="20"/>
          <w:szCs w:val="20"/>
          <w:color w:val="auto"/>
        </w:rPr>
      </w:pPr>
      <w:r>
        <w:rPr>
          <w:rFonts w:ascii="Arial" w:cs="Arial" w:eastAsia="Arial" w:hAnsi="Arial"/>
          <w:sz w:val="17"/>
          <w:szCs w:val="17"/>
          <w:color w:val="auto"/>
        </w:rPr>
        <w:t>IXP, a captive insurance company which is a wholly-owned subsidiary of the Company, acts as a direct insurer with respect to a portion of the Company’s earthquake insurance coverage for its Greater San Francisco and Los Angeles properties and the Company’s NBCR Coverage. Insofar as the Company owns IXP, it is responsible for its liquidity and capital resources, and the accounts of IXP are part of the Company’s consolidated financial statements. In particular, if a loss occurs which is covered by the Company’s NBCR Coverage but is less than the applicable program trigger under TRIA, IXP would be responsible for the full amount of the loss without any backstop by the Federal Government. IXP would also be responsible for any recoupment charges by the Federal Government in the event losses are paid out and its insurance policy is maintained after the payout by the Federal Government. If the Company experiences a loss and IXP is required to pay under its insurance policy, the Company would ultimately record the loss to the extent of the required payment. Therefore, insurance coverage provided by IXP should not be considered as the equivalent of third-party insurance, but rather as a modified form of self-insurance. In addition, BPLP has issued a guarantee to cover liabilities of IXP in the amount of $20.0 million.</w:t>
      </w:r>
    </w:p>
    <w:p>
      <w:pPr>
        <w:spacing w:after="0" w:line="122" w:lineRule="exact"/>
        <w:rPr>
          <w:sz w:val="20"/>
          <w:szCs w:val="20"/>
          <w:color w:val="auto"/>
        </w:rPr>
      </w:pPr>
    </w:p>
    <w:p>
      <w:pPr>
        <w:ind w:right="80" w:firstLine="419"/>
        <w:spacing w:after="0" w:line="254" w:lineRule="auto"/>
        <w:rPr>
          <w:sz w:val="20"/>
          <w:szCs w:val="20"/>
          <w:color w:val="auto"/>
        </w:rPr>
      </w:pPr>
      <w:r>
        <w:rPr>
          <w:rFonts w:ascii="Arial" w:cs="Arial" w:eastAsia="Arial" w:hAnsi="Arial"/>
          <w:sz w:val="17"/>
          <w:szCs w:val="17"/>
          <w:color w:val="auto"/>
        </w:rPr>
        <w:t>The Company continues to monitor the state of the insurance market in general, and the scope and costs of coverage for acts of terrorism, earthquakes and pandemics, in particular, but the Company cannot anticipate what coverage will be available on commercially reasonable terms in future policy years. There are other types of losses, such as from wars, for which the Company cannot obtain insurance at all or at a reasonable cost. With respect to such losses and losses from acts of terrorism, earthquakes, pandemics or other catastrophic events, if the Company experiences a loss that is uninsured or that exceeds policy limits, the Company could lose the capital invested in the damaged properties, as well as the anticipated future revenues from those properties. Depending on the specific circumstances of each affected property, it is possible that the Company could be liable for mortgage indebtedness or other obligations related to the property. Any such loss could materially and adversely affect the Company’s business and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Noncontrolling Interests</w:t>
      </w:r>
    </w:p>
    <w:p>
      <w:pPr>
        <w:spacing w:after="0" w:line="84" w:lineRule="exact"/>
        <w:rPr>
          <w:sz w:val="20"/>
          <w:szCs w:val="20"/>
          <w:color w:val="auto"/>
        </w:rPr>
      </w:pPr>
    </w:p>
    <w:p>
      <w:pPr>
        <w:ind w:right="140" w:firstLine="419"/>
        <w:spacing w:after="0" w:line="257" w:lineRule="auto"/>
        <w:rPr>
          <w:sz w:val="20"/>
          <w:szCs w:val="20"/>
          <w:color w:val="auto"/>
        </w:rPr>
      </w:pPr>
      <w:r>
        <w:rPr>
          <w:rFonts w:ascii="Arial" w:cs="Arial" w:eastAsia="Arial" w:hAnsi="Arial"/>
          <w:sz w:val="17"/>
          <w:szCs w:val="17"/>
          <w:color w:val="auto"/>
        </w:rPr>
        <w:t>Noncontrolling interests relate to the interests in BPLP not owned by BXP and interests in consolidated property partnerships not wholly-owned by the Company. As of September 30, 2022, the noncontrolling interests in BPLP consisted of 16,535,172 OP Units, 1,680,123 LTIP Units (including 464,036 LTIP Units earned by employees under the Company’s multi-year long-term incentive awards granted between 2012 and 2019 (i.e., 2012 OPP and 2013 - 2019 MYLTIP awards)), 203,278 2020 MYLTIP Units, 351,218 2021 MYLTIP Units and 253,627 2022 MYLTIP Units held by parties other than BXP.</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Noncontrolling Interest—Common Units</w:t>
      </w:r>
    </w:p>
    <w:p>
      <w:pPr>
        <w:spacing w:after="0" w:line="96" w:lineRule="exact"/>
        <w:rPr>
          <w:sz w:val="20"/>
          <w:szCs w:val="20"/>
          <w:color w:val="auto"/>
        </w:rPr>
      </w:pPr>
    </w:p>
    <w:p>
      <w:pPr>
        <w:ind w:right="80" w:firstLine="419"/>
        <w:spacing w:after="0" w:line="266" w:lineRule="auto"/>
        <w:rPr>
          <w:sz w:val="20"/>
          <w:szCs w:val="20"/>
          <w:color w:val="auto"/>
        </w:rPr>
      </w:pPr>
      <w:r>
        <w:rPr>
          <w:rFonts w:ascii="Arial" w:cs="Arial" w:eastAsia="Arial" w:hAnsi="Arial"/>
          <w:sz w:val="17"/>
          <w:szCs w:val="17"/>
          <w:color w:val="auto"/>
        </w:rPr>
        <w:t>During the nine months ended September 30, 2022, 178,929 OP Units were presented by the holders for redemption (including an aggregate of 74,249 OP Units issued upon conversion of LTIP Units, 2012 OPP Units and MYLTIP Units) and were redeemed by BXP in exchange for an equal number of shares of Common Stock.</w:t>
      </w:r>
    </w:p>
    <w:p>
      <w:pPr>
        <w:spacing w:after="0" w:line="112" w:lineRule="exact"/>
        <w:rPr>
          <w:sz w:val="20"/>
          <w:szCs w:val="20"/>
          <w:color w:val="auto"/>
        </w:rPr>
      </w:pPr>
    </w:p>
    <w:p>
      <w:pPr>
        <w:ind w:firstLine="419"/>
        <w:spacing w:after="0" w:line="253" w:lineRule="auto"/>
        <w:rPr>
          <w:sz w:val="20"/>
          <w:szCs w:val="20"/>
          <w:color w:val="auto"/>
        </w:rPr>
      </w:pPr>
      <w:r>
        <w:rPr>
          <w:rFonts w:ascii="Arial" w:cs="Arial" w:eastAsia="Arial" w:hAnsi="Arial"/>
          <w:sz w:val="17"/>
          <w:szCs w:val="17"/>
          <w:color w:val="auto"/>
        </w:rPr>
        <w:t>At September 30, 2022, BPLP had outstanding 203,278 2020 MYLTIP Units, 351,218 2021 MYLTIP Units and 253,627 2022 MYLTIP Units. Prior to the end of the respective three-year performance period for each plan, holders of MYLTIP Units are entitled to receive per unit distributions equal to one-tenth (10%) of the regular quarterly distributions payable on an OP Unit, but will not be entitled to receive any special distributions. After the three-year performance period for each plan has ended, (1) the number of MYLTIP Units, both vested and unvested, that MYLTIP award recipients have earned, if any, based on the establishment of a performance pool, will be entitled to receive distributions in an amount per unit equal to distributions, both regular and special, payable on an OP Unit and (2) with respect to the 2021 MYLTIP and 2022 MYLTIP only, the Company will make a “catch-up” cash payment on the MYLTIP Units that are ultimately earned in an amount equal to the regular and special dividends, if any, declared during the performance period on Common Stock, less the distributions actually paid during the performance period on all of the awarded 2021 MYLTIP Units and 2022 MYLTIP Units.</w:t>
      </w:r>
    </w:p>
    <w:p>
      <w:pPr>
        <w:spacing w:after="0" w:line="125" w:lineRule="exact"/>
        <w:rPr>
          <w:sz w:val="20"/>
          <w:szCs w:val="20"/>
          <w:color w:val="auto"/>
        </w:rPr>
      </w:pPr>
    </w:p>
    <w:p>
      <w:pPr>
        <w:jc w:val="both"/>
        <w:ind w:right="100" w:firstLine="419"/>
        <w:spacing w:after="0" w:line="266" w:lineRule="auto"/>
        <w:rPr>
          <w:sz w:val="20"/>
          <w:szCs w:val="20"/>
          <w:color w:val="auto"/>
        </w:rPr>
      </w:pPr>
      <w:r>
        <w:rPr>
          <w:rFonts w:ascii="Arial" w:cs="Arial" w:eastAsia="Arial" w:hAnsi="Arial"/>
          <w:sz w:val="17"/>
          <w:szCs w:val="17"/>
          <w:color w:val="auto"/>
        </w:rPr>
        <w:t>On February 4, 2022, the measurement period for the Company’s 2019 MYLTIP awards ended and, based on BXP’s relative TSR performance, the final payout was determined to be 69.0% of target, or an aggregate of approximately $8.6 million (after giving effect to employee separations). As a result, an aggregate of 144,043 2019 MYLTIP Units that had been previously granted were automatically forfeited.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419"/>
        <w:spacing w:after="0" w:line="260" w:lineRule="auto"/>
        <w:rPr>
          <w:sz w:val="20"/>
          <w:szCs w:val="20"/>
          <w:color w:val="auto"/>
        </w:rPr>
      </w:pPr>
      <w:r>
        <w:rPr>
          <w:rFonts w:ascii="Arial" w:cs="Arial" w:eastAsia="Arial" w:hAnsi="Arial"/>
          <w:sz w:val="17"/>
          <w:szCs w:val="17"/>
          <w:color w:val="auto"/>
        </w:rPr>
        <w:t>The following table presents BPLP’s distributions on the OP Units and LTIP Units (including the 2012 OPP Units, 2013 - 2018 MYLTIP Units and, after the February 4, 2022 measurement date, the 2019 MYLTIP Units) and its distributions on the 2019 MYLTIP Units (prior to the February 4, 2022 measurement date) and 2020 - 2022 MYLTIP Units (after the February 1, 2022 issuance date of the 2022 MYLTIP Units) that occurred during the nine months ended September 30,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2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Record Date</w:t>
            </w:r>
          </w:p>
        </w:tc>
        <w:tc>
          <w:tcPr>
            <w:tcW w:w="28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Payment Date</w:t>
            </w:r>
          </w:p>
        </w:tc>
        <w:tc>
          <w:tcPr>
            <w:tcW w:w="26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Distributions per OP Unit and</w:t>
            </w:r>
          </w:p>
        </w:tc>
        <w:tc>
          <w:tcPr>
            <w:tcW w:w="2340" w:type="dxa"/>
            <w:vAlign w:val="bottom"/>
            <w:vMerge w:val="restart"/>
          </w:tcPr>
          <w:p>
            <w:pPr>
              <w:jc w:val="right"/>
              <w:ind w:right="17"/>
              <w:spacing w:after="0"/>
              <w:rPr>
                <w:sz w:val="20"/>
                <w:szCs w:val="20"/>
                <w:color w:val="auto"/>
              </w:rPr>
            </w:pPr>
            <w:r>
              <w:rPr>
                <w:rFonts w:ascii="Arial" w:cs="Arial" w:eastAsia="Arial" w:hAnsi="Arial"/>
                <w:sz w:val="15"/>
                <w:szCs w:val="15"/>
                <w:b w:val="1"/>
                <w:bCs w:val="1"/>
                <w:color w:val="auto"/>
              </w:rPr>
              <w:t>Distributions per MYLTIP Unit</w:t>
            </w:r>
          </w:p>
        </w:tc>
        <w:tc>
          <w:tcPr>
            <w:tcW w:w="0" w:type="dxa"/>
            <w:vAlign w:val="bottom"/>
          </w:tcPr>
          <w:p>
            <w:pPr>
              <w:spacing w:after="0"/>
              <w:rPr>
                <w:sz w:val="1"/>
                <w:szCs w:val="1"/>
                <w:color w:val="auto"/>
              </w:rPr>
            </w:pPr>
          </w:p>
        </w:tc>
      </w:tr>
      <w:tr>
        <w:trPr>
          <w:trHeight w:val="203"/>
        </w:trPr>
        <w:tc>
          <w:tcPr>
            <w:tcW w:w="3420" w:type="dxa"/>
            <w:vAlign w:val="bottom"/>
            <w:gridSpan w:val="2"/>
            <w:vMerge w:val="continue"/>
          </w:tcPr>
          <w:p>
            <w:pPr>
              <w:spacing w:after="0"/>
              <w:rPr>
                <w:sz w:val="17"/>
                <w:szCs w:val="17"/>
                <w:color w:val="auto"/>
              </w:rPr>
            </w:pPr>
          </w:p>
        </w:tc>
        <w:tc>
          <w:tcPr>
            <w:tcW w:w="2860" w:type="dxa"/>
            <w:vAlign w:val="bottom"/>
            <w:gridSpan w:val="2"/>
            <w:vMerge w:val="continue"/>
          </w:tcPr>
          <w:p>
            <w:pPr>
              <w:spacing w:after="0"/>
              <w:rPr>
                <w:sz w:val="17"/>
                <w:szCs w:val="17"/>
                <w:color w:val="auto"/>
              </w:rPr>
            </w:pPr>
          </w:p>
        </w:tc>
        <w:tc>
          <w:tcPr>
            <w:tcW w:w="26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LTIP Unit</w:t>
            </w: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September 30, 2022</w:t>
            </w:r>
          </w:p>
        </w:tc>
        <w:tc>
          <w:tcPr>
            <w:tcW w:w="16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October 31, 2022</w:t>
            </w:r>
          </w:p>
        </w:tc>
        <w:tc>
          <w:tcPr>
            <w:tcW w:w="16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26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$0.098</w:t>
            </w:r>
          </w:p>
        </w:tc>
        <w:tc>
          <w:tcPr>
            <w:tcW w:w="0" w:type="dxa"/>
            <w:vAlign w:val="bottom"/>
          </w:tcPr>
          <w:p>
            <w:pPr>
              <w:spacing w:after="0"/>
              <w:rPr>
                <w:sz w:val="1"/>
                <w:szCs w:val="1"/>
                <w:color w:val="auto"/>
              </w:rPr>
            </w:pPr>
          </w:p>
        </w:tc>
      </w:tr>
      <w:tr>
        <w:trPr>
          <w:trHeight w:val="216"/>
        </w:trPr>
        <w:tc>
          <w:tcPr>
            <w:tcW w:w="3420" w:type="dxa"/>
            <w:vAlign w:val="bottom"/>
            <w:gridSpan w:val="2"/>
          </w:tcPr>
          <w:p>
            <w:pPr>
              <w:ind w:left="20"/>
              <w:spacing w:after="0"/>
              <w:rPr>
                <w:sz w:val="20"/>
                <w:szCs w:val="20"/>
                <w:color w:val="auto"/>
              </w:rPr>
            </w:pPr>
            <w:r>
              <w:rPr>
                <w:rFonts w:ascii="Arial" w:cs="Arial" w:eastAsia="Arial" w:hAnsi="Arial"/>
                <w:sz w:val="17"/>
                <w:szCs w:val="17"/>
                <w:color w:val="auto"/>
              </w:rPr>
              <w:t>June 30, 2022</w:t>
            </w:r>
          </w:p>
        </w:tc>
        <w:tc>
          <w:tcPr>
            <w:tcW w:w="2860" w:type="dxa"/>
            <w:vAlign w:val="bottom"/>
            <w:gridSpan w:val="2"/>
          </w:tcPr>
          <w:p>
            <w:pPr>
              <w:ind w:left="20"/>
              <w:spacing w:after="0"/>
              <w:rPr>
                <w:sz w:val="20"/>
                <w:szCs w:val="20"/>
                <w:color w:val="auto"/>
              </w:rPr>
            </w:pPr>
            <w:r>
              <w:rPr>
                <w:rFonts w:ascii="Arial" w:cs="Arial" w:eastAsia="Arial" w:hAnsi="Arial"/>
                <w:sz w:val="17"/>
                <w:szCs w:val="17"/>
                <w:color w:val="auto"/>
              </w:rPr>
              <w:t>July 29, 2022</w:t>
            </w:r>
          </w:p>
        </w:tc>
        <w:tc>
          <w:tcPr>
            <w:tcW w:w="2340" w:type="dxa"/>
            <w:vAlign w:val="bottom"/>
          </w:tcPr>
          <w:p>
            <w:pPr>
              <w:jc w:val="right"/>
              <w:spacing w:after="0"/>
              <w:rPr>
                <w:sz w:val="20"/>
                <w:szCs w:val="20"/>
                <w:color w:val="auto"/>
              </w:rPr>
            </w:pPr>
            <w:r>
              <w:rPr>
                <w:rFonts w:ascii="Arial" w:cs="Arial" w:eastAsia="Arial" w:hAnsi="Arial"/>
                <w:sz w:val="17"/>
                <w:szCs w:val="17"/>
                <w:color w:val="auto"/>
              </w:rPr>
              <w:t>$0.98</w:t>
            </w:r>
          </w:p>
        </w:tc>
        <w:tc>
          <w:tcPr>
            <w:tcW w:w="2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7"/>
                <w:szCs w:val="17"/>
                <w:color w:val="auto"/>
              </w:rPr>
              <w:t>$0.098</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March 31, 2022</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April 29, 2022</w:t>
            </w:r>
          </w:p>
        </w:tc>
        <w:tc>
          <w:tcPr>
            <w:tcW w:w="2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2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$0.098</w:t>
            </w:r>
          </w:p>
        </w:tc>
        <w:tc>
          <w:tcPr>
            <w:tcW w:w="0" w:type="dxa"/>
            <w:vAlign w:val="bottom"/>
          </w:tcPr>
          <w:p>
            <w:pPr>
              <w:spacing w:after="0"/>
              <w:rPr>
                <w:sz w:val="1"/>
                <w:szCs w:val="1"/>
                <w:color w:val="auto"/>
              </w:rPr>
            </w:pPr>
          </w:p>
        </w:tc>
      </w:tr>
      <w:tr>
        <w:trPr>
          <w:trHeight w:val="223"/>
        </w:trPr>
        <w:tc>
          <w:tcPr>
            <w:tcW w:w="3420" w:type="dxa"/>
            <w:vAlign w:val="bottom"/>
            <w:gridSpan w:val="2"/>
          </w:tcPr>
          <w:p>
            <w:pPr>
              <w:ind w:left="20"/>
              <w:spacing w:after="0"/>
              <w:rPr>
                <w:sz w:val="20"/>
                <w:szCs w:val="20"/>
                <w:color w:val="auto"/>
              </w:rPr>
            </w:pPr>
            <w:r>
              <w:rPr>
                <w:rFonts w:ascii="Arial" w:cs="Arial" w:eastAsia="Arial" w:hAnsi="Arial"/>
                <w:sz w:val="17"/>
                <w:szCs w:val="17"/>
                <w:color w:val="auto"/>
              </w:rPr>
              <w:t>December 31, 2021</w:t>
            </w:r>
          </w:p>
        </w:tc>
        <w:tc>
          <w:tcPr>
            <w:tcW w:w="2860" w:type="dxa"/>
            <w:vAlign w:val="bottom"/>
            <w:gridSpan w:val="2"/>
          </w:tcPr>
          <w:p>
            <w:pPr>
              <w:ind w:left="20"/>
              <w:spacing w:after="0"/>
              <w:rPr>
                <w:sz w:val="20"/>
                <w:szCs w:val="20"/>
                <w:color w:val="auto"/>
              </w:rPr>
            </w:pPr>
            <w:r>
              <w:rPr>
                <w:rFonts w:ascii="Arial" w:cs="Arial" w:eastAsia="Arial" w:hAnsi="Arial"/>
                <w:sz w:val="17"/>
                <w:szCs w:val="17"/>
                <w:color w:val="auto"/>
              </w:rPr>
              <w:t>January 28, 2022</w:t>
            </w:r>
          </w:p>
        </w:tc>
        <w:tc>
          <w:tcPr>
            <w:tcW w:w="2340" w:type="dxa"/>
            <w:vAlign w:val="bottom"/>
          </w:tcPr>
          <w:p>
            <w:pPr>
              <w:jc w:val="right"/>
              <w:spacing w:after="0"/>
              <w:rPr>
                <w:sz w:val="20"/>
                <w:szCs w:val="20"/>
                <w:color w:val="auto"/>
              </w:rPr>
            </w:pPr>
            <w:r>
              <w:rPr>
                <w:rFonts w:ascii="Arial" w:cs="Arial" w:eastAsia="Arial" w:hAnsi="Arial"/>
                <w:sz w:val="17"/>
                <w:szCs w:val="17"/>
                <w:color w:val="auto"/>
              </w:rPr>
              <w:t>$0.98</w:t>
            </w:r>
          </w:p>
        </w:tc>
        <w:tc>
          <w:tcPr>
            <w:tcW w:w="2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7"/>
                <w:szCs w:val="17"/>
                <w:color w:val="auto"/>
              </w:rPr>
              <w:t>$0.098</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firstLine="419"/>
        <w:spacing w:after="0" w:line="260" w:lineRule="auto"/>
        <w:rPr>
          <w:sz w:val="20"/>
          <w:szCs w:val="20"/>
          <w:color w:val="auto"/>
        </w:rPr>
      </w:pPr>
      <w:r>
        <w:rPr>
          <w:rFonts w:ascii="Arial" w:cs="Arial" w:eastAsia="Arial" w:hAnsi="Arial"/>
          <w:sz w:val="17"/>
          <w:szCs w:val="17"/>
          <w:color w:val="auto"/>
        </w:rPr>
        <w:t>The following table presents BPLP’s distributions on the OP Units and LTIP Units (including the 2012 OPP Units, 2013 - 2017 MYLTIP Units and, after the February 5, 2021 measurement date, the 2018 MYLTIP Units) and its distributions on the 2018 MYLTIP Units (prior to the February 5, 2021 measurement date) and 2019 - 2021 MYLTIP Units (after the February 2, 2021 issuance date of the 2021 MYLTIP Units) that occurred during the nine months ended September 30,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Record Date</w:t>
            </w:r>
          </w:p>
        </w:tc>
        <w:tc>
          <w:tcPr>
            <w:tcW w:w="28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Payment Date</w:t>
            </w:r>
          </w:p>
        </w:tc>
        <w:tc>
          <w:tcPr>
            <w:tcW w:w="26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Distributions per OP Unit and</w:t>
            </w:r>
          </w:p>
        </w:tc>
        <w:tc>
          <w:tcPr>
            <w:tcW w:w="2340" w:type="dxa"/>
            <w:vAlign w:val="bottom"/>
            <w:vMerge w:val="restart"/>
          </w:tcPr>
          <w:p>
            <w:pPr>
              <w:jc w:val="right"/>
              <w:ind w:right="17"/>
              <w:spacing w:after="0"/>
              <w:rPr>
                <w:sz w:val="20"/>
                <w:szCs w:val="20"/>
                <w:color w:val="auto"/>
              </w:rPr>
            </w:pPr>
            <w:r>
              <w:rPr>
                <w:rFonts w:ascii="Arial" w:cs="Arial" w:eastAsia="Arial" w:hAnsi="Arial"/>
                <w:sz w:val="15"/>
                <w:szCs w:val="15"/>
                <w:b w:val="1"/>
                <w:bCs w:val="1"/>
                <w:color w:val="auto"/>
              </w:rPr>
              <w:t>Distributions per MYLTIP Unit</w:t>
            </w:r>
          </w:p>
        </w:tc>
        <w:tc>
          <w:tcPr>
            <w:tcW w:w="0" w:type="dxa"/>
            <w:vAlign w:val="bottom"/>
          </w:tcPr>
          <w:p>
            <w:pPr>
              <w:spacing w:after="0"/>
              <w:rPr>
                <w:sz w:val="1"/>
                <w:szCs w:val="1"/>
                <w:color w:val="auto"/>
              </w:rPr>
            </w:pPr>
          </w:p>
        </w:tc>
      </w:tr>
      <w:tr>
        <w:trPr>
          <w:trHeight w:val="203"/>
        </w:trPr>
        <w:tc>
          <w:tcPr>
            <w:tcW w:w="3440" w:type="dxa"/>
            <w:vAlign w:val="bottom"/>
            <w:gridSpan w:val="2"/>
            <w:vMerge w:val="continue"/>
          </w:tcPr>
          <w:p>
            <w:pPr>
              <w:spacing w:after="0"/>
              <w:rPr>
                <w:sz w:val="17"/>
                <w:szCs w:val="17"/>
                <w:color w:val="auto"/>
              </w:rPr>
            </w:pPr>
          </w:p>
        </w:tc>
        <w:tc>
          <w:tcPr>
            <w:tcW w:w="2860" w:type="dxa"/>
            <w:vAlign w:val="bottom"/>
            <w:gridSpan w:val="2"/>
            <w:vMerge w:val="continue"/>
          </w:tcPr>
          <w:p>
            <w:pPr>
              <w:spacing w:after="0"/>
              <w:rPr>
                <w:sz w:val="17"/>
                <w:szCs w:val="17"/>
                <w:color w:val="auto"/>
              </w:rPr>
            </w:pPr>
          </w:p>
        </w:tc>
        <w:tc>
          <w:tcPr>
            <w:tcW w:w="26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LTIP Unit</w:t>
            </w: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September 30, 2021</w:t>
            </w:r>
          </w:p>
        </w:tc>
        <w:tc>
          <w:tcPr>
            <w:tcW w:w="16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October 29, 2021</w:t>
            </w:r>
          </w:p>
        </w:tc>
        <w:tc>
          <w:tcPr>
            <w:tcW w:w="16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26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$0.098</w:t>
            </w:r>
          </w:p>
        </w:tc>
        <w:tc>
          <w:tcPr>
            <w:tcW w:w="0" w:type="dxa"/>
            <w:vAlign w:val="bottom"/>
          </w:tcPr>
          <w:p>
            <w:pPr>
              <w:spacing w:after="0"/>
              <w:rPr>
                <w:sz w:val="1"/>
                <w:szCs w:val="1"/>
                <w:color w:val="auto"/>
              </w:rPr>
            </w:pPr>
          </w:p>
        </w:tc>
      </w:tr>
      <w:tr>
        <w:trPr>
          <w:trHeight w:val="216"/>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June 30, 2021</w:t>
            </w:r>
          </w:p>
        </w:tc>
        <w:tc>
          <w:tcPr>
            <w:tcW w:w="2860" w:type="dxa"/>
            <w:vAlign w:val="bottom"/>
            <w:gridSpan w:val="2"/>
          </w:tcPr>
          <w:p>
            <w:pPr>
              <w:ind w:left="20"/>
              <w:spacing w:after="0"/>
              <w:rPr>
                <w:sz w:val="20"/>
                <w:szCs w:val="20"/>
                <w:color w:val="auto"/>
              </w:rPr>
            </w:pPr>
            <w:r>
              <w:rPr>
                <w:rFonts w:ascii="Arial" w:cs="Arial" w:eastAsia="Arial" w:hAnsi="Arial"/>
                <w:sz w:val="17"/>
                <w:szCs w:val="17"/>
                <w:color w:val="auto"/>
              </w:rPr>
              <w:t>July 30, 2021</w:t>
            </w:r>
          </w:p>
        </w:tc>
        <w:tc>
          <w:tcPr>
            <w:tcW w:w="2340" w:type="dxa"/>
            <w:vAlign w:val="bottom"/>
          </w:tcPr>
          <w:p>
            <w:pPr>
              <w:jc w:val="right"/>
              <w:spacing w:after="0"/>
              <w:rPr>
                <w:sz w:val="20"/>
                <w:szCs w:val="20"/>
                <w:color w:val="auto"/>
              </w:rPr>
            </w:pPr>
            <w:r>
              <w:rPr>
                <w:rFonts w:ascii="Arial" w:cs="Arial" w:eastAsia="Arial" w:hAnsi="Arial"/>
                <w:sz w:val="17"/>
                <w:szCs w:val="17"/>
                <w:color w:val="auto"/>
              </w:rPr>
              <w:t>$0.98</w:t>
            </w:r>
          </w:p>
        </w:tc>
        <w:tc>
          <w:tcPr>
            <w:tcW w:w="2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7"/>
                <w:szCs w:val="17"/>
                <w:color w:val="auto"/>
              </w:rPr>
              <w:t>$0.098</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March 31, 2021</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April 30, 2021</w:t>
            </w:r>
          </w:p>
        </w:tc>
        <w:tc>
          <w:tcPr>
            <w:tcW w:w="2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2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$0.098</w:t>
            </w:r>
          </w:p>
        </w:tc>
        <w:tc>
          <w:tcPr>
            <w:tcW w:w="0" w:type="dxa"/>
            <w:vAlign w:val="bottom"/>
          </w:tcPr>
          <w:p>
            <w:pPr>
              <w:spacing w:after="0"/>
              <w:rPr>
                <w:sz w:val="1"/>
                <w:szCs w:val="1"/>
                <w:color w:val="auto"/>
              </w:rPr>
            </w:pPr>
          </w:p>
        </w:tc>
      </w:tr>
      <w:tr>
        <w:trPr>
          <w:trHeight w:val="223"/>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December 31, 2020</w:t>
            </w:r>
          </w:p>
        </w:tc>
        <w:tc>
          <w:tcPr>
            <w:tcW w:w="2860" w:type="dxa"/>
            <w:vAlign w:val="bottom"/>
            <w:gridSpan w:val="2"/>
          </w:tcPr>
          <w:p>
            <w:pPr>
              <w:ind w:left="20"/>
              <w:spacing w:after="0"/>
              <w:rPr>
                <w:sz w:val="20"/>
                <w:szCs w:val="20"/>
                <w:color w:val="auto"/>
              </w:rPr>
            </w:pPr>
            <w:r>
              <w:rPr>
                <w:rFonts w:ascii="Arial" w:cs="Arial" w:eastAsia="Arial" w:hAnsi="Arial"/>
                <w:sz w:val="17"/>
                <w:szCs w:val="17"/>
                <w:color w:val="auto"/>
              </w:rPr>
              <w:t>January 28, 2021</w:t>
            </w:r>
          </w:p>
        </w:tc>
        <w:tc>
          <w:tcPr>
            <w:tcW w:w="2340" w:type="dxa"/>
            <w:vAlign w:val="bottom"/>
          </w:tcPr>
          <w:p>
            <w:pPr>
              <w:jc w:val="right"/>
              <w:spacing w:after="0"/>
              <w:rPr>
                <w:sz w:val="20"/>
                <w:szCs w:val="20"/>
                <w:color w:val="auto"/>
              </w:rPr>
            </w:pPr>
            <w:r>
              <w:rPr>
                <w:rFonts w:ascii="Arial" w:cs="Arial" w:eastAsia="Arial" w:hAnsi="Arial"/>
                <w:sz w:val="17"/>
                <w:szCs w:val="17"/>
                <w:color w:val="auto"/>
              </w:rPr>
              <w:t>$0.98</w:t>
            </w:r>
          </w:p>
        </w:tc>
        <w:tc>
          <w:tcPr>
            <w:tcW w:w="2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7"/>
                <w:szCs w:val="17"/>
                <w:color w:val="auto"/>
              </w:rPr>
              <w:t>$0.098</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60" w:firstLine="419"/>
        <w:spacing w:after="0" w:line="273" w:lineRule="auto"/>
        <w:rPr>
          <w:sz w:val="20"/>
          <w:szCs w:val="20"/>
          <w:color w:val="auto"/>
        </w:rPr>
      </w:pPr>
      <w:r>
        <w:rPr>
          <w:rFonts w:ascii="Arial" w:cs="Arial" w:eastAsia="Arial" w:hAnsi="Arial"/>
          <w:sz w:val="16"/>
          <w:szCs w:val="16"/>
          <w:color w:val="auto"/>
        </w:rPr>
        <w:t>A holder of an OP Unit may present the OP Unit to BPLP for redemption at any time (subject to restrictions agreed upon at the time of issuance of OP Units to particular holders that may restrict such redemption right for a period of time, generally one year from issuance). Upon presentation of an OP Unit for redemption, BPLP must redeem the OP Unit for cash equal to the then value of a share of Common Stock of BXP. BXP may, in its sole discretion, elect to assume and satisfy the redemption obligation by paying either cash or issuing one share of Common Stock. The value of the OP Units (other than OP Units owned by BXP), and LTIP Units (including the 2012 OPP Units and 2013 - 2019 MYLTIP Units), assuming in each case that all conditions had been met for the conversion thereof, had all of such units been redeemed at September 30, 2022 was approximately $ 1.4 billion based on the last reported price of a share of Common Stock on the New York Stock Exchange of $74.97 per share on September 30, 2022.</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Noncontrolling Interests—Property Partnerships</w:t>
      </w:r>
    </w:p>
    <w:p>
      <w:pPr>
        <w:spacing w:after="0" w:line="96" w:lineRule="exact"/>
        <w:rPr>
          <w:sz w:val="20"/>
          <w:szCs w:val="20"/>
          <w:color w:val="auto"/>
        </w:rPr>
      </w:pPr>
    </w:p>
    <w:p>
      <w:pPr>
        <w:ind w:right="200" w:firstLine="419"/>
        <w:spacing w:after="0" w:line="260" w:lineRule="auto"/>
        <w:rPr>
          <w:sz w:val="20"/>
          <w:szCs w:val="20"/>
          <w:color w:val="auto"/>
        </w:rPr>
      </w:pPr>
      <w:r>
        <w:rPr>
          <w:rFonts w:ascii="Arial" w:cs="Arial" w:eastAsia="Arial" w:hAnsi="Arial"/>
          <w:sz w:val="17"/>
          <w:szCs w:val="17"/>
          <w:color w:val="auto"/>
        </w:rPr>
        <w:t>The noncontrolling interests in property partnerships consist of the outside equity interests in ventures that are consolidated with the financial results of the Company because the Company exercises control over the entities that own the properties. The equity interests in these ventures that are not owned by the Company, totaling approximately $1.6 billion at each of September 30, 2022 and December 31, 2021, are included in Noncontrolling Interests—Property Partnerships on the accompanying Consolidated Balance Sheets.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Stockholders’ Equity / Partners’ Capital</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BXP</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September 30, 2022, BXP had 156,754,712 shares of Common Stock outstanding.</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September 30, 2022, BXP owned 1,749,700 general partnership units and 155,005,012 limited partnership units in BPLP.</w:t>
      </w:r>
    </w:p>
    <w:p>
      <w:pPr>
        <w:spacing w:after="0" w:line="160" w:lineRule="exact"/>
        <w:rPr>
          <w:sz w:val="20"/>
          <w:szCs w:val="20"/>
          <w:color w:val="auto"/>
        </w:rPr>
      </w:pPr>
    </w:p>
    <w:p>
      <w:pPr>
        <w:jc w:val="both"/>
        <w:ind w:firstLine="419"/>
        <w:spacing w:after="0" w:line="290" w:lineRule="auto"/>
        <w:rPr>
          <w:sz w:val="20"/>
          <w:szCs w:val="20"/>
          <w:color w:val="auto"/>
        </w:rPr>
      </w:pPr>
      <w:r>
        <w:rPr>
          <w:rFonts w:ascii="Arial" w:cs="Arial" w:eastAsia="Arial" w:hAnsi="Arial"/>
          <w:sz w:val="16"/>
          <w:szCs w:val="16"/>
          <w:color w:val="auto"/>
        </w:rPr>
        <w:t>On May 22, 2020, BXP renewed its “at the market” (“ATM”) stock offering program through which it may sell from time to time up to an aggregate of $600.0 million of its Common Stock through sales agents over a three-year period. Under the ATM stock offering program, BXP may also engage in forward sale transactions with affiliates of certain sales agents for the sale of its Common Stock on a forward basis. This program replaced BXP’s prior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200"/>
        <w:spacing w:after="0" w:line="266" w:lineRule="auto"/>
        <w:rPr>
          <w:sz w:val="20"/>
          <w:szCs w:val="20"/>
          <w:color w:val="auto"/>
        </w:rPr>
      </w:pPr>
      <w:r>
        <w:rPr>
          <w:rFonts w:ascii="Arial" w:cs="Arial" w:eastAsia="Arial" w:hAnsi="Arial"/>
          <w:sz w:val="17"/>
          <w:szCs w:val="17"/>
          <w:color w:val="auto"/>
        </w:rPr>
        <w:t>$600.0 million ATM stock offering program that was scheduled to expire on June 2, 2020. BXP intends to use the net proceeds from any offering for general business purposes, which may include investment opportunities and debt reduction. No shares of Common Stock have been issued under this ATM stock offering program.</w:t>
      </w:r>
    </w:p>
    <w:p>
      <w:pPr>
        <w:spacing w:after="0" w:line="112" w:lineRule="exact"/>
        <w:rPr>
          <w:sz w:val="20"/>
          <w:szCs w:val="20"/>
          <w:color w:val="auto"/>
        </w:rPr>
      </w:pPr>
    </w:p>
    <w:p>
      <w:pPr>
        <w:ind w:right="160" w:firstLine="419"/>
        <w:spacing w:after="0" w:line="283" w:lineRule="auto"/>
        <w:rPr>
          <w:sz w:val="20"/>
          <w:szCs w:val="20"/>
          <w:color w:val="auto"/>
        </w:rPr>
      </w:pPr>
      <w:r>
        <w:rPr>
          <w:rFonts w:ascii="Arial" w:cs="Arial" w:eastAsia="Arial" w:hAnsi="Arial"/>
          <w:sz w:val="17"/>
          <w:szCs w:val="17"/>
          <w:color w:val="auto"/>
        </w:rPr>
        <w:t>During the nine months ended September 30, 2022, BXP did not issue any shares of Common Stock upon the exercise of options to purchase Common Stock.</w:t>
      </w:r>
    </w:p>
    <w:p>
      <w:pPr>
        <w:spacing w:after="0" w:line="97" w:lineRule="exact"/>
        <w:rPr>
          <w:sz w:val="20"/>
          <w:szCs w:val="20"/>
          <w:color w:val="auto"/>
        </w:rPr>
      </w:pPr>
    </w:p>
    <w:p>
      <w:pPr>
        <w:ind w:right="380" w:firstLine="419"/>
        <w:spacing w:after="0" w:line="283" w:lineRule="auto"/>
        <w:rPr>
          <w:sz w:val="20"/>
          <w:szCs w:val="20"/>
          <w:color w:val="auto"/>
        </w:rPr>
      </w:pPr>
      <w:r>
        <w:rPr>
          <w:rFonts w:ascii="Arial" w:cs="Arial" w:eastAsia="Arial" w:hAnsi="Arial"/>
          <w:sz w:val="17"/>
          <w:szCs w:val="17"/>
          <w:color w:val="auto"/>
        </w:rPr>
        <w:t>During the nine months ended September 30, 2022, BXP issued 178,929 shares of Common Stock in connection with the redemption of an equal number of redeemable OP Units from limited partners.</w:t>
      </w:r>
    </w:p>
    <w:p>
      <w:pPr>
        <w:spacing w:after="0" w:line="97" w:lineRule="exact"/>
        <w:rPr>
          <w:sz w:val="20"/>
          <w:szCs w:val="20"/>
          <w:color w:val="auto"/>
        </w:rPr>
      </w:pPr>
    </w:p>
    <w:p>
      <w:pPr>
        <w:ind w:right="80" w:firstLine="419"/>
        <w:spacing w:after="0" w:line="283" w:lineRule="auto"/>
        <w:rPr>
          <w:sz w:val="20"/>
          <w:szCs w:val="20"/>
          <w:color w:val="auto"/>
        </w:rPr>
      </w:pPr>
      <w:r>
        <w:rPr>
          <w:rFonts w:ascii="Arial" w:cs="Arial" w:eastAsia="Arial" w:hAnsi="Arial"/>
          <w:sz w:val="17"/>
          <w:szCs w:val="17"/>
          <w:color w:val="auto"/>
        </w:rPr>
        <w:t>The following table presents BXP’s dividends per share and BPLP’s distributions per OP Unit and LTIP Unit paid or declared in 2022 and during the nine months ended September 30,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gridSpan w:val="2"/>
          </w:tcPr>
          <w:p>
            <w:pPr>
              <w:ind w:left="20"/>
              <w:spacing w:after="0"/>
              <w:rPr>
                <w:sz w:val="20"/>
                <w:szCs w:val="20"/>
                <w:color w:val="auto"/>
              </w:rPr>
            </w:pPr>
            <w:r>
              <w:rPr>
                <w:rFonts w:ascii="Arial" w:cs="Arial" w:eastAsia="Arial" w:hAnsi="Arial"/>
                <w:sz w:val="15"/>
                <w:szCs w:val="15"/>
                <w:b w:val="1"/>
                <w:bCs w:val="1"/>
                <w:color w:val="auto"/>
              </w:rPr>
              <w:t>Record Date</w:t>
            </w:r>
          </w:p>
        </w:tc>
        <w:tc>
          <w:tcPr>
            <w:tcW w:w="3180" w:type="dxa"/>
            <w:vAlign w:val="bottom"/>
            <w:gridSpan w:val="2"/>
          </w:tcPr>
          <w:p>
            <w:pPr>
              <w:ind w:left="20"/>
              <w:spacing w:after="0"/>
              <w:rPr>
                <w:sz w:val="20"/>
                <w:szCs w:val="20"/>
                <w:color w:val="auto"/>
              </w:rPr>
            </w:pPr>
            <w:r>
              <w:rPr>
                <w:rFonts w:ascii="Arial" w:cs="Arial" w:eastAsia="Arial" w:hAnsi="Arial"/>
                <w:sz w:val="15"/>
                <w:szCs w:val="15"/>
                <w:b w:val="1"/>
                <w:bCs w:val="1"/>
                <w:color w:val="auto"/>
              </w:rPr>
              <w:t>Payment Date</w:t>
            </w:r>
          </w:p>
        </w:tc>
        <w:tc>
          <w:tcPr>
            <w:tcW w:w="2580" w:type="dxa"/>
            <w:vAlign w:val="bottom"/>
            <w:gridSpan w:val="2"/>
          </w:tcPr>
          <w:p>
            <w:pPr>
              <w:ind w:left="780"/>
              <w:spacing w:after="0"/>
              <w:rPr>
                <w:sz w:val="20"/>
                <w:szCs w:val="20"/>
                <w:color w:val="auto"/>
              </w:rPr>
            </w:pPr>
            <w:r>
              <w:rPr>
                <w:rFonts w:ascii="Arial" w:cs="Arial" w:eastAsia="Arial" w:hAnsi="Arial"/>
                <w:sz w:val="15"/>
                <w:szCs w:val="15"/>
                <w:b w:val="1"/>
                <w:bCs w:val="1"/>
                <w:color w:val="auto"/>
              </w:rPr>
              <w:t>Dividend (Per Share)</w:t>
            </w:r>
          </w:p>
        </w:tc>
        <w:tc>
          <w:tcPr>
            <w:tcW w:w="2280" w:type="dxa"/>
            <w:vAlign w:val="bottom"/>
          </w:tcPr>
          <w:p>
            <w:pPr>
              <w:jc w:val="right"/>
              <w:spacing w:after="0"/>
              <w:rPr>
                <w:sz w:val="20"/>
                <w:szCs w:val="20"/>
                <w:color w:val="auto"/>
              </w:rPr>
            </w:pPr>
            <w:r>
              <w:rPr>
                <w:rFonts w:ascii="Arial" w:cs="Arial" w:eastAsia="Arial" w:hAnsi="Arial"/>
                <w:sz w:val="15"/>
                <w:szCs w:val="15"/>
                <w:b w:val="1"/>
                <w:bCs w:val="1"/>
                <w:color w:val="auto"/>
              </w:rPr>
              <w:t>Distribution (Per Unit)</w:t>
            </w:r>
          </w:p>
        </w:tc>
      </w:tr>
      <w:tr>
        <w:trPr>
          <w:trHeight w:val="208"/>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September 30, 2022</w:t>
            </w:r>
          </w:p>
        </w:tc>
        <w:tc>
          <w:tcPr>
            <w:tcW w:w="16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October 31, 2022</w:t>
            </w:r>
          </w:p>
        </w:tc>
        <w:tc>
          <w:tcPr>
            <w:tcW w:w="16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$0.98</w:t>
            </w:r>
          </w:p>
        </w:tc>
      </w:tr>
      <w:tr>
        <w:trPr>
          <w:trHeight w:val="216"/>
        </w:trPr>
        <w:tc>
          <w:tcPr>
            <w:tcW w:w="3160" w:type="dxa"/>
            <w:vAlign w:val="bottom"/>
            <w:gridSpan w:val="2"/>
          </w:tcPr>
          <w:p>
            <w:pPr>
              <w:ind w:left="20"/>
              <w:spacing w:after="0"/>
              <w:rPr>
                <w:sz w:val="20"/>
                <w:szCs w:val="20"/>
                <w:color w:val="auto"/>
              </w:rPr>
            </w:pPr>
            <w:r>
              <w:rPr>
                <w:rFonts w:ascii="Arial" w:cs="Arial" w:eastAsia="Arial" w:hAnsi="Arial"/>
                <w:sz w:val="17"/>
                <w:szCs w:val="17"/>
                <w:color w:val="auto"/>
              </w:rPr>
              <w:t>June 30, 2022</w:t>
            </w:r>
          </w:p>
        </w:tc>
        <w:tc>
          <w:tcPr>
            <w:tcW w:w="3180" w:type="dxa"/>
            <w:vAlign w:val="bottom"/>
            <w:gridSpan w:val="2"/>
          </w:tcPr>
          <w:p>
            <w:pPr>
              <w:ind w:left="20"/>
              <w:spacing w:after="0"/>
              <w:rPr>
                <w:sz w:val="20"/>
                <w:szCs w:val="20"/>
                <w:color w:val="auto"/>
              </w:rPr>
            </w:pPr>
            <w:r>
              <w:rPr>
                <w:rFonts w:ascii="Arial" w:cs="Arial" w:eastAsia="Arial" w:hAnsi="Arial"/>
                <w:sz w:val="17"/>
                <w:szCs w:val="17"/>
                <w:color w:val="auto"/>
              </w:rPr>
              <w:t>July 29, 2022</w:t>
            </w:r>
          </w:p>
        </w:tc>
        <w:tc>
          <w:tcPr>
            <w:tcW w:w="2300" w:type="dxa"/>
            <w:vAlign w:val="bottom"/>
          </w:tcPr>
          <w:p>
            <w:pPr>
              <w:jc w:val="right"/>
              <w:spacing w:after="0"/>
              <w:rPr>
                <w:sz w:val="20"/>
                <w:szCs w:val="20"/>
                <w:color w:val="auto"/>
              </w:rPr>
            </w:pPr>
            <w:r>
              <w:rPr>
                <w:rFonts w:ascii="Arial" w:cs="Arial" w:eastAsia="Arial" w:hAnsi="Arial"/>
                <w:sz w:val="17"/>
                <w:szCs w:val="17"/>
                <w:color w:val="auto"/>
              </w:rPr>
              <w:t>$0.98</w:t>
            </w:r>
          </w:p>
        </w:tc>
        <w:tc>
          <w:tcPr>
            <w:tcW w:w="28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$0.98</w:t>
            </w:r>
          </w:p>
        </w:tc>
      </w:tr>
      <w:tr>
        <w:trPr>
          <w:trHeight w:val="216"/>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March 31, 2022</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April 29, 2022</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28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r>
      <w:tr>
        <w:trPr>
          <w:trHeight w:val="216"/>
        </w:trPr>
        <w:tc>
          <w:tcPr>
            <w:tcW w:w="3160" w:type="dxa"/>
            <w:vAlign w:val="bottom"/>
            <w:gridSpan w:val="2"/>
          </w:tcPr>
          <w:p>
            <w:pPr>
              <w:ind w:left="20"/>
              <w:spacing w:after="0"/>
              <w:rPr>
                <w:sz w:val="20"/>
                <w:szCs w:val="20"/>
                <w:color w:val="auto"/>
              </w:rPr>
            </w:pPr>
            <w:r>
              <w:rPr>
                <w:rFonts w:ascii="Arial" w:cs="Arial" w:eastAsia="Arial" w:hAnsi="Arial"/>
                <w:sz w:val="17"/>
                <w:szCs w:val="17"/>
                <w:color w:val="auto"/>
              </w:rPr>
              <w:t>December 31, 2021</w:t>
            </w:r>
          </w:p>
        </w:tc>
        <w:tc>
          <w:tcPr>
            <w:tcW w:w="3180" w:type="dxa"/>
            <w:vAlign w:val="bottom"/>
            <w:gridSpan w:val="2"/>
          </w:tcPr>
          <w:p>
            <w:pPr>
              <w:ind w:left="20"/>
              <w:spacing w:after="0"/>
              <w:rPr>
                <w:sz w:val="20"/>
                <w:szCs w:val="20"/>
                <w:color w:val="auto"/>
              </w:rPr>
            </w:pPr>
            <w:r>
              <w:rPr>
                <w:rFonts w:ascii="Arial" w:cs="Arial" w:eastAsia="Arial" w:hAnsi="Arial"/>
                <w:sz w:val="17"/>
                <w:szCs w:val="17"/>
                <w:color w:val="auto"/>
              </w:rPr>
              <w:t>January 28, 2022</w:t>
            </w:r>
          </w:p>
        </w:tc>
        <w:tc>
          <w:tcPr>
            <w:tcW w:w="2300" w:type="dxa"/>
            <w:vAlign w:val="bottom"/>
          </w:tcPr>
          <w:p>
            <w:pPr>
              <w:jc w:val="right"/>
              <w:spacing w:after="0"/>
              <w:rPr>
                <w:sz w:val="20"/>
                <w:szCs w:val="20"/>
                <w:color w:val="auto"/>
              </w:rPr>
            </w:pPr>
            <w:r>
              <w:rPr>
                <w:rFonts w:ascii="Arial" w:cs="Arial" w:eastAsia="Arial" w:hAnsi="Arial"/>
                <w:sz w:val="17"/>
                <w:szCs w:val="17"/>
                <w:color w:val="auto"/>
              </w:rPr>
              <w:t>$0.98</w:t>
            </w:r>
          </w:p>
        </w:tc>
        <w:tc>
          <w:tcPr>
            <w:tcW w:w="28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$0.98</w:t>
            </w:r>
          </w:p>
        </w:tc>
      </w:tr>
      <w:tr>
        <w:trPr>
          <w:trHeight w:val="254"/>
        </w:trPr>
        <w:tc>
          <w:tcPr>
            <w:tcW w:w="3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r>
      <w:tr>
        <w:trPr>
          <w:trHeight w:val="216"/>
        </w:trPr>
        <w:tc>
          <w:tcPr>
            <w:tcW w:w="3160" w:type="dxa"/>
            <w:vAlign w:val="bottom"/>
            <w:gridSpan w:val="2"/>
          </w:tcPr>
          <w:p>
            <w:pPr>
              <w:ind w:left="20"/>
              <w:spacing w:after="0"/>
              <w:rPr>
                <w:sz w:val="20"/>
                <w:szCs w:val="20"/>
                <w:color w:val="auto"/>
              </w:rPr>
            </w:pPr>
            <w:r>
              <w:rPr>
                <w:rFonts w:ascii="Arial" w:cs="Arial" w:eastAsia="Arial" w:hAnsi="Arial"/>
                <w:sz w:val="17"/>
                <w:szCs w:val="17"/>
                <w:color w:val="auto"/>
              </w:rPr>
              <w:t>September 30, 2021</w:t>
            </w:r>
          </w:p>
        </w:tc>
        <w:tc>
          <w:tcPr>
            <w:tcW w:w="3180" w:type="dxa"/>
            <w:vAlign w:val="bottom"/>
            <w:gridSpan w:val="2"/>
          </w:tcPr>
          <w:p>
            <w:pPr>
              <w:ind w:left="20"/>
              <w:spacing w:after="0"/>
              <w:rPr>
                <w:sz w:val="20"/>
                <w:szCs w:val="20"/>
                <w:color w:val="auto"/>
              </w:rPr>
            </w:pPr>
            <w:r>
              <w:rPr>
                <w:rFonts w:ascii="Arial" w:cs="Arial" w:eastAsia="Arial" w:hAnsi="Arial"/>
                <w:sz w:val="17"/>
                <w:szCs w:val="17"/>
                <w:color w:val="auto"/>
              </w:rPr>
              <w:t>October 29, 2021</w:t>
            </w:r>
          </w:p>
        </w:tc>
        <w:tc>
          <w:tcPr>
            <w:tcW w:w="2300" w:type="dxa"/>
            <w:vAlign w:val="bottom"/>
          </w:tcPr>
          <w:p>
            <w:pPr>
              <w:jc w:val="right"/>
              <w:spacing w:after="0"/>
              <w:rPr>
                <w:sz w:val="20"/>
                <w:szCs w:val="20"/>
                <w:color w:val="auto"/>
              </w:rPr>
            </w:pPr>
            <w:r>
              <w:rPr>
                <w:rFonts w:ascii="Arial" w:cs="Arial" w:eastAsia="Arial" w:hAnsi="Arial"/>
                <w:sz w:val="17"/>
                <w:szCs w:val="17"/>
                <w:color w:val="auto"/>
              </w:rPr>
              <w:t>$0.98</w:t>
            </w:r>
          </w:p>
        </w:tc>
        <w:tc>
          <w:tcPr>
            <w:tcW w:w="28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$0.98</w:t>
            </w:r>
          </w:p>
        </w:tc>
      </w:tr>
      <w:tr>
        <w:trPr>
          <w:trHeight w:val="216"/>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June 30, 2021</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July 30, 2021</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28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r>
      <w:tr>
        <w:trPr>
          <w:trHeight w:val="216"/>
        </w:trPr>
        <w:tc>
          <w:tcPr>
            <w:tcW w:w="3160" w:type="dxa"/>
            <w:vAlign w:val="bottom"/>
            <w:gridSpan w:val="2"/>
          </w:tcPr>
          <w:p>
            <w:pPr>
              <w:ind w:left="20"/>
              <w:spacing w:after="0"/>
              <w:rPr>
                <w:sz w:val="20"/>
                <w:szCs w:val="20"/>
                <w:color w:val="auto"/>
              </w:rPr>
            </w:pPr>
            <w:r>
              <w:rPr>
                <w:rFonts w:ascii="Arial" w:cs="Arial" w:eastAsia="Arial" w:hAnsi="Arial"/>
                <w:sz w:val="17"/>
                <w:szCs w:val="17"/>
                <w:color w:val="auto"/>
              </w:rPr>
              <w:t>March 31, 2021</w:t>
            </w:r>
          </w:p>
        </w:tc>
        <w:tc>
          <w:tcPr>
            <w:tcW w:w="3180" w:type="dxa"/>
            <w:vAlign w:val="bottom"/>
            <w:gridSpan w:val="2"/>
          </w:tcPr>
          <w:p>
            <w:pPr>
              <w:ind w:left="20"/>
              <w:spacing w:after="0"/>
              <w:rPr>
                <w:sz w:val="20"/>
                <w:szCs w:val="20"/>
                <w:color w:val="auto"/>
              </w:rPr>
            </w:pPr>
            <w:r>
              <w:rPr>
                <w:rFonts w:ascii="Arial" w:cs="Arial" w:eastAsia="Arial" w:hAnsi="Arial"/>
                <w:sz w:val="17"/>
                <w:szCs w:val="17"/>
                <w:color w:val="auto"/>
              </w:rPr>
              <w:t>April 30, 2021</w:t>
            </w:r>
          </w:p>
        </w:tc>
        <w:tc>
          <w:tcPr>
            <w:tcW w:w="2300" w:type="dxa"/>
            <w:vAlign w:val="bottom"/>
          </w:tcPr>
          <w:p>
            <w:pPr>
              <w:jc w:val="right"/>
              <w:spacing w:after="0"/>
              <w:rPr>
                <w:sz w:val="20"/>
                <w:szCs w:val="20"/>
                <w:color w:val="auto"/>
              </w:rPr>
            </w:pPr>
            <w:r>
              <w:rPr>
                <w:rFonts w:ascii="Arial" w:cs="Arial" w:eastAsia="Arial" w:hAnsi="Arial"/>
                <w:sz w:val="17"/>
                <w:szCs w:val="17"/>
                <w:color w:val="auto"/>
              </w:rPr>
              <w:t>$0.98</w:t>
            </w:r>
          </w:p>
        </w:tc>
        <w:tc>
          <w:tcPr>
            <w:tcW w:w="28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$0.98</w:t>
            </w:r>
          </w:p>
        </w:tc>
      </w:tr>
      <w:tr>
        <w:trPr>
          <w:trHeight w:val="216"/>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December 31, 2020</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January 28, 2021</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28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r>
    </w:tbl>
    <w:p>
      <w:pPr>
        <w:spacing w:after="0" w:line="31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Preferred Stock</w:t>
      </w:r>
    </w:p>
    <w:p>
      <w:pPr>
        <w:spacing w:after="0" w:line="94" w:lineRule="exact"/>
        <w:rPr>
          <w:sz w:val="20"/>
          <w:szCs w:val="20"/>
          <w:color w:val="auto"/>
        </w:rPr>
      </w:pPr>
    </w:p>
    <w:p>
      <w:pPr>
        <w:ind w:right="40" w:firstLine="419"/>
        <w:spacing w:after="0" w:line="253" w:lineRule="auto"/>
        <w:rPr>
          <w:sz w:val="20"/>
          <w:szCs w:val="20"/>
          <w:color w:val="auto"/>
        </w:rPr>
      </w:pPr>
      <w:r>
        <w:rPr>
          <w:rFonts w:ascii="Arial" w:cs="Arial" w:eastAsia="Arial" w:hAnsi="Arial"/>
          <w:sz w:val="17"/>
          <w:szCs w:val="17"/>
          <w:color w:val="auto"/>
        </w:rPr>
        <w:t>On March 2, 2021, BXP issued a redemption notice for 80,000 shares of its 5.25% Series B Cumulative Redeemable Preferred Stock (the “Series B Preferred Stock”), which constituted all of the outstanding Series B Preferred Stock, and the corresponding depositary shares, each representing 1/100th of a share of Series B Preferred Stock. The redemption price per share of Series B Preferred Stock was $2,500, plus all accrued and unpaid dividends to, but not including, the redemption date, totaling $2,516.41 per share. On March 31, 2021, the Company transferred the full redemption price for all outstanding shares of Series B Preferred Stock, including accrued and unpaid dividends to, but not including, the redemption date, to the redemption agent. The excess of the redemption price over the carrying value of the Series B Preferred Stock and Series B Preferred Units of approximately $6.4 million relates to the original issuance costs and is reflected as a reduction to Net Income Attributable to Boston Properties, Inc. Common Shareholders and Net Income Attributable to Boston Properties Limited Partnership Common Unitholders on the Consolidated Income Statements.</w:t>
      </w:r>
    </w:p>
    <w:p>
      <w:pPr>
        <w:spacing w:after="0" w:line="125" w:lineRule="exact"/>
        <w:rPr>
          <w:sz w:val="20"/>
          <w:szCs w:val="20"/>
          <w:color w:val="auto"/>
        </w:rPr>
      </w:pPr>
    </w:p>
    <w:p>
      <w:pPr>
        <w:ind w:right="460" w:firstLine="419"/>
        <w:spacing w:after="0" w:line="266" w:lineRule="auto"/>
        <w:rPr>
          <w:sz w:val="20"/>
          <w:szCs w:val="20"/>
          <w:color w:val="auto"/>
        </w:rPr>
      </w:pPr>
      <w:r>
        <w:rPr>
          <w:rFonts w:ascii="Arial" w:cs="Arial" w:eastAsia="Arial" w:hAnsi="Arial"/>
          <w:sz w:val="17"/>
          <w:szCs w:val="17"/>
          <w:color w:val="auto"/>
        </w:rPr>
        <w:t>On April 1, 2021, BXP redeemed all of the outstanding shares of Series B Preferred Stock and all of the outstanding Depositary Shares. In connection with the redemption of the Series B Preferred Stock, all of the Series B Preferred Units, which had terms and preferences generally mirroring those of the Series B Preferred Stock, were redeemed by BPLP.</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BXP’s dividend per share on its Series B Preferred Stock paid during the nine months ended September 30,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gridSpan w:val="2"/>
          </w:tcPr>
          <w:p>
            <w:pPr>
              <w:ind w:left="20"/>
              <w:spacing w:after="0"/>
              <w:rPr>
                <w:sz w:val="20"/>
                <w:szCs w:val="20"/>
                <w:color w:val="auto"/>
              </w:rPr>
            </w:pPr>
            <w:r>
              <w:rPr>
                <w:rFonts w:ascii="Arial" w:cs="Arial" w:eastAsia="Arial" w:hAnsi="Arial"/>
                <w:sz w:val="15"/>
                <w:szCs w:val="15"/>
                <w:b w:val="1"/>
                <w:bCs w:val="1"/>
                <w:color w:val="auto"/>
              </w:rPr>
              <w:t>Record Date</w:t>
            </w:r>
          </w:p>
        </w:tc>
        <w:tc>
          <w:tcPr>
            <w:tcW w:w="4460" w:type="dxa"/>
            <w:vAlign w:val="bottom"/>
            <w:gridSpan w:val="2"/>
          </w:tcPr>
          <w:p>
            <w:pPr>
              <w:ind w:left="20"/>
              <w:spacing w:after="0"/>
              <w:rPr>
                <w:sz w:val="20"/>
                <w:szCs w:val="20"/>
                <w:color w:val="auto"/>
              </w:rPr>
            </w:pPr>
            <w:r>
              <w:rPr>
                <w:rFonts w:ascii="Arial" w:cs="Arial" w:eastAsia="Arial" w:hAnsi="Arial"/>
                <w:sz w:val="15"/>
                <w:szCs w:val="15"/>
                <w:b w:val="1"/>
                <w:bCs w:val="1"/>
                <w:color w:val="auto"/>
              </w:rPr>
              <w:t>Payment Date</w:t>
            </w:r>
          </w:p>
        </w:tc>
        <w:tc>
          <w:tcPr>
            <w:tcW w:w="2300" w:type="dxa"/>
            <w:vAlign w:val="bottom"/>
          </w:tcPr>
          <w:p>
            <w:pPr>
              <w:jc w:val="right"/>
              <w:spacing w:after="0"/>
              <w:rPr>
                <w:sz w:val="20"/>
                <w:szCs w:val="20"/>
                <w:color w:val="auto"/>
              </w:rPr>
            </w:pPr>
            <w:r>
              <w:rPr>
                <w:rFonts w:ascii="Arial" w:cs="Arial" w:eastAsia="Arial" w:hAnsi="Arial"/>
                <w:sz w:val="15"/>
                <w:szCs w:val="15"/>
                <w:b w:val="1"/>
                <w:bCs w:val="1"/>
                <w:color w:val="auto"/>
              </w:rPr>
              <w:t>Dividend (Per Share)</w:t>
            </w:r>
          </w:p>
        </w:tc>
      </w:tr>
      <w:tr>
        <w:trPr>
          <w:trHeight w:val="208"/>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February 5, 2021</w:t>
            </w:r>
          </w:p>
        </w:tc>
        <w:tc>
          <w:tcPr>
            <w:tcW w:w="20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February 16, 2021</w:t>
            </w:r>
          </w:p>
        </w:tc>
        <w:tc>
          <w:tcPr>
            <w:tcW w:w="14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$32.8125</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Segment Information</w:t>
      </w:r>
    </w:p>
    <w:p>
      <w:pPr>
        <w:spacing w:after="0" w:line="96" w:lineRule="exact"/>
        <w:rPr>
          <w:sz w:val="20"/>
          <w:szCs w:val="20"/>
          <w:color w:val="auto"/>
        </w:rPr>
      </w:pPr>
    </w:p>
    <w:p>
      <w:pPr>
        <w:ind w:firstLine="419"/>
        <w:spacing w:after="0" w:line="266" w:lineRule="auto"/>
        <w:rPr>
          <w:sz w:val="20"/>
          <w:szCs w:val="20"/>
          <w:color w:val="auto"/>
        </w:rPr>
      </w:pPr>
      <w:r>
        <w:rPr>
          <w:rFonts w:ascii="Arial" w:cs="Arial" w:eastAsia="Arial" w:hAnsi="Arial"/>
          <w:sz w:val="17"/>
          <w:szCs w:val="17"/>
          <w:color w:val="auto"/>
        </w:rPr>
        <w:t>The following tables present reconciliations of Net Income Attributable to Boston Properties, Inc. Common Shareholders to the Company’s share of Net Operating Income and Net Income Attributable to Boston Properties Limited Partnership Common Unitholders to the Company’s share of Net Operating Income for the three and nine months ended September 30, 2022 and 2021.</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BXP</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40" w:type="dxa"/>
            <w:vAlign w:val="bottom"/>
          </w:tcPr>
          <w:p>
            <w:pPr>
              <w:spacing w:after="0"/>
              <w:rPr>
                <w:sz w:val="14"/>
                <w:szCs w:val="14"/>
                <w:color w:val="auto"/>
              </w:rPr>
            </w:pPr>
          </w:p>
        </w:tc>
        <w:tc>
          <w:tcPr>
            <w:tcW w:w="2660" w:type="dxa"/>
            <w:vAlign w:val="bottom"/>
            <w:gridSpan w:val="7"/>
          </w:tcPr>
          <w:p>
            <w:pPr>
              <w:ind w:left="60"/>
              <w:spacing w:after="0"/>
              <w:rPr>
                <w:sz w:val="20"/>
                <w:szCs w:val="20"/>
                <w:color w:val="auto"/>
              </w:rPr>
            </w:pPr>
            <w:r>
              <w:rPr>
                <w:rFonts w:ascii="Arial" w:cs="Arial" w:eastAsia="Arial" w:hAnsi="Arial"/>
                <w:sz w:val="15"/>
                <w:szCs w:val="15"/>
                <w:b w:val="1"/>
                <w:bCs w:val="1"/>
                <w:color w:val="auto"/>
              </w:rPr>
              <w:t>Three months ended September</w:t>
            </w:r>
          </w:p>
        </w:tc>
        <w:tc>
          <w:tcPr>
            <w:tcW w:w="2540" w:type="dxa"/>
            <w:vAlign w:val="bottom"/>
            <w:gridSpan w:val="5"/>
            <w:vMerge w:val="restart"/>
          </w:tcPr>
          <w:p>
            <w:pPr>
              <w:ind w:left="20"/>
              <w:spacing w:after="0"/>
              <w:rPr>
                <w:sz w:val="20"/>
                <w:szCs w:val="20"/>
                <w:color w:val="auto"/>
              </w:rPr>
            </w:pPr>
            <w:r>
              <w:rPr>
                <w:rFonts w:ascii="Arial" w:cs="Arial" w:eastAsia="Arial" w:hAnsi="Arial"/>
                <w:sz w:val="15"/>
                <w:szCs w:val="15"/>
                <w:b w:val="1"/>
                <w:bCs w:val="1"/>
                <w:color w:val="auto"/>
              </w:rPr>
              <w:t>Nine months ended September 30,</w:t>
            </w:r>
          </w:p>
        </w:tc>
        <w:tc>
          <w:tcPr>
            <w:tcW w:w="0" w:type="dxa"/>
            <w:vAlign w:val="bottom"/>
          </w:tcPr>
          <w:p>
            <w:pPr>
              <w:spacing w:after="0"/>
              <w:rPr>
                <w:sz w:val="1"/>
                <w:szCs w:val="1"/>
                <w:color w:val="auto"/>
              </w:rPr>
            </w:pPr>
          </w:p>
        </w:tc>
      </w:tr>
      <w:tr>
        <w:trPr>
          <w:trHeight w:val="203"/>
        </w:trPr>
        <w:tc>
          <w:tcPr>
            <w:tcW w:w="6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5"/>
                <w:szCs w:val="15"/>
                <w:b w:val="1"/>
                <w:bCs w:val="1"/>
                <w:color w:val="auto"/>
                <w:w w:val="95"/>
              </w:rPr>
              <w:t>30,</w:t>
            </w: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tcBorders>
              <w:bottom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2022</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2021</w:t>
            </w: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2022</w:t>
            </w: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5"/>
          </w:tcPr>
          <w:p>
            <w:pPr>
              <w:ind w:left="520"/>
              <w:spacing w:after="0"/>
              <w:rPr>
                <w:sz w:val="20"/>
                <w:szCs w:val="20"/>
                <w:color w:val="auto"/>
              </w:rPr>
            </w:pPr>
            <w:r>
              <w:rPr>
                <w:rFonts w:ascii="Arial" w:cs="Arial" w:eastAsia="Arial" w:hAnsi="Arial"/>
                <w:sz w:val="15"/>
                <w:szCs w:val="15"/>
                <w:b w:val="1"/>
                <w:bCs w:val="1"/>
                <w:color w:val="auto"/>
              </w:rPr>
              <w:t>(in thousands)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Boston Properties, Inc. common shareholders</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360,977</w:t>
            </w:r>
          </w:p>
        </w:tc>
        <w:tc>
          <w:tcPr>
            <w:tcW w:w="440" w:type="dxa"/>
            <w:vAlign w:val="bottom"/>
            <w:gridSpan w:val="3"/>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727,144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311,680</w:t>
            </w: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7"/>
                <w:szCs w:val="17"/>
                <w:color w:val="auto"/>
              </w:rPr>
              <w:t>Add: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Preferred stock redemption charge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6,412</w:t>
            </w:r>
          </w:p>
        </w:tc>
        <w:tc>
          <w:tcPr>
            <w:tcW w:w="0" w:type="dxa"/>
            <w:vAlign w:val="bottom"/>
          </w:tcPr>
          <w:p>
            <w:pPr>
              <w:spacing w:after="0"/>
              <w:rPr>
                <w:sz w:val="1"/>
                <w:szCs w:val="1"/>
                <w:color w:val="auto"/>
              </w:rPr>
            </w:pPr>
          </w:p>
        </w:tc>
      </w:tr>
      <w:tr>
        <w:trPr>
          <w:trHeight w:val="216"/>
        </w:trPr>
        <w:tc>
          <w:tcPr>
            <w:tcW w:w="6040" w:type="dxa"/>
            <w:vAlign w:val="bottom"/>
          </w:tcPr>
          <w:p>
            <w:pPr>
              <w:ind w:left="320"/>
              <w:spacing w:after="0"/>
              <w:rPr>
                <w:sz w:val="20"/>
                <w:szCs w:val="20"/>
                <w:color w:val="auto"/>
              </w:rPr>
            </w:pPr>
            <w:r>
              <w:rPr>
                <w:rFonts w:ascii="Arial" w:cs="Arial" w:eastAsia="Arial" w:hAnsi="Arial"/>
                <w:sz w:val="17"/>
                <w:szCs w:val="17"/>
                <w:color w:val="auto"/>
              </w:rPr>
              <w:t>Preferred dividends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2,560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Noncontrolling interest—common units of the Operating Partnership</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35,393</w:t>
            </w:r>
          </w:p>
        </w:tc>
        <w:tc>
          <w:tcPr>
            <w:tcW w:w="0" w:type="dxa"/>
            <w:vAlign w:val="bottom"/>
          </w:tcPr>
          <w:p>
            <w:pPr>
              <w:spacing w:after="0"/>
              <w:rPr>
                <w:sz w:val="1"/>
                <w:szCs w:val="1"/>
                <w:color w:val="auto"/>
              </w:rPr>
            </w:pPr>
          </w:p>
        </w:tc>
      </w:tr>
      <w:tr>
        <w:trPr>
          <w:trHeight w:val="216"/>
        </w:trPr>
        <w:tc>
          <w:tcPr>
            <w:tcW w:w="6040" w:type="dxa"/>
            <w:vAlign w:val="bottom"/>
          </w:tcPr>
          <w:p>
            <w:pPr>
              <w:ind w:left="320"/>
              <w:spacing w:after="0"/>
              <w:rPr>
                <w:sz w:val="20"/>
                <w:szCs w:val="20"/>
                <w:color w:val="auto"/>
              </w:rPr>
            </w:pPr>
            <w:r>
              <w:rPr>
                <w:rFonts w:ascii="Arial" w:cs="Arial" w:eastAsia="Arial" w:hAnsi="Arial"/>
                <w:sz w:val="17"/>
                <w:szCs w:val="17"/>
                <w:color w:val="auto"/>
              </w:rPr>
              <w:t>Noncontrolling interests in property partnerships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18,801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18,971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54,896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52,602</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111,846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105,794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317,216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320,015</w:t>
            </w:r>
          </w:p>
        </w:tc>
        <w:tc>
          <w:tcPr>
            <w:tcW w:w="0" w:type="dxa"/>
            <w:vAlign w:val="bottom"/>
          </w:tcPr>
          <w:p>
            <w:pPr>
              <w:spacing w:after="0"/>
              <w:rPr>
                <w:sz w:val="1"/>
                <w:szCs w:val="1"/>
                <w:color w:val="auto"/>
              </w:rPr>
            </w:pPr>
          </w:p>
        </w:tc>
      </w:tr>
      <w:tr>
        <w:trPr>
          <w:trHeight w:val="216"/>
        </w:trPr>
        <w:tc>
          <w:tcPr>
            <w:tcW w:w="6040" w:type="dxa"/>
            <w:vAlign w:val="bottom"/>
          </w:tcPr>
          <w:p>
            <w:pPr>
              <w:ind w:left="320"/>
              <w:spacing w:after="0"/>
              <w:rPr>
                <w:sz w:val="20"/>
                <w:szCs w:val="20"/>
                <w:color w:val="auto"/>
              </w:rPr>
            </w:pPr>
            <w:r>
              <w:rPr>
                <w:rFonts w:ascii="Arial" w:cs="Arial" w:eastAsia="Arial" w:hAnsi="Arial"/>
                <w:sz w:val="17"/>
                <w:szCs w:val="17"/>
                <w:color w:val="auto"/>
              </w:rPr>
              <w:t>Losses from early extinguishment of debt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898</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operating income from unconsolidated joint ventures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24,266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108,347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74,478</w:t>
            </w:r>
          </w:p>
        </w:tc>
        <w:tc>
          <w:tcPr>
            <w:tcW w:w="0" w:type="dxa"/>
            <w:vAlign w:val="bottom"/>
          </w:tcPr>
          <w:p>
            <w:pPr>
              <w:spacing w:after="0"/>
              <w:rPr>
                <w:sz w:val="1"/>
                <w:szCs w:val="1"/>
                <w:color w:val="auto"/>
              </w:rPr>
            </w:pPr>
          </w:p>
        </w:tc>
      </w:tr>
      <w:tr>
        <w:trPr>
          <w:trHeight w:val="216"/>
        </w:trPr>
        <w:tc>
          <w:tcPr>
            <w:tcW w:w="6040" w:type="dxa"/>
            <w:vAlign w:val="bottom"/>
          </w:tcPr>
          <w:p>
            <w:pPr>
              <w:ind w:left="320"/>
              <w:spacing w:after="0"/>
              <w:rPr>
                <w:sz w:val="20"/>
                <w:szCs w:val="20"/>
                <w:color w:val="auto"/>
              </w:rPr>
            </w:pPr>
            <w:r>
              <w:rPr>
                <w:rFonts w:ascii="Arial" w:cs="Arial" w:eastAsia="Arial" w:hAnsi="Arial"/>
                <w:sz w:val="17"/>
                <w:szCs w:val="17"/>
                <w:color w:val="auto"/>
              </w:rPr>
              <w:t>Loss from unconsolidated joint ventures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5,597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1,389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1,745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and amortization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190,675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179,412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551,445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539,815</w:t>
            </w:r>
          </w:p>
        </w:tc>
        <w:tc>
          <w:tcPr>
            <w:tcW w:w="0" w:type="dxa"/>
            <w:vAlign w:val="bottom"/>
          </w:tcPr>
          <w:p>
            <w:pPr>
              <w:spacing w:after="0"/>
              <w:rPr>
                <w:sz w:val="1"/>
                <w:szCs w:val="1"/>
                <w:color w:val="auto"/>
              </w:rPr>
            </w:pPr>
          </w:p>
        </w:tc>
      </w:tr>
      <w:tr>
        <w:trPr>
          <w:trHeight w:val="216"/>
        </w:trPr>
        <w:tc>
          <w:tcPr>
            <w:tcW w:w="6040" w:type="dxa"/>
            <w:vAlign w:val="bottom"/>
          </w:tcPr>
          <w:p>
            <w:pPr>
              <w:ind w:left="320"/>
              <w:spacing w:after="0"/>
              <w:rPr>
                <w:sz w:val="20"/>
                <w:szCs w:val="20"/>
                <w:color w:val="auto"/>
              </w:rPr>
            </w:pPr>
            <w:r>
              <w:rPr>
                <w:rFonts w:ascii="Arial" w:cs="Arial" w:eastAsia="Arial" w:hAnsi="Arial"/>
                <w:sz w:val="17"/>
                <w:szCs w:val="17"/>
                <w:color w:val="auto"/>
              </w:rPr>
              <w:t>Transaction costs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1,888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2,146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2,970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Payroll and related costs from management services contracts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11,204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9,166</w:t>
            </w:r>
          </w:p>
        </w:tc>
        <w:tc>
          <w:tcPr>
            <w:tcW w:w="0" w:type="dxa"/>
            <w:vAlign w:val="bottom"/>
          </w:tcPr>
          <w:p>
            <w:pPr>
              <w:spacing w:after="0"/>
              <w:rPr>
                <w:sz w:val="1"/>
                <w:szCs w:val="1"/>
                <w:color w:val="auto"/>
              </w:rPr>
            </w:pPr>
          </w:p>
        </w:tc>
      </w:tr>
      <w:tr>
        <w:trPr>
          <w:trHeight w:val="216"/>
        </w:trPr>
        <w:tc>
          <w:tcPr>
            <w:tcW w:w="6040" w:type="dxa"/>
            <w:vAlign w:val="bottom"/>
          </w:tcPr>
          <w:p>
            <w:pPr>
              <w:ind w:left="320"/>
              <w:spacing w:after="0"/>
              <w:rPr>
                <w:sz w:val="20"/>
                <w:szCs w:val="20"/>
                <w:color w:val="auto"/>
              </w:rPr>
            </w:pPr>
            <w:r>
              <w:rPr>
                <w:rFonts w:ascii="Arial" w:cs="Arial" w:eastAsia="Arial" w:hAnsi="Arial"/>
                <w:sz w:val="17"/>
                <w:szCs w:val="17"/>
                <w:color w:val="auto"/>
              </w:rPr>
              <w:t>General and administrative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32,519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34,560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110,378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117,924</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040" w:type="dxa"/>
            <w:vAlign w:val="bottom"/>
          </w:tcPr>
          <w:p>
            <w:pPr>
              <w:ind w:left="320"/>
              <w:spacing w:after="0" w:line="165" w:lineRule="exact"/>
              <w:rPr>
                <w:sz w:val="20"/>
                <w:szCs w:val="20"/>
                <w:color w:val="auto"/>
              </w:rPr>
            </w:pPr>
            <w:r>
              <w:rPr>
                <w:rFonts w:ascii="Arial" w:cs="Arial" w:eastAsia="Arial" w:hAnsi="Arial"/>
                <w:sz w:val="17"/>
                <w:szCs w:val="17"/>
                <w:color w:val="auto"/>
              </w:rPr>
              <w:t>Net operating income attributable to noncontrolling interests in property</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48,306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47,800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143,223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138,463</w:t>
            </w:r>
          </w:p>
        </w:tc>
        <w:tc>
          <w:tcPr>
            <w:tcW w:w="0" w:type="dxa"/>
            <w:vAlign w:val="bottom"/>
          </w:tcPr>
          <w:p>
            <w:pPr>
              <w:spacing w:after="0"/>
              <w:rPr>
                <w:sz w:val="1"/>
                <w:szCs w:val="1"/>
                <w:color w:val="auto"/>
              </w:rPr>
            </w:pPr>
          </w:p>
        </w:tc>
      </w:tr>
      <w:tr>
        <w:trPr>
          <w:trHeight w:val="228"/>
        </w:trPr>
        <w:tc>
          <w:tcPr>
            <w:tcW w:w="6040" w:type="dxa"/>
            <w:vAlign w:val="bottom"/>
          </w:tcPr>
          <w:p>
            <w:pPr>
              <w:ind w:left="560"/>
              <w:spacing w:after="0"/>
              <w:rPr>
                <w:sz w:val="20"/>
                <w:szCs w:val="20"/>
                <w:color w:val="auto"/>
              </w:rPr>
            </w:pPr>
            <w:r>
              <w:rPr>
                <w:rFonts w:ascii="Arial" w:cs="Arial" w:eastAsia="Arial" w:hAnsi="Arial"/>
                <w:sz w:val="17"/>
                <w:szCs w:val="17"/>
                <w:color w:val="auto"/>
              </w:rPr>
              <w:t>partnerships</w:t>
            </w: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Gains (losses) from investments in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(8,549)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3,744</w:t>
            </w:r>
          </w:p>
        </w:tc>
        <w:tc>
          <w:tcPr>
            <w:tcW w:w="0" w:type="dxa"/>
            <w:vAlign w:val="bottom"/>
          </w:tcPr>
          <w:p>
            <w:pPr>
              <w:spacing w:after="0"/>
              <w:rPr>
                <w:sz w:val="1"/>
                <w:szCs w:val="1"/>
                <w:color w:val="auto"/>
              </w:rPr>
            </w:pPr>
          </w:p>
        </w:tc>
      </w:tr>
      <w:tr>
        <w:trPr>
          <w:trHeight w:val="216"/>
        </w:trPr>
        <w:tc>
          <w:tcPr>
            <w:tcW w:w="6040" w:type="dxa"/>
            <w:vAlign w:val="bottom"/>
          </w:tcPr>
          <w:p>
            <w:pPr>
              <w:ind w:left="320"/>
              <w:spacing w:after="0"/>
              <w:rPr>
                <w:sz w:val="20"/>
                <w:szCs w:val="20"/>
                <w:color w:val="auto"/>
              </w:rPr>
            </w:pPr>
            <w:r>
              <w:rPr>
                <w:rFonts w:ascii="Arial" w:cs="Arial" w:eastAsia="Arial" w:hAnsi="Arial"/>
                <w:sz w:val="17"/>
                <w:szCs w:val="17"/>
                <w:color w:val="auto"/>
              </w:rPr>
              <w:t>Other income - assignment fee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6,624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and other income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4,140</w:t>
            </w:r>
          </w:p>
        </w:tc>
        <w:tc>
          <w:tcPr>
            <w:tcW w:w="0" w:type="dxa"/>
            <w:vAlign w:val="bottom"/>
          </w:tcPr>
          <w:p>
            <w:pPr>
              <w:spacing w:after="0"/>
              <w:rPr>
                <w:sz w:val="1"/>
                <w:szCs w:val="1"/>
                <w:color w:val="auto"/>
              </w:rPr>
            </w:pPr>
          </w:p>
        </w:tc>
      </w:tr>
      <w:tr>
        <w:trPr>
          <w:trHeight w:val="216"/>
        </w:trPr>
        <w:tc>
          <w:tcPr>
            <w:tcW w:w="6040" w:type="dxa"/>
            <w:vAlign w:val="bottom"/>
          </w:tcPr>
          <w:p>
            <w:pPr>
              <w:ind w:left="320"/>
              <w:spacing w:after="0"/>
              <w:rPr>
                <w:sz w:val="20"/>
                <w:szCs w:val="20"/>
                <w:color w:val="auto"/>
              </w:rPr>
            </w:pPr>
            <w:r>
              <w:rPr>
                <w:rFonts w:ascii="Arial" w:cs="Arial" w:eastAsia="Arial" w:hAnsi="Arial"/>
                <w:sz w:val="17"/>
                <w:szCs w:val="17"/>
                <w:color w:val="auto"/>
              </w:rPr>
              <w:t>Gains on sales of real estate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262,345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381,293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8,104</w:t>
            </w:r>
          </w:p>
        </w:tc>
        <w:tc>
          <w:tcPr>
            <w:tcW w:w="0" w:type="dxa"/>
            <w:vAlign w:val="bottom"/>
          </w:tcPr>
          <w:p>
            <w:pPr>
              <w:spacing w:after="0"/>
              <w:rPr>
                <w:sz w:val="1"/>
                <w:szCs w:val="1"/>
                <w:color w:val="auto"/>
              </w:rPr>
            </w:pPr>
          </w:p>
        </w:tc>
      </w:tr>
      <w:tr>
        <w:trPr>
          <w:trHeight w:val="165"/>
        </w:trPr>
        <w:tc>
          <w:tcPr>
            <w:tcW w:w="6040" w:type="dxa"/>
            <w:vAlign w:val="bottom"/>
            <w:shd w:val="clear" w:color="auto" w:fill="CCEEFF"/>
          </w:tcPr>
          <w:p>
            <w:pPr>
              <w:ind w:left="320"/>
              <w:spacing w:after="0" w:line="165" w:lineRule="exact"/>
              <w:rPr>
                <w:sz w:val="20"/>
                <w:szCs w:val="20"/>
                <w:color w:val="auto"/>
              </w:rPr>
            </w:pPr>
            <w:r>
              <w:rPr>
                <w:rFonts w:ascii="Arial" w:cs="Arial" w:eastAsia="Arial" w:hAnsi="Arial"/>
                <w:sz w:val="17"/>
                <w:szCs w:val="17"/>
                <w:color w:val="auto"/>
              </w:rPr>
              <w:t>Direct reimbursements of payroll and related costs from management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3,900</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3,006</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11,204</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9,166</w:t>
            </w:r>
          </w:p>
        </w:tc>
        <w:tc>
          <w:tcPr>
            <w:tcW w:w="0" w:type="dxa"/>
            <w:vAlign w:val="bottom"/>
          </w:tcPr>
          <w:p>
            <w:pPr>
              <w:spacing w:after="0"/>
              <w:rPr>
                <w:sz w:val="1"/>
                <w:szCs w:val="1"/>
                <w:color w:val="auto"/>
              </w:rPr>
            </w:pPr>
          </w:p>
        </w:tc>
      </w:tr>
      <w:tr>
        <w:trPr>
          <w:trHeight w:val="228"/>
        </w:trPr>
        <w:tc>
          <w:tcPr>
            <w:tcW w:w="6040" w:type="dxa"/>
            <w:vAlign w:val="bottom"/>
            <w:shd w:val="clear" w:color="auto" w:fill="CCEEFF"/>
          </w:tcPr>
          <w:p>
            <w:pPr>
              <w:ind w:left="560"/>
              <w:spacing w:after="0"/>
              <w:rPr>
                <w:sz w:val="20"/>
                <w:szCs w:val="20"/>
                <w:color w:val="auto"/>
              </w:rPr>
            </w:pPr>
            <w:r>
              <w:rPr>
                <w:rFonts w:ascii="Arial" w:cs="Arial" w:eastAsia="Arial" w:hAnsi="Arial"/>
                <w:sz w:val="17"/>
                <w:szCs w:val="17"/>
                <w:color w:val="auto"/>
              </w:rPr>
              <w:t>services contracts</w:t>
            </w: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Development and management services revenue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7,465</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19,650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20,181</w:t>
            </w:r>
          </w:p>
        </w:tc>
        <w:tc>
          <w:tcPr>
            <w:tcW w:w="0" w:type="dxa"/>
            <w:vAlign w:val="bottom"/>
          </w:tcPr>
          <w:p>
            <w:pPr>
              <w:spacing w:after="0"/>
              <w:rPr>
                <w:sz w:val="1"/>
                <w:szCs w:val="1"/>
                <w:color w:val="auto"/>
              </w:rPr>
            </w:pPr>
          </w:p>
        </w:tc>
      </w:tr>
      <w:tr>
        <w:trPr>
          <w:trHeight w:val="233"/>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Company’s share of Net Operating Income</w:t>
            </w: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475,918</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435,195</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1,407,390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1,291,860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7"/>
                <w:szCs w:val="17"/>
                <w:color w:val="auto"/>
              </w:rPr>
              <w:t>33</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6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6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BPLP</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40" w:type="dxa"/>
            <w:vAlign w:val="bottom"/>
          </w:tcPr>
          <w:p>
            <w:pPr>
              <w:spacing w:after="0"/>
              <w:rPr>
                <w:sz w:val="14"/>
                <w:szCs w:val="14"/>
                <w:color w:val="auto"/>
              </w:rPr>
            </w:pPr>
          </w:p>
        </w:tc>
        <w:tc>
          <w:tcPr>
            <w:tcW w:w="2700" w:type="dxa"/>
            <w:vAlign w:val="bottom"/>
            <w:gridSpan w:val="7"/>
          </w:tcPr>
          <w:p>
            <w:pPr>
              <w:ind w:left="60"/>
              <w:spacing w:after="0"/>
              <w:rPr>
                <w:sz w:val="20"/>
                <w:szCs w:val="20"/>
                <w:color w:val="auto"/>
              </w:rPr>
            </w:pPr>
            <w:r>
              <w:rPr>
                <w:rFonts w:ascii="Arial" w:cs="Arial" w:eastAsia="Arial" w:hAnsi="Arial"/>
                <w:sz w:val="15"/>
                <w:szCs w:val="15"/>
                <w:b w:val="1"/>
                <w:bCs w:val="1"/>
                <w:color w:val="auto"/>
              </w:rPr>
              <w:t>Three months ended September</w:t>
            </w:r>
          </w:p>
        </w:tc>
        <w:tc>
          <w:tcPr>
            <w:tcW w:w="100" w:type="dxa"/>
            <w:vAlign w:val="bottom"/>
          </w:tcPr>
          <w:p>
            <w:pPr>
              <w:spacing w:after="0"/>
              <w:rPr>
                <w:sz w:val="14"/>
                <w:szCs w:val="14"/>
                <w:color w:val="auto"/>
              </w:rPr>
            </w:pPr>
          </w:p>
        </w:tc>
        <w:tc>
          <w:tcPr>
            <w:tcW w:w="2360" w:type="dxa"/>
            <w:vAlign w:val="bottom"/>
            <w:gridSpan w:val="5"/>
          </w:tcPr>
          <w:p>
            <w:pPr>
              <w:jc w:val="right"/>
              <w:ind w:right="16"/>
              <w:spacing w:after="0"/>
              <w:rPr>
                <w:sz w:val="20"/>
                <w:szCs w:val="20"/>
                <w:color w:val="auto"/>
              </w:rPr>
            </w:pPr>
            <w:r>
              <w:rPr>
                <w:rFonts w:ascii="Arial" w:cs="Arial" w:eastAsia="Arial" w:hAnsi="Arial"/>
                <w:sz w:val="15"/>
                <w:szCs w:val="15"/>
                <w:b w:val="1"/>
                <w:bCs w:val="1"/>
                <w:color w:val="auto"/>
              </w:rPr>
              <w:t>Nine months ended September</w:t>
            </w:r>
          </w:p>
        </w:tc>
        <w:tc>
          <w:tcPr>
            <w:tcW w:w="0" w:type="dxa"/>
            <w:vAlign w:val="bottom"/>
          </w:tcPr>
          <w:p>
            <w:pPr>
              <w:spacing w:after="0"/>
              <w:rPr>
                <w:sz w:val="1"/>
                <w:szCs w:val="1"/>
                <w:color w:val="auto"/>
              </w:rPr>
            </w:pPr>
          </w:p>
        </w:tc>
      </w:tr>
      <w:tr>
        <w:trPr>
          <w:trHeight w:val="203"/>
        </w:trPr>
        <w:tc>
          <w:tcPr>
            <w:tcW w:w="6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5"/>
                <w:szCs w:val="15"/>
                <w:b w:val="1"/>
                <w:bCs w:val="1"/>
                <w:color w:val="auto"/>
                <w:w w:val="95"/>
              </w:rPr>
              <w:t>30,</w:t>
            </w:r>
          </w:p>
        </w:tc>
        <w:tc>
          <w:tcPr>
            <w:tcW w:w="9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5"/>
                <w:szCs w:val="15"/>
                <w:b w:val="1"/>
                <w:bCs w:val="1"/>
                <w:color w:val="auto"/>
                <w:w w:val="95"/>
              </w:rPr>
              <w:t>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2022</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2022</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4"/>
          </w:tcPr>
          <w:p>
            <w:pPr>
              <w:jc w:val="right"/>
              <w:ind w:right="636"/>
              <w:spacing w:after="0"/>
              <w:rPr>
                <w:sz w:val="20"/>
                <w:szCs w:val="20"/>
                <w:color w:val="auto"/>
              </w:rPr>
            </w:pPr>
            <w:r>
              <w:rPr>
                <w:rFonts w:ascii="Arial" w:cs="Arial" w:eastAsia="Arial" w:hAnsi="Arial"/>
                <w:sz w:val="15"/>
                <w:szCs w:val="15"/>
                <w:b w:val="1"/>
                <w:bCs w:val="1"/>
                <w:color w:val="auto"/>
              </w:rPr>
              <w:t>(in thousands)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6040" w:type="dxa"/>
            <w:vAlign w:val="bottom"/>
            <w:shd w:val="clear" w:color="auto" w:fill="CCEEFF"/>
          </w:tcPr>
          <w:p>
            <w:pPr>
              <w:ind w:left="20"/>
              <w:spacing w:after="0" w:line="165" w:lineRule="exact"/>
              <w:rPr>
                <w:sz w:val="20"/>
                <w:szCs w:val="20"/>
                <w:color w:val="auto"/>
              </w:rPr>
            </w:pPr>
            <w:r>
              <w:rPr>
                <w:rFonts w:ascii="Arial" w:cs="Arial" w:eastAsia="Arial" w:hAnsi="Arial"/>
                <w:sz w:val="17"/>
                <w:szCs w:val="17"/>
                <w:color w:val="auto"/>
              </w:rPr>
              <w:t>Net income attributable to Boston Properties Limited Partnership common</w:t>
            </w:r>
          </w:p>
        </w:tc>
        <w:tc>
          <w:tcPr>
            <w:tcW w:w="240" w:type="dxa"/>
            <w:vAlign w:val="bottom"/>
            <w:vMerge w:val="restart"/>
            <w:shd w:val="clear" w:color="auto" w:fill="CCEEFF"/>
          </w:tcPr>
          <w:p>
            <w:pPr>
              <w:jc w:val="right"/>
              <w:ind w:right="58"/>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403,578</w:t>
            </w:r>
          </w:p>
        </w:tc>
        <w:tc>
          <w:tcPr>
            <w:tcW w:w="460" w:type="dxa"/>
            <w:vAlign w:val="bottom"/>
            <w:gridSpan w:val="3"/>
            <w:vMerge w:val="restart"/>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122,014</w:t>
            </w:r>
          </w:p>
        </w:tc>
        <w:tc>
          <w:tcPr>
            <w:tcW w:w="24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819,195</w:t>
            </w:r>
          </w:p>
        </w:tc>
        <w:tc>
          <w:tcPr>
            <w:tcW w:w="420" w:type="dxa"/>
            <w:vAlign w:val="bottom"/>
            <w:gridSpan w:val="3"/>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353,633</w:t>
            </w:r>
          </w:p>
        </w:tc>
        <w:tc>
          <w:tcPr>
            <w:tcW w:w="0" w:type="dxa"/>
            <w:vAlign w:val="bottom"/>
          </w:tcPr>
          <w:p>
            <w:pPr>
              <w:spacing w:after="0"/>
              <w:rPr>
                <w:sz w:val="1"/>
                <w:szCs w:val="1"/>
                <w:color w:val="auto"/>
              </w:rPr>
            </w:pPr>
          </w:p>
        </w:tc>
      </w:tr>
      <w:tr>
        <w:trPr>
          <w:trHeight w:val="228"/>
        </w:trPr>
        <w:tc>
          <w:tcPr>
            <w:tcW w:w="6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unitholders</w:t>
            </w: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20" w:type="dxa"/>
            <w:vAlign w:val="bottom"/>
            <w:gridSpan w:val="3"/>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7"/>
                <w:szCs w:val="17"/>
                <w:color w:val="auto"/>
              </w:rPr>
              <w:t>Add: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Preferred unit redemption charge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6,412</w:t>
            </w:r>
          </w:p>
        </w:tc>
        <w:tc>
          <w:tcPr>
            <w:tcW w:w="0" w:type="dxa"/>
            <w:vAlign w:val="bottom"/>
          </w:tcPr>
          <w:p>
            <w:pPr>
              <w:spacing w:after="0"/>
              <w:rPr>
                <w:sz w:val="1"/>
                <w:szCs w:val="1"/>
                <w:color w:val="auto"/>
              </w:rPr>
            </w:pPr>
          </w:p>
        </w:tc>
      </w:tr>
      <w:tr>
        <w:trPr>
          <w:trHeight w:val="216"/>
        </w:trPr>
        <w:tc>
          <w:tcPr>
            <w:tcW w:w="6040" w:type="dxa"/>
            <w:vAlign w:val="bottom"/>
          </w:tcPr>
          <w:p>
            <w:pPr>
              <w:ind w:left="320"/>
              <w:spacing w:after="0"/>
              <w:rPr>
                <w:sz w:val="20"/>
                <w:szCs w:val="20"/>
                <w:color w:val="auto"/>
              </w:rPr>
            </w:pPr>
            <w:r>
              <w:rPr>
                <w:rFonts w:ascii="Arial" w:cs="Arial" w:eastAsia="Arial" w:hAnsi="Arial"/>
                <w:sz w:val="17"/>
                <w:szCs w:val="17"/>
                <w:color w:val="auto"/>
              </w:rPr>
              <w:t>Preferred distributions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2,560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Noncontrolling interests in property partnerships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18,801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54,896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52,602</w:t>
            </w:r>
          </w:p>
        </w:tc>
        <w:tc>
          <w:tcPr>
            <w:tcW w:w="0" w:type="dxa"/>
            <w:vAlign w:val="bottom"/>
          </w:tcPr>
          <w:p>
            <w:pPr>
              <w:spacing w:after="0"/>
              <w:rPr>
                <w:sz w:val="1"/>
                <w:szCs w:val="1"/>
                <w:color w:val="auto"/>
              </w:rPr>
            </w:pPr>
          </w:p>
        </w:tc>
      </w:tr>
      <w:tr>
        <w:trPr>
          <w:trHeight w:val="216"/>
        </w:trPr>
        <w:tc>
          <w:tcPr>
            <w:tcW w:w="6040" w:type="dxa"/>
            <w:vAlign w:val="bottom"/>
          </w:tcPr>
          <w:p>
            <w:pPr>
              <w:ind w:left="320"/>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111,846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105,794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317,216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320,015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Losses from early extinguishment of debt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w:t>
            </w:r>
          </w:p>
        </w:tc>
        <w:tc>
          <w:tcPr>
            <w:tcW w:w="0" w:type="dxa"/>
            <w:vAlign w:val="bottom"/>
          </w:tcPr>
          <w:p>
            <w:pPr>
              <w:spacing w:after="0"/>
              <w:rPr>
                <w:sz w:val="1"/>
                <w:szCs w:val="1"/>
                <w:color w:val="auto"/>
              </w:rPr>
            </w:pPr>
          </w:p>
        </w:tc>
      </w:tr>
      <w:tr>
        <w:trPr>
          <w:trHeight w:val="216"/>
        </w:trPr>
        <w:tc>
          <w:tcPr>
            <w:tcW w:w="6040" w:type="dxa"/>
            <w:vAlign w:val="bottom"/>
          </w:tcPr>
          <w:p>
            <w:pPr>
              <w:ind w:left="320"/>
              <w:spacing w:after="0"/>
              <w:rPr>
                <w:sz w:val="20"/>
                <w:szCs w:val="20"/>
                <w:color w:val="auto"/>
              </w:rPr>
            </w:pPr>
            <w:r>
              <w:rPr>
                <w:rFonts w:ascii="Arial" w:cs="Arial" w:eastAsia="Arial" w:hAnsi="Arial"/>
                <w:sz w:val="17"/>
                <w:szCs w:val="17"/>
                <w:color w:val="auto"/>
              </w:rPr>
              <w:t>Net operating income from unconsolidated joint ventures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35,316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24,266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108,347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74,478</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Loss from unconsolidated joint ventures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1,745</w:t>
            </w:r>
          </w:p>
        </w:tc>
        <w:tc>
          <w:tcPr>
            <w:tcW w:w="0" w:type="dxa"/>
            <w:vAlign w:val="bottom"/>
          </w:tcPr>
          <w:p>
            <w:pPr>
              <w:spacing w:after="0"/>
              <w:rPr>
                <w:sz w:val="1"/>
                <w:szCs w:val="1"/>
                <w:color w:val="auto"/>
              </w:rPr>
            </w:pPr>
          </w:p>
        </w:tc>
      </w:tr>
      <w:tr>
        <w:trPr>
          <w:trHeight w:val="216"/>
        </w:trPr>
        <w:tc>
          <w:tcPr>
            <w:tcW w:w="6040" w:type="dxa"/>
            <w:vAlign w:val="bottom"/>
          </w:tcPr>
          <w:p>
            <w:pPr>
              <w:ind w:left="320"/>
              <w:spacing w:after="0"/>
              <w:rPr>
                <w:sz w:val="20"/>
                <w:szCs w:val="20"/>
                <w:color w:val="auto"/>
              </w:rPr>
            </w:pPr>
            <w:r>
              <w:rPr>
                <w:rFonts w:ascii="Arial" w:cs="Arial" w:eastAsia="Arial" w:hAnsi="Arial"/>
                <w:sz w:val="17"/>
                <w:szCs w:val="17"/>
                <w:color w:val="auto"/>
              </w:rPr>
              <w:t>Depreciation and amortization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188,969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177,677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546,271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533,255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Transaction costs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2,970</w:t>
            </w:r>
          </w:p>
        </w:tc>
        <w:tc>
          <w:tcPr>
            <w:tcW w:w="0" w:type="dxa"/>
            <w:vAlign w:val="bottom"/>
          </w:tcPr>
          <w:p>
            <w:pPr>
              <w:spacing w:after="0"/>
              <w:rPr>
                <w:sz w:val="1"/>
                <w:szCs w:val="1"/>
                <w:color w:val="auto"/>
              </w:rPr>
            </w:pPr>
          </w:p>
        </w:tc>
      </w:tr>
      <w:tr>
        <w:trPr>
          <w:trHeight w:val="216"/>
        </w:trPr>
        <w:tc>
          <w:tcPr>
            <w:tcW w:w="6040" w:type="dxa"/>
            <w:vAlign w:val="bottom"/>
          </w:tcPr>
          <w:p>
            <w:pPr>
              <w:ind w:left="320"/>
              <w:spacing w:after="0"/>
              <w:rPr>
                <w:sz w:val="20"/>
                <w:szCs w:val="20"/>
                <w:color w:val="auto"/>
              </w:rPr>
            </w:pPr>
            <w:r>
              <w:rPr>
                <w:rFonts w:ascii="Arial" w:cs="Arial" w:eastAsia="Arial" w:hAnsi="Arial"/>
                <w:sz w:val="17"/>
                <w:szCs w:val="17"/>
                <w:color w:val="auto"/>
              </w:rPr>
              <w:t>Payroll and related costs from management services contracts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3,900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11,204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9,166</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32,519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117,924</w:t>
            </w: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7"/>
                <w:szCs w:val="17"/>
                <w:color w:val="auto"/>
              </w:rPr>
              <w:t>Less: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040" w:type="dxa"/>
            <w:vAlign w:val="bottom"/>
            <w:shd w:val="clear" w:color="auto" w:fill="CCEEFF"/>
          </w:tcPr>
          <w:p>
            <w:pPr>
              <w:ind w:left="320"/>
              <w:spacing w:after="0" w:line="165" w:lineRule="exact"/>
              <w:rPr>
                <w:sz w:val="20"/>
                <w:szCs w:val="20"/>
                <w:color w:val="auto"/>
              </w:rPr>
            </w:pPr>
            <w:r>
              <w:rPr>
                <w:rFonts w:ascii="Arial" w:cs="Arial" w:eastAsia="Arial" w:hAnsi="Arial"/>
                <w:sz w:val="17"/>
                <w:szCs w:val="17"/>
                <w:color w:val="auto"/>
              </w:rPr>
              <w:t>Net operating income attributable to noncontrolling interests in property</w:t>
            </w: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48,306</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47,800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143,223</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138,463</w:t>
            </w:r>
          </w:p>
        </w:tc>
        <w:tc>
          <w:tcPr>
            <w:tcW w:w="0" w:type="dxa"/>
            <w:vAlign w:val="bottom"/>
          </w:tcPr>
          <w:p>
            <w:pPr>
              <w:spacing w:after="0"/>
              <w:rPr>
                <w:sz w:val="1"/>
                <w:szCs w:val="1"/>
                <w:color w:val="auto"/>
              </w:rPr>
            </w:pPr>
          </w:p>
        </w:tc>
      </w:tr>
      <w:tr>
        <w:trPr>
          <w:trHeight w:val="228"/>
        </w:trPr>
        <w:tc>
          <w:tcPr>
            <w:tcW w:w="6040" w:type="dxa"/>
            <w:vAlign w:val="bottom"/>
            <w:shd w:val="clear" w:color="auto" w:fill="CCEEFF"/>
          </w:tcPr>
          <w:p>
            <w:pPr>
              <w:ind w:left="560"/>
              <w:spacing w:after="0"/>
              <w:rPr>
                <w:sz w:val="20"/>
                <w:szCs w:val="20"/>
                <w:color w:val="auto"/>
              </w:rPr>
            </w:pPr>
            <w:r>
              <w:rPr>
                <w:rFonts w:ascii="Arial" w:cs="Arial" w:eastAsia="Arial" w:hAnsi="Arial"/>
                <w:sz w:val="17"/>
                <w:szCs w:val="17"/>
                <w:color w:val="auto"/>
              </w:rPr>
              <w:t>partnerships</w:t>
            </w: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20"/>
              <w:spacing w:after="0"/>
              <w:rPr>
                <w:sz w:val="20"/>
                <w:szCs w:val="20"/>
                <w:color w:val="auto"/>
              </w:rPr>
            </w:pPr>
            <w:r>
              <w:rPr>
                <w:rFonts w:ascii="Arial" w:cs="Arial" w:eastAsia="Arial" w:hAnsi="Arial"/>
                <w:sz w:val="17"/>
                <w:szCs w:val="17"/>
                <w:color w:val="auto"/>
              </w:rPr>
              <w:t>Gains (losses) from investments in securities</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(1,571)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(8,549)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3,744</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income - assignment fee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320"/>
              <w:spacing w:after="0"/>
              <w:rPr>
                <w:sz w:val="20"/>
                <w:szCs w:val="20"/>
                <w:color w:val="auto"/>
              </w:rPr>
            </w:pPr>
            <w:r>
              <w:rPr>
                <w:rFonts w:ascii="Arial" w:cs="Arial" w:eastAsia="Arial" w:hAnsi="Arial"/>
                <w:sz w:val="17"/>
                <w:szCs w:val="17"/>
                <w:color w:val="auto"/>
              </w:rPr>
              <w:t>Interest and other income (loss)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3,728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6,151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4,140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Gains on sales of real estate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262,357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385,349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8,104</w:t>
            </w:r>
          </w:p>
        </w:tc>
        <w:tc>
          <w:tcPr>
            <w:tcW w:w="0" w:type="dxa"/>
            <w:vAlign w:val="bottom"/>
          </w:tcPr>
          <w:p>
            <w:pPr>
              <w:spacing w:after="0"/>
              <w:rPr>
                <w:sz w:val="1"/>
                <w:szCs w:val="1"/>
                <w:color w:val="auto"/>
              </w:rPr>
            </w:pPr>
          </w:p>
        </w:tc>
      </w:tr>
      <w:tr>
        <w:trPr>
          <w:trHeight w:val="165"/>
        </w:trPr>
        <w:tc>
          <w:tcPr>
            <w:tcW w:w="6040" w:type="dxa"/>
            <w:vAlign w:val="bottom"/>
          </w:tcPr>
          <w:p>
            <w:pPr>
              <w:ind w:left="320"/>
              <w:spacing w:after="0" w:line="165" w:lineRule="exact"/>
              <w:rPr>
                <w:sz w:val="20"/>
                <w:szCs w:val="20"/>
                <w:color w:val="auto"/>
              </w:rPr>
            </w:pPr>
            <w:r>
              <w:rPr>
                <w:rFonts w:ascii="Arial" w:cs="Arial" w:eastAsia="Arial" w:hAnsi="Arial"/>
                <w:sz w:val="17"/>
                <w:szCs w:val="17"/>
                <w:color w:val="auto"/>
              </w:rPr>
              <w:t>Direct reimbursements of payroll and related costs from management</w:t>
            </w: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3,900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3,006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11,204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9,166</w:t>
            </w:r>
          </w:p>
        </w:tc>
        <w:tc>
          <w:tcPr>
            <w:tcW w:w="0" w:type="dxa"/>
            <w:vAlign w:val="bottom"/>
          </w:tcPr>
          <w:p>
            <w:pPr>
              <w:spacing w:after="0"/>
              <w:rPr>
                <w:sz w:val="1"/>
                <w:szCs w:val="1"/>
                <w:color w:val="auto"/>
              </w:rPr>
            </w:pPr>
          </w:p>
        </w:tc>
      </w:tr>
      <w:tr>
        <w:trPr>
          <w:trHeight w:val="228"/>
        </w:trPr>
        <w:tc>
          <w:tcPr>
            <w:tcW w:w="6040" w:type="dxa"/>
            <w:vAlign w:val="bottom"/>
          </w:tcPr>
          <w:p>
            <w:pPr>
              <w:ind w:left="560"/>
              <w:spacing w:after="0"/>
              <w:rPr>
                <w:sz w:val="20"/>
                <w:szCs w:val="20"/>
                <w:color w:val="auto"/>
              </w:rPr>
            </w:pPr>
            <w:r>
              <w:rPr>
                <w:rFonts w:ascii="Arial" w:cs="Arial" w:eastAsia="Arial" w:hAnsi="Arial"/>
                <w:sz w:val="17"/>
                <w:szCs w:val="17"/>
                <w:color w:val="auto"/>
              </w:rPr>
              <w:t>services contracts</w:t>
            </w: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Development and management services revenue</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7,465</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6,094</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19,650</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20,181</w:t>
            </w:r>
          </w:p>
        </w:tc>
        <w:tc>
          <w:tcPr>
            <w:tcW w:w="0" w:type="dxa"/>
            <w:vAlign w:val="bottom"/>
          </w:tcPr>
          <w:p>
            <w:pPr>
              <w:spacing w:after="0"/>
              <w:rPr>
                <w:sz w:val="1"/>
                <w:szCs w:val="1"/>
                <w:color w:val="auto"/>
              </w:rPr>
            </w:pPr>
          </w:p>
        </w:tc>
      </w:tr>
      <w:tr>
        <w:trPr>
          <w:trHeight w:val="208"/>
        </w:trPr>
        <w:tc>
          <w:tcPr>
            <w:tcW w:w="6040" w:type="dxa"/>
            <w:vAlign w:val="bottom"/>
          </w:tcPr>
          <w:p>
            <w:pPr>
              <w:ind w:left="20"/>
              <w:spacing w:after="0"/>
              <w:rPr>
                <w:sz w:val="20"/>
                <w:szCs w:val="20"/>
                <w:color w:val="auto"/>
              </w:rPr>
            </w:pPr>
            <w:r>
              <w:rPr>
                <w:rFonts w:ascii="Arial" w:cs="Arial" w:eastAsia="Arial" w:hAnsi="Arial"/>
                <w:sz w:val="17"/>
                <w:szCs w:val="17"/>
                <w:color w:val="auto"/>
              </w:rPr>
              <w:t>Company’s share of Net Operating Income</w:t>
            </w: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475,918</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435,195</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1,407,390</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1,291,860</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firstLine="419"/>
        <w:spacing w:after="0" w:line="251" w:lineRule="auto"/>
        <w:rPr>
          <w:sz w:val="20"/>
          <w:szCs w:val="20"/>
          <w:color w:val="auto"/>
        </w:rPr>
      </w:pPr>
      <w:r>
        <w:rPr>
          <w:rFonts w:ascii="Arial" w:cs="Arial" w:eastAsia="Arial" w:hAnsi="Arial"/>
          <w:sz w:val="17"/>
          <w:szCs w:val="17"/>
          <w:color w:val="auto"/>
        </w:rPr>
        <w:t>Net operating income (“NOI”) is a non-GAAP financial measure equal to net income attributable to Boston Properties, Inc. common shareholders and net income attributable to Boston Properties Limited Partnership common unitholders, as applicable, the most directly comparable GAAP financial measures, plus (1) preferred stock/unit redemption charge, preferred dividends/distributions, net income attributable to noncontrolling interests, interest expense, losses from early extinguishment of debt, loss from unconsolidated joint ventures, depreciation and amortization expense, transaction costs, payroll and related costs from management services contracts and corporate general and administrative expense less (2) gains (losses) from investments in securities, other income - assignment fee, interest and other income (loss), gains on sales of real estate, direct reimbursements of payroll and related costs from management services contracts and development and management services revenue. The Company believes NOI is useful to investors as a performance measure and believes it provides useful information to investors regarding its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common shareholders and net income attributable to Boston Properties Limited Partnership common unitholders.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480"/>
        <w:spacing w:after="0" w:line="283" w:lineRule="auto"/>
        <w:rPr>
          <w:sz w:val="20"/>
          <w:szCs w:val="20"/>
          <w:color w:val="auto"/>
        </w:rPr>
      </w:pPr>
      <w:r>
        <w:rPr>
          <w:rFonts w:ascii="Arial" w:cs="Arial" w:eastAsia="Arial" w:hAnsi="Arial"/>
          <w:sz w:val="17"/>
          <w:szCs w:val="17"/>
          <w:color w:val="auto"/>
        </w:rPr>
        <w:t>property level. NOI presented by the Company may not be comparable to NOI reported by other REITs or real estate companies that define NOI differently.</w:t>
      </w:r>
    </w:p>
    <w:p>
      <w:pPr>
        <w:spacing w:after="0" w:line="97" w:lineRule="exact"/>
        <w:rPr>
          <w:sz w:val="20"/>
          <w:szCs w:val="20"/>
          <w:color w:val="auto"/>
        </w:rPr>
      </w:pPr>
    </w:p>
    <w:p>
      <w:pPr>
        <w:ind w:firstLine="419"/>
        <w:spacing w:after="0" w:line="251" w:lineRule="auto"/>
        <w:rPr>
          <w:sz w:val="20"/>
          <w:szCs w:val="20"/>
          <w:color w:val="auto"/>
        </w:rPr>
      </w:pPr>
      <w:r>
        <w:rPr>
          <w:rFonts w:ascii="Arial" w:cs="Arial" w:eastAsia="Arial" w:hAnsi="Arial"/>
          <w:sz w:val="17"/>
          <w:szCs w:val="17"/>
          <w:color w:val="auto"/>
        </w:rPr>
        <w:t>The Company’s internal reporting utilizes its share of NOI, which includes its share of NOI from consolidated and unconsolidated joint ventures, which is a non-GAAP financial measure that is calculated as the consolidated amount, plus the Company’s share of the amount from the Company’s unconsolidated joint ventures (calculated based upon the Company’s economic percentage ownership interest and, in some cases, after priority allocations), less the Company’s partners’ share of the amount from the Company’s consolidated joint ventures (calculated based upon the partners’ economic percentage ownership interests and, in some cases, after priority allocations, income allocation to private REIT shareholders and their share of fees due to the Company). The Company’s share of NOI from unconsolidated joint ventures does not include its share of losses from early extinguishment of debt from unconsolidated joint ventures, gains on sales of real estate from unconsolidated joint ventures and gain on sale of investment from unconsolidated joint ventures, both of which are included within Income (Loss) From Unconsolidated Joint Ventures in the Company’s Consolidated Statements of Operations. Management utilizes its share of NOI in assessing its performance as the Company has several significant joint ventures and, in some cases, the Company exercises significant influence over, but does not control, the joint venture, in which case GAAP requires that the Company account for the joint venture entity using the equity method of accounting and the Company does not consolidate it for financial reporting purposes. In other cases, GAAP requires that the Company consolidate the venture even though the Company’s partner(s) owns a significant percentage interest. As a result, the presentations of the Company’s share of NOI should not be considered a substitute for, and should only be considered together with and as a supplement to, the Company’s financial information presented in accordance with GAAP.</w:t>
      </w:r>
    </w:p>
    <w:p>
      <w:pPr>
        <w:spacing w:after="0" w:line="133" w:lineRule="exact"/>
        <w:rPr>
          <w:sz w:val="20"/>
          <w:szCs w:val="20"/>
          <w:color w:val="auto"/>
        </w:rPr>
      </w:pPr>
    </w:p>
    <w:p>
      <w:pPr>
        <w:ind w:right="40" w:firstLine="419"/>
        <w:spacing w:after="0" w:line="254" w:lineRule="auto"/>
        <w:rPr>
          <w:sz w:val="20"/>
          <w:szCs w:val="20"/>
          <w:color w:val="auto"/>
        </w:rPr>
      </w:pPr>
      <w:r>
        <w:rPr>
          <w:rFonts w:ascii="Arial" w:cs="Arial" w:eastAsia="Arial" w:hAnsi="Arial"/>
          <w:sz w:val="17"/>
          <w:szCs w:val="17"/>
          <w:color w:val="auto"/>
        </w:rPr>
        <w:t>Asset information by segment is not reported because the Company does not use this measure to assess performance. Therefore, depreciation and amortization expense is not allocated among segments. Preferred stock/unit redemption charge, preferred dividends/distributions, interest expense, losses from early extinguishment of debt, loss from unconsolidated joint ventures, depreciation and amortization expense, transaction costs, payroll and related costs from management services contracts, corporate general and administrative expense, gains (losses) from investments in securities, other income - assignment fee, interest and other income (loss), gains on sales of real estate, direct reimbursements of payroll and related costs from management services contracts and development and management services revenue are not included in NOI and are provided as reconciling items to the Company’s reconciliations of its share of NOI to net income attributable to common shareholders/unitholders.</w:t>
      </w:r>
    </w:p>
    <w:p>
      <w:pPr>
        <w:spacing w:after="0" w:line="126" w:lineRule="exact"/>
        <w:rPr>
          <w:sz w:val="20"/>
          <w:szCs w:val="20"/>
          <w:color w:val="auto"/>
        </w:rPr>
      </w:pPr>
    </w:p>
    <w:p>
      <w:pPr>
        <w:ind w:firstLine="419"/>
        <w:spacing w:after="0" w:line="257" w:lineRule="auto"/>
        <w:rPr>
          <w:sz w:val="20"/>
          <w:szCs w:val="20"/>
          <w:color w:val="auto"/>
        </w:rPr>
      </w:pPr>
      <w:r>
        <w:rPr>
          <w:rFonts w:ascii="Arial" w:cs="Arial" w:eastAsia="Arial" w:hAnsi="Arial"/>
          <w:sz w:val="17"/>
          <w:szCs w:val="17"/>
          <w:color w:val="auto"/>
        </w:rPr>
        <w:t>The Company’s segments are based on the Company’s method of internal reporting which classifies its operations by geographic area. The Company’s segments by geographic area are Boston, Los Angeles, New York, San Francisco, Seattle and Washington, DC. On September 1, 2021, the Company invested in a joint venture that acquired Safeco Plaza located in Seattle, Washington. As such, the Seattle region was identified as a segment during the third quarter of 2021. The Company also presents information for each segment by property type, including Office, Residential and Hotel.</w:t>
      </w:r>
    </w:p>
    <w:p>
      <w:pPr>
        <w:spacing w:after="0" w:line="121" w:lineRule="exact"/>
        <w:rPr>
          <w:sz w:val="20"/>
          <w:szCs w:val="20"/>
          <w:color w:val="auto"/>
        </w:rPr>
      </w:pPr>
    </w:p>
    <w:p>
      <w:pPr>
        <w:ind w:right="340" w:firstLine="419"/>
        <w:spacing w:after="0" w:line="266" w:lineRule="auto"/>
        <w:rPr>
          <w:sz w:val="20"/>
          <w:szCs w:val="20"/>
          <w:color w:val="auto"/>
        </w:rPr>
      </w:pPr>
      <w:r>
        <w:rPr>
          <w:rFonts w:ascii="Arial" w:cs="Arial" w:eastAsia="Arial" w:hAnsi="Arial"/>
          <w:sz w:val="17"/>
          <w:szCs w:val="17"/>
          <w:color w:val="auto"/>
        </w:rPr>
        <w:t>Parking and other revenue for the three months ended September 30, 2022 increased by approximately $4.6 million compared to the three months ended September 30, 2021. Parking and other revenue for the nine months ended September 30, 2022 increased by approximately $21.5 million compared to 2021. These increases were primarily in transient and monthly parking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Information by geographic area and property type (dollars in thousands):</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the three months ended September 30, 2022: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Boston</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 Angeles</w:t>
            </w:r>
          </w:p>
        </w:tc>
        <w:tc>
          <w:tcPr>
            <w:tcW w:w="20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New York</w:t>
            </w:r>
          </w:p>
        </w:tc>
        <w:tc>
          <w:tcPr>
            <w:tcW w:w="10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San Francisco</w:t>
            </w:r>
          </w:p>
        </w:tc>
        <w:tc>
          <w:tcPr>
            <w:tcW w:w="2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Seattle</w:t>
            </w:r>
          </w:p>
        </w:tc>
        <w:tc>
          <w:tcPr>
            <w:tcW w:w="12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Washington, DC</w:t>
            </w:r>
          </w:p>
        </w:tc>
        <w:tc>
          <w:tcPr>
            <w:tcW w:w="280" w:type="dxa"/>
            <w:vAlign w:val="bottom"/>
          </w:tcPr>
          <w:p>
            <w:pPr>
              <w:spacing w:after="0"/>
              <w:rPr>
                <w:sz w:val="16"/>
                <w:szCs w:val="16"/>
                <w:color w:val="auto"/>
              </w:rPr>
            </w:pPr>
          </w:p>
        </w:tc>
        <w:tc>
          <w:tcPr>
            <w:tcW w:w="940" w:type="dxa"/>
            <w:vAlign w:val="bottom"/>
          </w:tcPr>
          <w:p>
            <w:pPr>
              <w:jc w:val="right"/>
              <w:ind w:right="3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Rental Revenue: (1)</w:t>
            </w: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220"/>
              <w:spacing w:after="0"/>
              <w:rPr>
                <w:sz w:val="20"/>
                <w:szCs w:val="20"/>
                <w:color w:val="auto"/>
              </w:rPr>
            </w:pPr>
            <w:r>
              <w:rPr>
                <w:rFonts w:ascii="Arial" w:cs="Arial" w:eastAsia="Arial" w:hAnsi="Arial"/>
                <w:sz w:val="15"/>
                <w:szCs w:val="15"/>
                <w:color w:val="auto"/>
              </w:rPr>
              <w:t>Office</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124"/>
              <w:spacing w:after="0"/>
              <w:rPr>
                <w:sz w:val="20"/>
                <w:szCs w:val="20"/>
                <w:color w:val="auto"/>
              </w:rPr>
            </w:pPr>
            <w:r>
              <w:rPr>
                <w:rFonts w:ascii="Arial" w:cs="Arial" w:eastAsia="Arial" w:hAnsi="Arial"/>
                <w:sz w:val="15"/>
                <w:szCs w:val="15"/>
                <w:color w:val="auto"/>
              </w:rPr>
              <w:t>255,958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124"/>
              <w:spacing w:after="0"/>
              <w:rPr>
                <w:sz w:val="20"/>
                <w:szCs w:val="20"/>
                <w:color w:val="auto"/>
              </w:rPr>
            </w:pPr>
            <w:r>
              <w:rPr>
                <w:rFonts w:ascii="Arial" w:cs="Arial" w:eastAsia="Arial" w:hAnsi="Arial"/>
                <w:sz w:val="15"/>
                <w:szCs w:val="15"/>
                <w:color w:val="auto"/>
              </w:rPr>
              <w:t>260,926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134,938</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12,293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104"/>
              <w:spacing w:after="0"/>
              <w:rPr>
                <w:sz w:val="20"/>
                <w:szCs w:val="20"/>
                <w:color w:val="auto"/>
              </w:rPr>
            </w:pPr>
            <w:r>
              <w:rPr>
                <w:rFonts w:ascii="Arial" w:cs="Arial" w:eastAsia="Arial" w:hAnsi="Arial"/>
                <w:sz w:val="15"/>
                <w:szCs w:val="15"/>
                <w:color w:val="auto"/>
              </w:rPr>
              <w:t>88,954</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104"/>
              <w:spacing w:after="0"/>
              <w:rPr>
                <w:sz w:val="20"/>
                <w:szCs w:val="20"/>
                <w:color w:val="auto"/>
              </w:rPr>
            </w:pPr>
            <w:r>
              <w:rPr>
                <w:rFonts w:ascii="Arial" w:cs="Arial" w:eastAsia="Arial" w:hAnsi="Arial"/>
                <w:sz w:val="15"/>
                <w:szCs w:val="15"/>
                <w:color w:val="auto"/>
              </w:rPr>
              <w:t>753,069</w:t>
            </w: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Residential</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3,837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3,133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7,370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14,340</w:t>
            </w:r>
          </w:p>
        </w:tc>
        <w:tc>
          <w:tcPr>
            <w:tcW w:w="0" w:type="dxa"/>
            <w:vAlign w:val="bottom"/>
          </w:tcPr>
          <w:p>
            <w:pPr>
              <w:spacing w:after="0"/>
              <w:rPr>
                <w:sz w:val="1"/>
                <w:szCs w:val="1"/>
                <w:color w:val="auto"/>
              </w:rPr>
            </w:pPr>
          </w:p>
        </w:tc>
      </w:tr>
      <w:tr>
        <w:trPr>
          <w:trHeight w:val="202"/>
        </w:trPr>
        <w:tc>
          <w:tcPr>
            <w:tcW w:w="22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Hotel</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11,749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11,749</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271,544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260,926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138,071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12,293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96,324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779,158</w:t>
            </w:r>
          </w:p>
        </w:tc>
        <w:tc>
          <w:tcPr>
            <w:tcW w:w="0" w:type="dxa"/>
            <w:vAlign w:val="bottom"/>
          </w:tcPr>
          <w:p>
            <w:pPr>
              <w:spacing w:after="0"/>
              <w:rPr>
                <w:sz w:val="1"/>
                <w:szCs w:val="1"/>
                <w:color w:val="auto"/>
              </w:rPr>
            </w:pPr>
          </w:p>
        </w:tc>
      </w:tr>
      <w:tr>
        <w:trPr>
          <w:trHeight w:val="194"/>
        </w:trPr>
        <w:tc>
          <w:tcPr>
            <w:tcW w:w="2240" w:type="dxa"/>
            <w:vAlign w:val="bottom"/>
          </w:tcPr>
          <w:p>
            <w:pPr>
              <w:ind w:left="20"/>
              <w:spacing w:after="0"/>
              <w:rPr>
                <w:sz w:val="20"/>
                <w:szCs w:val="20"/>
                <w:color w:val="auto"/>
              </w:rPr>
            </w:pPr>
            <w:r>
              <w:rPr>
                <w:rFonts w:ascii="Arial" w:cs="Arial" w:eastAsia="Arial" w:hAnsi="Arial"/>
                <w:sz w:val="15"/>
                <w:szCs w:val="15"/>
                <w:color w:val="auto"/>
              </w:rPr>
              <w:t>% of Grand Totals</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34.85 %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680"/>
              <w:spacing w:after="0"/>
              <w:rPr>
                <w:sz w:val="20"/>
                <w:szCs w:val="20"/>
                <w:color w:val="auto"/>
              </w:rPr>
            </w:pPr>
            <w:r>
              <w:rPr>
                <w:rFonts w:ascii="Arial" w:cs="Arial" w:eastAsia="Arial" w:hAnsi="Arial"/>
                <w:sz w:val="15"/>
                <w:szCs w:val="15"/>
                <w:color w:val="auto"/>
              </w:rPr>
              <w:t>— %</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33.49 %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17.72 %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12.36 %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100.00 %</w:t>
            </w: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Rental Expenses:</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220"/>
              <w:spacing w:after="0"/>
              <w:rPr>
                <w:sz w:val="20"/>
                <w:szCs w:val="20"/>
                <w:color w:val="auto"/>
              </w:rPr>
            </w:pPr>
            <w:r>
              <w:rPr>
                <w:rFonts w:ascii="Arial" w:cs="Arial" w:eastAsia="Arial" w:hAnsi="Arial"/>
                <w:sz w:val="15"/>
                <w:szCs w:val="15"/>
                <w:color w:val="auto"/>
              </w:rPr>
              <w:t>Office</w:t>
            </w:r>
          </w:p>
        </w:tc>
        <w:tc>
          <w:tcPr>
            <w:tcW w:w="240" w:type="dxa"/>
            <w:vAlign w:val="bottom"/>
          </w:tcPr>
          <w:p>
            <w:pPr>
              <w:spacing w:after="0"/>
              <w:rPr>
                <w:sz w:val="17"/>
                <w:szCs w:val="17"/>
                <w:color w:val="auto"/>
              </w:rPr>
            </w:pPr>
          </w:p>
        </w:tc>
        <w:tc>
          <w:tcPr>
            <w:tcW w:w="960" w:type="dxa"/>
            <w:vAlign w:val="bottom"/>
          </w:tcPr>
          <w:p>
            <w:pPr>
              <w:jc w:val="right"/>
              <w:ind w:right="124"/>
              <w:spacing w:after="0"/>
              <w:rPr>
                <w:sz w:val="20"/>
                <w:szCs w:val="20"/>
                <w:color w:val="auto"/>
              </w:rPr>
            </w:pPr>
            <w:r>
              <w:rPr>
                <w:rFonts w:ascii="Arial" w:cs="Arial" w:eastAsia="Arial" w:hAnsi="Arial"/>
                <w:sz w:val="15"/>
                <w:szCs w:val="15"/>
                <w:color w:val="auto"/>
              </w:rPr>
              <w:t>91,226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020" w:type="dxa"/>
            <w:vAlign w:val="bottom"/>
          </w:tcPr>
          <w:p>
            <w:pPr>
              <w:jc w:val="right"/>
              <w:ind w:right="124"/>
              <w:spacing w:after="0"/>
              <w:rPr>
                <w:sz w:val="20"/>
                <w:szCs w:val="20"/>
                <w:color w:val="auto"/>
              </w:rPr>
            </w:pPr>
            <w:r>
              <w:rPr>
                <w:rFonts w:ascii="Arial" w:cs="Arial" w:eastAsia="Arial" w:hAnsi="Arial"/>
                <w:sz w:val="15"/>
                <w:szCs w:val="15"/>
                <w:color w:val="auto"/>
              </w:rPr>
              <w:t>99,942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47,068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3,125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04"/>
              <w:spacing w:after="0"/>
              <w:rPr>
                <w:sz w:val="20"/>
                <w:szCs w:val="20"/>
                <w:color w:val="auto"/>
              </w:rPr>
            </w:pPr>
            <w:r>
              <w:rPr>
                <w:rFonts w:ascii="Arial" w:cs="Arial" w:eastAsia="Arial" w:hAnsi="Arial"/>
                <w:sz w:val="15"/>
                <w:szCs w:val="15"/>
                <w:color w:val="auto"/>
              </w:rPr>
              <w:t>33,317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04"/>
              <w:spacing w:after="0"/>
              <w:rPr>
                <w:sz w:val="20"/>
                <w:szCs w:val="20"/>
                <w:color w:val="auto"/>
              </w:rPr>
            </w:pPr>
            <w:r>
              <w:rPr>
                <w:rFonts w:ascii="Arial" w:cs="Arial" w:eastAsia="Arial" w:hAnsi="Arial"/>
                <w:sz w:val="15"/>
                <w:szCs w:val="15"/>
                <w:color w:val="auto"/>
              </w:rPr>
              <w:t>274,678</w:t>
            </w: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Residential</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1,552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2,125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3,347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7,024</w:t>
            </w:r>
          </w:p>
        </w:tc>
        <w:tc>
          <w:tcPr>
            <w:tcW w:w="0" w:type="dxa"/>
            <w:vAlign w:val="bottom"/>
          </w:tcPr>
          <w:p>
            <w:pPr>
              <w:spacing w:after="0"/>
              <w:rPr>
                <w:sz w:val="1"/>
                <w:szCs w:val="1"/>
                <w:color w:val="auto"/>
              </w:rPr>
            </w:pPr>
          </w:p>
        </w:tc>
      </w:tr>
      <w:tr>
        <w:trPr>
          <w:trHeight w:val="202"/>
        </w:trPr>
        <w:tc>
          <w:tcPr>
            <w:tcW w:w="22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Hotel</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8,548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8,548</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101,326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99,942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49,193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3,125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36,664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290,250</w:t>
            </w:r>
          </w:p>
        </w:tc>
        <w:tc>
          <w:tcPr>
            <w:tcW w:w="0" w:type="dxa"/>
            <w:vAlign w:val="bottom"/>
          </w:tcPr>
          <w:p>
            <w:pPr>
              <w:spacing w:after="0"/>
              <w:rPr>
                <w:sz w:val="1"/>
                <w:szCs w:val="1"/>
                <w:color w:val="auto"/>
              </w:rPr>
            </w:pPr>
          </w:p>
        </w:tc>
      </w:tr>
      <w:tr>
        <w:trPr>
          <w:trHeight w:val="194"/>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 of Grand Totals</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34.91 %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80"/>
              <w:spacing w:after="0"/>
              <w:rPr>
                <w:sz w:val="20"/>
                <w:szCs w:val="20"/>
                <w:color w:val="auto"/>
              </w:rPr>
            </w:pPr>
            <w:r>
              <w:rPr>
                <w:rFonts w:ascii="Arial" w:cs="Arial" w:eastAsia="Arial" w:hAnsi="Arial"/>
                <w:sz w:val="15"/>
                <w:szCs w:val="15"/>
                <w:color w:val="auto"/>
                <w:w w:val="98"/>
              </w:rPr>
              <w:t>—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34.43 %</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16.95 %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12.63 %</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100.00 %</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operating income</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170,218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160,984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88,878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9,168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59,660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488,908</w:t>
            </w:r>
          </w:p>
        </w:tc>
        <w:tc>
          <w:tcPr>
            <w:tcW w:w="0" w:type="dxa"/>
            <w:vAlign w:val="bottom"/>
          </w:tcPr>
          <w:p>
            <w:pPr>
              <w:spacing w:after="0"/>
              <w:rPr>
                <w:sz w:val="1"/>
                <w:szCs w:val="1"/>
                <w:color w:val="auto"/>
              </w:rPr>
            </w:pPr>
          </w:p>
        </w:tc>
      </w:tr>
      <w:tr>
        <w:trPr>
          <w:trHeight w:val="194"/>
        </w:trPr>
        <w:tc>
          <w:tcPr>
            <w:tcW w:w="2240" w:type="dxa"/>
            <w:vAlign w:val="bottom"/>
          </w:tcPr>
          <w:p>
            <w:pPr>
              <w:ind w:left="20"/>
              <w:spacing w:after="0"/>
              <w:rPr>
                <w:sz w:val="20"/>
                <w:szCs w:val="20"/>
                <w:color w:val="auto"/>
              </w:rPr>
            </w:pPr>
            <w:r>
              <w:rPr>
                <w:rFonts w:ascii="Arial" w:cs="Arial" w:eastAsia="Arial" w:hAnsi="Arial"/>
                <w:sz w:val="15"/>
                <w:szCs w:val="15"/>
                <w:color w:val="auto"/>
              </w:rPr>
              <w:t>% of Grand Totals</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34.81 %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680"/>
              <w:spacing w:after="0"/>
              <w:rPr>
                <w:sz w:val="20"/>
                <w:szCs w:val="20"/>
                <w:color w:val="auto"/>
              </w:rPr>
            </w:pPr>
            <w:r>
              <w:rPr>
                <w:rFonts w:ascii="Arial" w:cs="Arial" w:eastAsia="Arial" w:hAnsi="Arial"/>
                <w:sz w:val="15"/>
                <w:szCs w:val="15"/>
                <w:color w:val="auto"/>
              </w:rPr>
              <w:t>— %</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32.93 %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18.18 %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1.88 %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12.20 %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100.00 %</w:t>
            </w:r>
          </w:p>
        </w:tc>
        <w:tc>
          <w:tcPr>
            <w:tcW w:w="0" w:type="dxa"/>
            <w:vAlign w:val="bottom"/>
          </w:tcPr>
          <w:p>
            <w:pPr>
              <w:spacing w:after="0"/>
              <w:rPr>
                <w:sz w:val="1"/>
                <w:szCs w:val="1"/>
                <w:color w:val="auto"/>
              </w:rPr>
            </w:pPr>
          </w:p>
        </w:tc>
      </w:tr>
      <w:tr>
        <w:trPr>
          <w:trHeight w:val="154"/>
        </w:trPr>
        <w:tc>
          <w:tcPr>
            <w:tcW w:w="224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color w:val="auto"/>
              </w:rPr>
              <w:t>Less: Net operating income</w:t>
            </w: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40" w:type="dxa"/>
            <w:vAlign w:val="bottom"/>
            <w:shd w:val="clear" w:color="auto" w:fill="CCEEFF"/>
          </w:tcPr>
          <w:p>
            <w:pPr>
              <w:ind w:left="400"/>
              <w:spacing w:after="0" w:line="152" w:lineRule="exact"/>
              <w:rPr>
                <w:sz w:val="20"/>
                <w:szCs w:val="20"/>
                <w:color w:val="auto"/>
              </w:rPr>
            </w:pPr>
            <w:r>
              <w:rPr>
                <w:rFonts w:ascii="Arial" w:cs="Arial" w:eastAsia="Arial" w:hAnsi="Arial"/>
                <w:sz w:val="15"/>
                <w:szCs w:val="15"/>
                <w:color w:val="auto"/>
              </w:rPr>
              <w:t>attributable to</w:t>
            </w: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40" w:type="dxa"/>
            <w:vAlign w:val="bottom"/>
            <w:shd w:val="clear" w:color="auto" w:fill="CCEEFF"/>
          </w:tcPr>
          <w:p>
            <w:pPr>
              <w:ind w:left="400"/>
              <w:spacing w:after="0" w:line="152" w:lineRule="exact"/>
              <w:rPr>
                <w:sz w:val="20"/>
                <w:szCs w:val="20"/>
                <w:color w:val="auto"/>
              </w:rPr>
            </w:pPr>
            <w:r>
              <w:rPr>
                <w:rFonts w:ascii="Arial" w:cs="Arial" w:eastAsia="Arial" w:hAnsi="Arial"/>
                <w:sz w:val="15"/>
                <w:szCs w:val="15"/>
                <w:color w:val="auto"/>
              </w:rPr>
              <w:t>noncontrolling interests in</w:t>
            </w:r>
          </w:p>
        </w:tc>
        <w:tc>
          <w:tcPr>
            <w:tcW w:w="2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(11,293)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(37,013)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(48,306)</w:t>
            </w: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property partnerships</w:t>
            </w:r>
          </w:p>
        </w:tc>
        <w:tc>
          <w:tcPr>
            <w:tcW w:w="2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240" w:type="dxa"/>
            <w:vAlign w:val="bottom"/>
          </w:tcPr>
          <w:p>
            <w:pPr>
              <w:ind w:left="20"/>
              <w:spacing w:after="0" w:line="153" w:lineRule="exact"/>
              <w:rPr>
                <w:sz w:val="20"/>
                <w:szCs w:val="20"/>
                <w:color w:val="auto"/>
              </w:rPr>
            </w:pPr>
            <w:r>
              <w:rPr>
                <w:rFonts w:ascii="Arial" w:cs="Arial" w:eastAsia="Arial" w:hAnsi="Arial"/>
                <w:sz w:val="15"/>
                <w:szCs w:val="15"/>
                <w:color w:val="auto"/>
              </w:rPr>
              <w:t>Add: Company’s share of net</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40" w:type="dxa"/>
            <w:vAlign w:val="bottom"/>
          </w:tcPr>
          <w:p>
            <w:pPr>
              <w:ind w:left="400"/>
              <w:spacing w:after="0" w:line="152" w:lineRule="exact"/>
              <w:rPr>
                <w:sz w:val="20"/>
                <w:szCs w:val="20"/>
                <w:color w:val="auto"/>
              </w:rPr>
            </w:pPr>
            <w:r>
              <w:rPr>
                <w:rFonts w:ascii="Arial" w:cs="Arial" w:eastAsia="Arial" w:hAnsi="Arial"/>
                <w:sz w:val="15"/>
                <w:szCs w:val="15"/>
                <w:color w:val="auto"/>
              </w:rPr>
              <w:t>operating income (loss)</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40" w:type="dxa"/>
            <w:vAlign w:val="bottom"/>
          </w:tcPr>
          <w:p>
            <w:pPr>
              <w:ind w:left="400"/>
              <w:spacing w:after="0" w:line="152" w:lineRule="exact"/>
              <w:rPr>
                <w:sz w:val="20"/>
                <w:szCs w:val="20"/>
                <w:color w:val="auto"/>
              </w:rPr>
            </w:pPr>
            <w:r>
              <w:rPr>
                <w:rFonts w:ascii="Arial" w:cs="Arial" w:eastAsia="Arial" w:hAnsi="Arial"/>
                <w:sz w:val="15"/>
                <w:szCs w:val="15"/>
                <w:color w:val="auto"/>
              </w:rPr>
              <w:t>from unconsolidated joint</w:t>
            </w:r>
          </w:p>
        </w:tc>
        <w:tc>
          <w:tcPr>
            <w:tcW w:w="240" w:type="dxa"/>
            <w:vAlign w:val="bottom"/>
          </w:tcPr>
          <w:p>
            <w:pPr>
              <w:spacing w:after="0"/>
              <w:rPr>
                <w:sz w:val="13"/>
                <w:szCs w:val="13"/>
                <w:color w:val="auto"/>
              </w:rPr>
            </w:pPr>
          </w:p>
        </w:tc>
        <w:tc>
          <w:tcPr>
            <w:tcW w:w="960" w:type="dxa"/>
            <w:vAlign w:val="bottom"/>
            <w:vMerge w:val="restart"/>
          </w:tcPr>
          <w:p>
            <w:pPr>
              <w:jc w:val="right"/>
              <w:ind w:right="124"/>
              <w:spacing w:after="0"/>
              <w:rPr>
                <w:sz w:val="20"/>
                <w:szCs w:val="20"/>
                <w:color w:val="auto"/>
              </w:rPr>
            </w:pPr>
            <w:r>
              <w:rPr>
                <w:rFonts w:ascii="Arial" w:cs="Arial" w:eastAsia="Arial" w:hAnsi="Arial"/>
                <w:sz w:val="15"/>
                <w:szCs w:val="15"/>
                <w:color w:val="auto"/>
              </w:rPr>
              <w:t>8,169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right"/>
              <w:ind w:right="104"/>
              <w:spacing w:after="0"/>
              <w:rPr>
                <w:sz w:val="20"/>
                <w:szCs w:val="20"/>
                <w:color w:val="auto"/>
              </w:rPr>
            </w:pPr>
            <w:r>
              <w:rPr>
                <w:rFonts w:ascii="Arial" w:cs="Arial" w:eastAsia="Arial" w:hAnsi="Arial"/>
                <w:sz w:val="15"/>
                <w:szCs w:val="15"/>
                <w:color w:val="auto"/>
              </w:rPr>
              <w:t>13,143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right"/>
              <w:ind w:right="84"/>
              <w:spacing w:after="0"/>
              <w:rPr>
                <w:sz w:val="20"/>
                <w:szCs w:val="20"/>
                <w:color w:val="auto"/>
              </w:rPr>
            </w:pPr>
            <w:r>
              <w:rPr>
                <w:rFonts w:ascii="Arial" w:cs="Arial" w:eastAsia="Arial" w:hAnsi="Arial"/>
                <w:sz w:val="15"/>
                <w:szCs w:val="15"/>
                <w:color w:val="auto"/>
              </w:rPr>
              <w:t>(259)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right"/>
              <w:ind w:right="124"/>
              <w:spacing w:after="0"/>
              <w:rPr>
                <w:sz w:val="20"/>
                <w:szCs w:val="20"/>
                <w:color w:val="auto"/>
              </w:rPr>
            </w:pPr>
            <w:r>
              <w:rPr>
                <w:rFonts w:ascii="Arial" w:cs="Arial" w:eastAsia="Arial" w:hAnsi="Arial"/>
                <w:sz w:val="15"/>
                <w:szCs w:val="15"/>
                <w:color w:val="auto"/>
              </w:rPr>
              <w:t>3,233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ind w:right="124"/>
              <w:spacing w:after="0"/>
              <w:rPr>
                <w:sz w:val="20"/>
                <w:szCs w:val="20"/>
                <w:color w:val="auto"/>
              </w:rPr>
            </w:pPr>
            <w:r>
              <w:rPr>
                <w:rFonts w:ascii="Arial" w:cs="Arial" w:eastAsia="Arial" w:hAnsi="Arial"/>
                <w:sz w:val="15"/>
                <w:szCs w:val="15"/>
                <w:color w:val="auto"/>
              </w:rPr>
              <w:t>1,978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ind w:right="104"/>
              <w:spacing w:after="0"/>
              <w:rPr>
                <w:sz w:val="20"/>
                <w:szCs w:val="20"/>
                <w:color w:val="auto"/>
              </w:rPr>
            </w:pPr>
            <w:r>
              <w:rPr>
                <w:rFonts w:ascii="Arial" w:cs="Arial" w:eastAsia="Arial" w:hAnsi="Arial"/>
                <w:sz w:val="15"/>
                <w:szCs w:val="15"/>
                <w:color w:val="auto"/>
              </w:rPr>
              <w:t>9,052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104"/>
              <w:spacing w:after="0"/>
              <w:rPr>
                <w:sz w:val="20"/>
                <w:szCs w:val="20"/>
                <w:color w:val="auto"/>
              </w:rPr>
            </w:pPr>
            <w:r>
              <w:rPr>
                <w:rFonts w:ascii="Arial" w:cs="Arial" w:eastAsia="Arial" w:hAnsi="Arial"/>
                <w:sz w:val="15"/>
                <w:szCs w:val="15"/>
                <w:color w:val="auto"/>
              </w:rPr>
              <w:t>35,316</w:t>
            </w:r>
          </w:p>
        </w:tc>
        <w:tc>
          <w:tcPr>
            <w:tcW w:w="0" w:type="dxa"/>
            <w:vAlign w:val="bottom"/>
          </w:tcPr>
          <w:p>
            <w:pPr>
              <w:spacing w:after="0"/>
              <w:rPr>
                <w:sz w:val="1"/>
                <w:szCs w:val="1"/>
                <w:color w:val="auto"/>
              </w:rPr>
            </w:pPr>
          </w:p>
        </w:tc>
      </w:tr>
      <w:tr>
        <w:trPr>
          <w:trHeight w:val="201"/>
        </w:trPr>
        <w:tc>
          <w:tcPr>
            <w:tcW w:w="224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ventures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24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Company’s share of net</w:t>
            </w:r>
          </w:p>
        </w:tc>
        <w:tc>
          <w:tcPr>
            <w:tcW w:w="2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167,094</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13,143</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123,712</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92,111</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8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11,146</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68,712</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4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475,918</w:t>
            </w:r>
          </w:p>
        </w:tc>
        <w:tc>
          <w:tcPr>
            <w:tcW w:w="0" w:type="dxa"/>
            <w:vAlign w:val="bottom"/>
          </w:tcPr>
          <w:p>
            <w:pPr>
              <w:spacing w:after="0"/>
              <w:rPr>
                <w:sz w:val="1"/>
                <w:szCs w:val="1"/>
                <w:color w:val="auto"/>
              </w:rPr>
            </w:pPr>
          </w:p>
        </w:tc>
      </w:tr>
      <w:tr>
        <w:trPr>
          <w:trHeight w:val="197"/>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operating income</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 of Grand Totals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line="172" w:lineRule="exact"/>
              <w:rPr>
                <w:sz w:val="20"/>
                <w:szCs w:val="20"/>
                <w:color w:val="auto"/>
              </w:rPr>
            </w:pPr>
            <w:r>
              <w:rPr>
                <w:rFonts w:ascii="Arial" w:cs="Arial" w:eastAsia="Arial" w:hAnsi="Arial"/>
                <w:sz w:val="15"/>
                <w:szCs w:val="15"/>
                <w:color w:val="auto"/>
              </w:rPr>
              <w:t>35.12 %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5"/>
                <w:szCs w:val="15"/>
                <w:color w:val="auto"/>
              </w:rPr>
              <w:t>2.76 %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5"/>
                <w:szCs w:val="15"/>
                <w:color w:val="auto"/>
              </w:rPr>
              <w:t>25.99 %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line="172" w:lineRule="exact"/>
              <w:rPr>
                <w:sz w:val="20"/>
                <w:szCs w:val="20"/>
                <w:color w:val="auto"/>
              </w:rPr>
            </w:pPr>
            <w:r>
              <w:rPr>
                <w:rFonts w:ascii="Arial" w:cs="Arial" w:eastAsia="Arial" w:hAnsi="Arial"/>
                <w:sz w:val="15"/>
                <w:szCs w:val="15"/>
                <w:color w:val="auto"/>
              </w:rPr>
              <w:t>19.35 %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line="172" w:lineRule="exact"/>
              <w:rPr>
                <w:sz w:val="20"/>
                <w:szCs w:val="20"/>
                <w:color w:val="auto"/>
              </w:rPr>
            </w:pPr>
            <w:r>
              <w:rPr>
                <w:rFonts w:ascii="Arial" w:cs="Arial" w:eastAsia="Arial" w:hAnsi="Arial"/>
                <w:sz w:val="15"/>
                <w:szCs w:val="15"/>
                <w:color w:val="auto"/>
              </w:rPr>
              <w:t>2.34 %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line="172" w:lineRule="exact"/>
              <w:rPr>
                <w:sz w:val="20"/>
                <w:szCs w:val="20"/>
                <w:color w:val="auto"/>
              </w:rPr>
            </w:pPr>
            <w:r>
              <w:rPr>
                <w:rFonts w:ascii="Arial" w:cs="Arial" w:eastAsia="Arial" w:hAnsi="Arial"/>
                <w:sz w:val="15"/>
                <w:szCs w:val="15"/>
                <w:color w:val="auto"/>
              </w:rPr>
              <w:t>14.44 %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line="172" w:lineRule="exact"/>
              <w:rPr>
                <w:sz w:val="20"/>
                <w:szCs w:val="20"/>
                <w:color w:val="auto"/>
              </w:rPr>
            </w:pPr>
            <w:r>
              <w:rPr>
                <w:rFonts w:ascii="Arial" w:cs="Arial" w:eastAsia="Arial" w:hAnsi="Arial"/>
                <w:sz w:val="15"/>
                <w:szCs w:val="15"/>
                <w:color w:val="auto"/>
              </w:rPr>
              <w:t>100.00 %</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80"/>
        <w:spacing w:after="0"/>
        <w:rPr>
          <w:sz w:val="20"/>
          <w:szCs w:val="20"/>
          <w:color w:val="auto"/>
        </w:rPr>
      </w:pPr>
      <w:r>
        <w:rPr>
          <w:rFonts w:ascii="Arial" w:cs="Arial" w:eastAsia="Arial" w:hAnsi="Arial"/>
          <w:sz w:val="15"/>
          <w:szCs w:val="15"/>
          <w:color w:val="auto"/>
        </w:rPr>
        <w:t>_______________</w:t>
      </w:r>
    </w:p>
    <w:p>
      <w:pPr>
        <w:spacing w:after="0" w:line="27" w:lineRule="exact"/>
        <w:rPr>
          <w:sz w:val="20"/>
          <w:szCs w:val="20"/>
          <w:color w:val="auto"/>
        </w:rPr>
      </w:pPr>
    </w:p>
    <w:p>
      <w:pPr>
        <w:ind w:left="620" w:right="440" w:hanging="314"/>
        <w:spacing w:after="0" w:line="259" w:lineRule="auto"/>
        <w:tabs>
          <w:tab w:leader="none" w:pos="616"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the three months ended September 30, 2021: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Boston</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 Angeles</w:t>
            </w: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New York</w:t>
            </w:r>
          </w:p>
        </w:tc>
        <w:tc>
          <w:tcPr>
            <w:tcW w:w="12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San Francisco</w:t>
            </w:r>
          </w:p>
        </w:tc>
        <w:tc>
          <w:tcPr>
            <w:tcW w:w="20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Seattle</w:t>
            </w:r>
          </w:p>
        </w:tc>
        <w:tc>
          <w:tcPr>
            <w:tcW w:w="12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Washington, DC</w:t>
            </w:r>
          </w:p>
        </w:tc>
        <w:tc>
          <w:tcPr>
            <w:tcW w:w="280" w:type="dxa"/>
            <w:vAlign w:val="bottom"/>
          </w:tcPr>
          <w:p>
            <w:pPr>
              <w:spacing w:after="0"/>
              <w:rPr>
                <w:sz w:val="16"/>
                <w:szCs w:val="16"/>
                <w:color w:val="auto"/>
              </w:rPr>
            </w:pPr>
          </w:p>
        </w:tc>
        <w:tc>
          <w:tcPr>
            <w:tcW w:w="940" w:type="dxa"/>
            <w:vAlign w:val="bottom"/>
          </w:tcPr>
          <w:p>
            <w:pPr>
              <w:jc w:val="right"/>
              <w:ind w:right="3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Rental Revenue: (1)</w:t>
            </w:r>
          </w:p>
        </w:tc>
        <w:tc>
          <w:tcPr>
            <w:tcW w:w="2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320"/>
              <w:spacing w:after="0"/>
              <w:rPr>
                <w:sz w:val="20"/>
                <w:szCs w:val="20"/>
                <w:color w:val="auto"/>
              </w:rPr>
            </w:pPr>
            <w:r>
              <w:rPr>
                <w:rFonts w:ascii="Arial" w:cs="Arial" w:eastAsia="Arial" w:hAnsi="Arial"/>
                <w:sz w:val="15"/>
                <w:szCs w:val="15"/>
                <w:color w:val="auto"/>
              </w:rPr>
              <w:t>Office</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124"/>
              <w:spacing w:after="0"/>
              <w:rPr>
                <w:sz w:val="20"/>
                <w:szCs w:val="20"/>
                <w:color w:val="auto"/>
              </w:rPr>
            </w:pPr>
            <w:r>
              <w:rPr>
                <w:rFonts w:ascii="Arial" w:cs="Arial" w:eastAsia="Arial" w:hAnsi="Arial"/>
                <w:sz w:val="15"/>
                <w:szCs w:val="15"/>
                <w:color w:val="auto"/>
              </w:rPr>
              <w:t>236,080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257,656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125,340</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85,797</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104"/>
              <w:spacing w:after="0"/>
              <w:rPr>
                <w:sz w:val="20"/>
                <w:szCs w:val="20"/>
                <w:color w:val="auto"/>
              </w:rPr>
            </w:pPr>
            <w:r>
              <w:rPr>
                <w:rFonts w:ascii="Arial" w:cs="Arial" w:eastAsia="Arial" w:hAnsi="Arial"/>
                <w:sz w:val="15"/>
                <w:szCs w:val="15"/>
                <w:color w:val="auto"/>
              </w:rPr>
              <w:t>704,873</w:t>
            </w: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Residential</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3,418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806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6,670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10,894</w:t>
            </w:r>
          </w:p>
        </w:tc>
        <w:tc>
          <w:tcPr>
            <w:tcW w:w="0" w:type="dxa"/>
            <w:vAlign w:val="bottom"/>
          </w:tcPr>
          <w:p>
            <w:pPr>
              <w:spacing w:after="0"/>
              <w:rPr>
                <w:sz w:val="1"/>
                <w:szCs w:val="1"/>
                <w:color w:val="auto"/>
              </w:rPr>
            </w:pPr>
          </w:p>
        </w:tc>
      </w:tr>
      <w:tr>
        <w:trPr>
          <w:trHeight w:val="202"/>
        </w:trPr>
        <w:tc>
          <w:tcPr>
            <w:tcW w:w="22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Hotel</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5,189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5,189</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ind w:left="62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244,687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257,656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126,146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92,467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720,956</w:t>
            </w:r>
          </w:p>
        </w:tc>
        <w:tc>
          <w:tcPr>
            <w:tcW w:w="0" w:type="dxa"/>
            <w:vAlign w:val="bottom"/>
          </w:tcPr>
          <w:p>
            <w:pPr>
              <w:spacing w:after="0"/>
              <w:rPr>
                <w:sz w:val="1"/>
                <w:szCs w:val="1"/>
                <w:color w:val="auto"/>
              </w:rPr>
            </w:pPr>
          </w:p>
        </w:tc>
      </w:tr>
      <w:tr>
        <w:trPr>
          <w:trHeight w:val="194"/>
        </w:trPr>
        <w:tc>
          <w:tcPr>
            <w:tcW w:w="2240" w:type="dxa"/>
            <w:vAlign w:val="bottom"/>
          </w:tcPr>
          <w:p>
            <w:pPr>
              <w:ind w:left="20"/>
              <w:spacing w:after="0"/>
              <w:rPr>
                <w:sz w:val="20"/>
                <w:szCs w:val="20"/>
                <w:color w:val="auto"/>
              </w:rPr>
            </w:pPr>
            <w:r>
              <w:rPr>
                <w:rFonts w:ascii="Arial" w:cs="Arial" w:eastAsia="Arial" w:hAnsi="Arial"/>
                <w:sz w:val="15"/>
                <w:szCs w:val="15"/>
                <w:color w:val="auto"/>
              </w:rPr>
              <w:t>% of Grand Totals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33.93 %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680"/>
              <w:spacing w:after="0"/>
              <w:rPr>
                <w:sz w:val="20"/>
                <w:szCs w:val="20"/>
                <w:color w:val="auto"/>
              </w:rPr>
            </w:pPr>
            <w:r>
              <w:rPr>
                <w:rFonts w:ascii="Arial" w:cs="Arial" w:eastAsia="Arial" w:hAnsi="Arial"/>
                <w:sz w:val="15"/>
                <w:szCs w:val="15"/>
                <w:color w:val="auto"/>
              </w:rPr>
              <w:t>— %</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35.74 %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17.50 %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ind w:left="480"/>
              <w:spacing w:after="0"/>
              <w:rPr>
                <w:sz w:val="20"/>
                <w:szCs w:val="20"/>
                <w:color w:val="auto"/>
              </w:rPr>
            </w:pPr>
            <w:r>
              <w:rPr>
                <w:rFonts w:ascii="Arial" w:cs="Arial" w:eastAsia="Arial" w:hAnsi="Arial"/>
                <w:sz w:val="15"/>
                <w:szCs w:val="15"/>
                <w:color w:val="auto"/>
              </w:rPr>
              <w:t>— %</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12.83 %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100.00 %</w:t>
            </w: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Rental Expenses: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320"/>
              <w:spacing w:after="0"/>
              <w:rPr>
                <w:sz w:val="20"/>
                <w:szCs w:val="20"/>
                <w:color w:val="auto"/>
              </w:rPr>
            </w:pPr>
            <w:r>
              <w:rPr>
                <w:rFonts w:ascii="Arial" w:cs="Arial" w:eastAsia="Arial" w:hAnsi="Arial"/>
                <w:sz w:val="15"/>
                <w:szCs w:val="15"/>
                <w:color w:val="auto"/>
              </w:rPr>
              <w:t>Office</w:t>
            </w:r>
          </w:p>
        </w:tc>
        <w:tc>
          <w:tcPr>
            <w:tcW w:w="240" w:type="dxa"/>
            <w:vAlign w:val="bottom"/>
          </w:tcPr>
          <w:p>
            <w:pPr>
              <w:spacing w:after="0"/>
              <w:rPr>
                <w:sz w:val="17"/>
                <w:szCs w:val="17"/>
                <w:color w:val="auto"/>
              </w:rPr>
            </w:pPr>
          </w:p>
        </w:tc>
        <w:tc>
          <w:tcPr>
            <w:tcW w:w="980" w:type="dxa"/>
            <w:vAlign w:val="bottom"/>
          </w:tcPr>
          <w:p>
            <w:pPr>
              <w:jc w:val="right"/>
              <w:ind w:right="124"/>
              <w:spacing w:after="0"/>
              <w:rPr>
                <w:sz w:val="20"/>
                <w:szCs w:val="20"/>
                <w:color w:val="auto"/>
              </w:rPr>
            </w:pPr>
            <w:r>
              <w:rPr>
                <w:rFonts w:ascii="Arial" w:cs="Arial" w:eastAsia="Arial" w:hAnsi="Arial"/>
                <w:sz w:val="15"/>
                <w:szCs w:val="15"/>
                <w:color w:val="auto"/>
              </w:rPr>
              <w:t>82,697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94,338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43,582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31,619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04"/>
              <w:spacing w:after="0"/>
              <w:rPr>
                <w:sz w:val="20"/>
                <w:szCs w:val="20"/>
                <w:color w:val="auto"/>
              </w:rPr>
            </w:pPr>
            <w:r>
              <w:rPr>
                <w:rFonts w:ascii="Arial" w:cs="Arial" w:eastAsia="Arial" w:hAnsi="Arial"/>
                <w:sz w:val="15"/>
                <w:szCs w:val="15"/>
                <w:color w:val="auto"/>
              </w:rPr>
              <w:t>252,236</w:t>
            </w: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Residential</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1,396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1,688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2,961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6,045</w:t>
            </w:r>
          </w:p>
        </w:tc>
        <w:tc>
          <w:tcPr>
            <w:tcW w:w="0" w:type="dxa"/>
            <w:vAlign w:val="bottom"/>
          </w:tcPr>
          <w:p>
            <w:pPr>
              <w:spacing w:after="0"/>
              <w:rPr>
                <w:sz w:val="1"/>
                <w:szCs w:val="1"/>
                <w:color w:val="auto"/>
              </w:rPr>
            </w:pPr>
          </w:p>
        </w:tc>
      </w:tr>
      <w:tr>
        <w:trPr>
          <w:trHeight w:val="202"/>
        </w:trPr>
        <w:tc>
          <w:tcPr>
            <w:tcW w:w="22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Hotel</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3,946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3,946</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ind w:left="62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88,039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94,338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45,270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34,580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262,227</w:t>
            </w:r>
          </w:p>
        </w:tc>
        <w:tc>
          <w:tcPr>
            <w:tcW w:w="0" w:type="dxa"/>
            <w:vAlign w:val="bottom"/>
          </w:tcPr>
          <w:p>
            <w:pPr>
              <w:spacing w:after="0"/>
              <w:rPr>
                <w:sz w:val="1"/>
                <w:szCs w:val="1"/>
                <w:color w:val="auto"/>
              </w:rPr>
            </w:pPr>
          </w:p>
        </w:tc>
      </w:tr>
      <w:tr>
        <w:trPr>
          <w:trHeight w:val="194"/>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 of Grand Totals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33.57 %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80"/>
              <w:spacing w:after="0"/>
              <w:rPr>
                <w:sz w:val="20"/>
                <w:szCs w:val="20"/>
                <w:color w:val="auto"/>
              </w:rPr>
            </w:pPr>
            <w:r>
              <w:rPr>
                <w:rFonts w:ascii="Arial" w:cs="Arial" w:eastAsia="Arial" w:hAnsi="Arial"/>
                <w:sz w:val="15"/>
                <w:szCs w:val="15"/>
                <w:color w:val="auto"/>
                <w:w w:val="98"/>
              </w:rPr>
              <w:t>—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35.98 %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17.26 %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13.19 %</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100.00 %</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 operating income</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156,648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163,318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80,876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57,887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458,729</w:t>
            </w:r>
          </w:p>
        </w:tc>
        <w:tc>
          <w:tcPr>
            <w:tcW w:w="0" w:type="dxa"/>
            <w:vAlign w:val="bottom"/>
          </w:tcPr>
          <w:p>
            <w:pPr>
              <w:spacing w:after="0"/>
              <w:rPr>
                <w:sz w:val="1"/>
                <w:szCs w:val="1"/>
                <w:color w:val="auto"/>
              </w:rPr>
            </w:pPr>
          </w:p>
        </w:tc>
      </w:tr>
      <w:tr>
        <w:trPr>
          <w:trHeight w:val="194"/>
        </w:trPr>
        <w:tc>
          <w:tcPr>
            <w:tcW w:w="2240" w:type="dxa"/>
            <w:vAlign w:val="bottom"/>
          </w:tcPr>
          <w:p>
            <w:pPr>
              <w:ind w:left="20"/>
              <w:spacing w:after="0"/>
              <w:rPr>
                <w:sz w:val="20"/>
                <w:szCs w:val="20"/>
                <w:color w:val="auto"/>
              </w:rPr>
            </w:pPr>
            <w:r>
              <w:rPr>
                <w:rFonts w:ascii="Arial" w:cs="Arial" w:eastAsia="Arial" w:hAnsi="Arial"/>
                <w:sz w:val="15"/>
                <w:szCs w:val="15"/>
                <w:color w:val="auto"/>
              </w:rPr>
              <w:t>% of Grand Totals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34.15 %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680"/>
              <w:spacing w:after="0"/>
              <w:rPr>
                <w:sz w:val="20"/>
                <w:szCs w:val="20"/>
                <w:color w:val="auto"/>
              </w:rPr>
            </w:pPr>
            <w:r>
              <w:rPr>
                <w:rFonts w:ascii="Arial" w:cs="Arial" w:eastAsia="Arial" w:hAnsi="Arial"/>
                <w:sz w:val="15"/>
                <w:szCs w:val="15"/>
                <w:color w:val="auto"/>
              </w:rPr>
              <w:t>— %</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35.60 %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17.63 %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ind w:left="480"/>
              <w:spacing w:after="0"/>
              <w:rPr>
                <w:sz w:val="20"/>
                <w:szCs w:val="20"/>
                <w:color w:val="auto"/>
              </w:rPr>
            </w:pPr>
            <w:r>
              <w:rPr>
                <w:rFonts w:ascii="Arial" w:cs="Arial" w:eastAsia="Arial" w:hAnsi="Arial"/>
                <w:sz w:val="15"/>
                <w:szCs w:val="15"/>
                <w:color w:val="auto"/>
              </w:rPr>
              <w:t>— %</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12.62 %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100.00 %</w:t>
            </w:r>
          </w:p>
        </w:tc>
        <w:tc>
          <w:tcPr>
            <w:tcW w:w="0" w:type="dxa"/>
            <w:vAlign w:val="bottom"/>
          </w:tcPr>
          <w:p>
            <w:pPr>
              <w:spacing w:after="0"/>
              <w:rPr>
                <w:sz w:val="1"/>
                <w:szCs w:val="1"/>
                <w:color w:val="auto"/>
              </w:rPr>
            </w:pPr>
          </w:p>
        </w:tc>
      </w:tr>
      <w:tr>
        <w:trPr>
          <w:trHeight w:val="154"/>
        </w:trPr>
        <w:tc>
          <w:tcPr>
            <w:tcW w:w="224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color w:val="auto"/>
              </w:rPr>
              <w:t>Less: Net operating income</w:t>
            </w: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40" w:type="dxa"/>
            <w:vAlign w:val="bottom"/>
            <w:shd w:val="clear" w:color="auto" w:fill="CCEEFF"/>
          </w:tcPr>
          <w:p>
            <w:pPr>
              <w:ind w:left="400"/>
              <w:spacing w:after="0" w:line="152" w:lineRule="exact"/>
              <w:rPr>
                <w:sz w:val="20"/>
                <w:szCs w:val="20"/>
                <w:color w:val="auto"/>
              </w:rPr>
            </w:pPr>
            <w:r>
              <w:rPr>
                <w:rFonts w:ascii="Arial" w:cs="Arial" w:eastAsia="Arial" w:hAnsi="Arial"/>
                <w:sz w:val="15"/>
                <w:szCs w:val="15"/>
                <w:color w:val="auto"/>
              </w:rPr>
              <w:t>attributable to</w:t>
            </w: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40" w:type="dxa"/>
            <w:vAlign w:val="bottom"/>
            <w:shd w:val="clear" w:color="auto" w:fill="CCEEFF"/>
          </w:tcPr>
          <w:p>
            <w:pPr>
              <w:ind w:left="400"/>
              <w:spacing w:after="0" w:line="152" w:lineRule="exact"/>
              <w:rPr>
                <w:sz w:val="20"/>
                <w:szCs w:val="20"/>
                <w:color w:val="auto"/>
              </w:rPr>
            </w:pPr>
            <w:r>
              <w:rPr>
                <w:rFonts w:ascii="Arial" w:cs="Arial" w:eastAsia="Arial" w:hAnsi="Arial"/>
                <w:sz w:val="15"/>
                <w:szCs w:val="15"/>
                <w:color w:val="auto"/>
              </w:rPr>
              <w:t>noncontrolling interests in</w:t>
            </w:r>
          </w:p>
        </w:tc>
        <w:tc>
          <w:tcPr>
            <w:tcW w:w="2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(10,841)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(36,959)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(47,800)</w:t>
            </w: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property partnerships</w:t>
            </w:r>
          </w:p>
        </w:tc>
        <w:tc>
          <w:tcPr>
            <w:tcW w:w="2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240" w:type="dxa"/>
            <w:vAlign w:val="bottom"/>
          </w:tcPr>
          <w:p>
            <w:pPr>
              <w:ind w:left="20"/>
              <w:spacing w:after="0" w:line="153" w:lineRule="exact"/>
              <w:rPr>
                <w:sz w:val="20"/>
                <w:szCs w:val="20"/>
                <w:color w:val="auto"/>
              </w:rPr>
            </w:pPr>
            <w:r>
              <w:rPr>
                <w:rFonts w:ascii="Arial" w:cs="Arial" w:eastAsia="Arial" w:hAnsi="Arial"/>
                <w:sz w:val="15"/>
                <w:szCs w:val="15"/>
                <w:color w:val="auto"/>
              </w:rPr>
              <w:t>Add: Company’s share of net</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40" w:type="dxa"/>
            <w:vAlign w:val="bottom"/>
          </w:tcPr>
          <w:p>
            <w:pPr>
              <w:ind w:left="400"/>
              <w:spacing w:after="0" w:line="152" w:lineRule="exact"/>
              <w:rPr>
                <w:sz w:val="20"/>
                <w:szCs w:val="20"/>
                <w:color w:val="auto"/>
              </w:rPr>
            </w:pPr>
            <w:r>
              <w:rPr>
                <w:rFonts w:ascii="Arial" w:cs="Arial" w:eastAsia="Arial" w:hAnsi="Arial"/>
                <w:sz w:val="15"/>
                <w:szCs w:val="15"/>
                <w:color w:val="auto"/>
              </w:rPr>
              <w:t>operating income from</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40" w:type="dxa"/>
            <w:vAlign w:val="bottom"/>
          </w:tcPr>
          <w:p>
            <w:pPr>
              <w:ind w:left="400"/>
              <w:spacing w:after="0" w:line="152" w:lineRule="exact"/>
              <w:rPr>
                <w:sz w:val="20"/>
                <w:szCs w:val="20"/>
                <w:color w:val="auto"/>
              </w:rPr>
            </w:pPr>
            <w:r>
              <w:rPr>
                <w:rFonts w:ascii="Arial" w:cs="Arial" w:eastAsia="Arial" w:hAnsi="Arial"/>
                <w:sz w:val="15"/>
                <w:szCs w:val="15"/>
                <w:color w:val="auto"/>
              </w:rPr>
              <w:t>unconsolidated joint</w:t>
            </w:r>
          </w:p>
        </w:tc>
        <w:tc>
          <w:tcPr>
            <w:tcW w:w="240" w:type="dxa"/>
            <w:vAlign w:val="bottom"/>
          </w:tcPr>
          <w:p>
            <w:pPr>
              <w:spacing w:after="0"/>
              <w:rPr>
                <w:sz w:val="13"/>
                <w:szCs w:val="13"/>
                <w:color w:val="auto"/>
              </w:rPr>
            </w:pPr>
          </w:p>
        </w:tc>
        <w:tc>
          <w:tcPr>
            <w:tcW w:w="980" w:type="dxa"/>
            <w:vAlign w:val="bottom"/>
            <w:vMerge w:val="restart"/>
          </w:tcPr>
          <w:p>
            <w:pPr>
              <w:jc w:val="right"/>
              <w:ind w:right="124"/>
              <w:spacing w:after="0"/>
              <w:rPr>
                <w:sz w:val="20"/>
                <w:szCs w:val="20"/>
                <w:color w:val="auto"/>
              </w:rPr>
            </w:pPr>
            <w:r>
              <w:rPr>
                <w:rFonts w:ascii="Arial" w:cs="Arial" w:eastAsia="Arial" w:hAnsi="Arial"/>
                <w:sz w:val="15"/>
                <w:szCs w:val="15"/>
                <w:color w:val="auto"/>
              </w:rPr>
              <w:t>3,464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right"/>
              <w:ind w:right="124"/>
              <w:spacing w:after="0"/>
              <w:rPr>
                <w:sz w:val="20"/>
                <w:szCs w:val="20"/>
                <w:color w:val="auto"/>
              </w:rPr>
            </w:pPr>
            <w:r>
              <w:rPr>
                <w:rFonts w:ascii="Arial" w:cs="Arial" w:eastAsia="Arial" w:hAnsi="Arial"/>
                <w:sz w:val="15"/>
                <w:szCs w:val="15"/>
                <w:color w:val="auto"/>
              </w:rPr>
              <w:t>12,078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104"/>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ind w:right="104"/>
              <w:spacing w:after="0"/>
              <w:rPr>
                <w:sz w:val="20"/>
                <w:szCs w:val="20"/>
                <w:color w:val="auto"/>
              </w:rPr>
            </w:pPr>
            <w:r>
              <w:rPr>
                <w:rFonts w:ascii="Arial" w:cs="Arial" w:eastAsia="Arial" w:hAnsi="Arial"/>
                <w:sz w:val="15"/>
                <w:szCs w:val="15"/>
                <w:color w:val="auto"/>
              </w:rPr>
              <w:t>3,502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124"/>
              <w:spacing w:after="0"/>
              <w:rPr>
                <w:sz w:val="20"/>
                <w:szCs w:val="20"/>
                <w:color w:val="auto"/>
              </w:rPr>
            </w:pPr>
            <w:r>
              <w:rPr>
                <w:rFonts w:ascii="Arial" w:cs="Arial" w:eastAsia="Arial" w:hAnsi="Arial"/>
                <w:sz w:val="15"/>
                <w:szCs w:val="15"/>
                <w:color w:val="auto"/>
              </w:rPr>
              <w:t>671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ind w:right="124"/>
              <w:spacing w:after="0"/>
              <w:rPr>
                <w:sz w:val="20"/>
                <w:szCs w:val="20"/>
                <w:color w:val="auto"/>
              </w:rPr>
            </w:pPr>
            <w:r>
              <w:rPr>
                <w:rFonts w:ascii="Arial" w:cs="Arial" w:eastAsia="Arial" w:hAnsi="Arial"/>
                <w:sz w:val="15"/>
                <w:szCs w:val="15"/>
                <w:color w:val="auto"/>
              </w:rPr>
              <w:t>4,447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104"/>
              <w:spacing w:after="0"/>
              <w:rPr>
                <w:sz w:val="20"/>
                <w:szCs w:val="20"/>
                <w:color w:val="auto"/>
              </w:rPr>
            </w:pPr>
            <w:r>
              <w:rPr>
                <w:rFonts w:ascii="Arial" w:cs="Arial" w:eastAsia="Arial" w:hAnsi="Arial"/>
                <w:sz w:val="15"/>
                <w:szCs w:val="15"/>
                <w:color w:val="auto"/>
              </w:rPr>
              <w:t>24,266</w:t>
            </w:r>
          </w:p>
        </w:tc>
        <w:tc>
          <w:tcPr>
            <w:tcW w:w="0" w:type="dxa"/>
            <w:vAlign w:val="bottom"/>
          </w:tcPr>
          <w:p>
            <w:pPr>
              <w:spacing w:after="0"/>
              <w:rPr>
                <w:sz w:val="1"/>
                <w:szCs w:val="1"/>
                <w:color w:val="auto"/>
              </w:rPr>
            </w:pPr>
          </w:p>
        </w:tc>
      </w:tr>
      <w:tr>
        <w:trPr>
          <w:trHeight w:val="201"/>
        </w:trPr>
        <w:tc>
          <w:tcPr>
            <w:tcW w:w="224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ventures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24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Company’s share of net</w:t>
            </w:r>
          </w:p>
        </w:tc>
        <w:tc>
          <w:tcPr>
            <w:tcW w:w="2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8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149,271</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12,078</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126,463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84,378</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671</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62,334</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4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435,195</w:t>
            </w:r>
          </w:p>
        </w:tc>
        <w:tc>
          <w:tcPr>
            <w:tcW w:w="0" w:type="dxa"/>
            <w:vAlign w:val="bottom"/>
          </w:tcPr>
          <w:p>
            <w:pPr>
              <w:spacing w:after="0"/>
              <w:rPr>
                <w:sz w:val="1"/>
                <w:szCs w:val="1"/>
                <w:color w:val="auto"/>
              </w:rPr>
            </w:pPr>
          </w:p>
        </w:tc>
      </w:tr>
      <w:tr>
        <w:trPr>
          <w:trHeight w:val="197"/>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operating income</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 of Grand Totals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Arial" w:cs="Arial" w:eastAsia="Arial" w:hAnsi="Arial"/>
                <w:sz w:val="15"/>
                <w:szCs w:val="15"/>
                <w:color w:val="auto"/>
              </w:rPr>
              <w:t>34.30 %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5"/>
                <w:szCs w:val="15"/>
                <w:color w:val="auto"/>
              </w:rPr>
              <w:t>2.78 %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line="172" w:lineRule="exact"/>
              <w:rPr>
                <w:sz w:val="20"/>
                <w:szCs w:val="20"/>
                <w:color w:val="auto"/>
              </w:rPr>
            </w:pPr>
            <w:r>
              <w:rPr>
                <w:rFonts w:ascii="Arial" w:cs="Arial" w:eastAsia="Arial" w:hAnsi="Arial"/>
                <w:sz w:val="15"/>
                <w:szCs w:val="15"/>
                <w:color w:val="auto"/>
              </w:rPr>
              <w:t>29.06 %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line="172" w:lineRule="exact"/>
              <w:rPr>
                <w:sz w:val="20"/>
                <w:szCs w:val="20"/>
                <w:color w:val="auto"/>
              </w:rPr>
            </w:pPr>
            <w:r>
              <w:rPr>
                <w:rFonts w:ascii="Arial" w:cs="Arial" w:eastAsia="Arial" w:hAnsi="Arial"/>
                <w:sz w:val="15"/>
                <w:szCs w:val="15"/>
                <w:color w:val="auto"/>
              </w:rPr>
              <w:t>19.39 %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72" w:lineRule="exact"/>
              <w:rPr>
                <w:sz w:val="20"/>
                <w:szCs w:val="20"/>
                <w:color w:val="auto"/>
              </w:rPr>
            </w:pPr>
            <w:r>
              <w:rPr>
                <w:rFonts w:ascii="Arial" w:cs="Arial" w:eastAsia="Arial" w:hAnsi="Arial"/>
                <w:sz w:val="15"/>
                <w:szCs w:val="15"/>
                <w:color w:val="auto"/>
              </w:rPr>
              <w:t>0.15 %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line="172" w:lineRule="exact"/>
              <w:rPr>
                <w:sz w:val="20"/>
                <w:szCs w:val="20"/>
                <w:color w:val="auto"/>
              </w:rPr>
            </w:pPr>
            <w:r>
              <w:rPr>
                <w:rFonts w:ascii="Arial" w:cs="Arial" w:eastAsia="Arial" w:hAnsi="Arial"/>
                <w:sz w:val="15"/>
                <w:szCs w:val="15"/>
                <w:color w:val="auto"/>
              </w:rPr>
              <w:t>14.32 %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line="172" w:lineRule="exact"/>
              <w:rPr>
                <w:sz w:val="20"/>
                <w:szCs w:val="20"/>
                <w:color w:val="auto"/>
              </w:rPr>
            </w:pPr>
            <w:r>
              <w:rPr>
                <w:rFonts w:ascii="Arial" w:cs="Arial" w:eastAsia="Arial" w:hAnsi="Arial"/>
                <w:sz w:val="15"/>
                <w:szCs w:val="15"/>
                <w:color w:val="auto"/>
              </w:rPr>
              <w:t>100.00 %</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80"/>
        <w:spacing w:after="0"/>
        <w:rPr>
          <w:sz w:val="20"/>
          <w:szCs w:val="20"/>
          <w:color w:val="auto"/>
        </w:rPr>
      </w:pPr>
      <w:r>
        <w:rPr>
          <w:rFonts w:ascii="Arial" w:cs="Arial" w:eastAsia="Arial" w:hAnsi="Arial"/>
          <w:sz w:val="15"/>
          <w:szCs w:val="15"/>
          <w:color w:val="auto"/>
        </w:rPr>
        <w:t>_______________</w:t>
      </w:r>
    </w:p>
    <w:p>
      <w:pPr>
        <w:spacing w:after="0" w:line="27" w:lineRule="exact"/>
        <w:rPr>
          <w:sz w:val="20"/>
          <w:szCs w:val="20"/>
          <w:color w:val="auto"/>
        </w:rPr>
      </w:pPr>
    </w:p>
    <w:p>
      <w:pPr>
        <w:ind w:left="620" w:right="440" w:hanging="314"/>
        <w:spacing w:after="0" w:line="259" w:lineRule="auto"/>
        <w:tabs>
          <w:tab w:leader="none" w:pos="616"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Information by geographic area and property type (dollars in thousands):</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the nine months ended September 30, 2022: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Boston</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 Angeles</w:t>
            </w:r>
          </w:p>
        </w:tc>
        <w:tc>
          <w:tcPr>
            <w:tcW w:w="18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New York</w:t>
            </w:r>
          </w:p>
        </w:tc>
        <w:tc>
          <w:tcPr>
            <w:tcW w:w="10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San Francisco</w:t>
            </w:r>
          </w:p>
        </w:tc>
        <w:tc>
          <w:tcPr>
            <w:tcW w:w="2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Seattle</w:t>
            </w:r>
          </w:p>
        </w:tc>
        <w:tc>
          <w:tcPr>
            <w:tcW w:w="12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Washington, DC</w:t>
            </w:r>
          </w:p>
        </w:tc>
        <w:tc>
          <w:tcPr>
            <w:tcW w:w="260" w:type="dxa"/>
            <w:vAlign w:val="bottom"/>
          </w:tcPr>
          <w:p>
            <w:pPr>
              <w:spacing w:after="0"/>
              <w:rPr>
                <w:sz w:val="16"/>
                <w:szCs w:val="16"/>
                <w:color w:val="auto"/>
              </w:rPr>
            </w:pPr>
          </w:p>
        </w:tc>
        <w:tc>
          <w:tcPr>
            <w:tcW w:w="1000" w:type="dxa"/>
            <w:vAlign w:val="bottom"/>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Rental Revenue: (1)</w:t>
            </w:r>
          </w:p>
        </w:tc>
        <w:tc>
          <w:tcPr>
            <w:tcW w:w="2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320"/>
              <w:spacing w:after="0"/>
              <w:rPr>
                <w:sz w:val="20"/>
                <w:szCs w:val="20"/>
                <w:color w:val="auto"/>
              </w:rPr>
            </w:pPr>
            <w:r>
              <w:rPr>
                <w:rFonts w:ascii="Arial" w:cs="Arial" w:eastAsia="Arial" w:hAnsi="Arial"/>
                <w:sz w:val="15"/>
                <w:szCs w:val="15"/>
                <w:color w:val="auto"/>
              </w:rPr>
              <w:t>Office</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104"/>
              <w:spacing w:after="0"/>
              <w:rPr>
                <w:sz w:val="20"/>
                <w:szCs w:val="20"/>
                <w:color w:val="auto"/>
              </w:rPr>
            </w:pPr>
            <w:r>
              <w:rPr>
                <w:rFonts w:ascii="Arial" w:cs="Arial" w:eastAsia="Arial" w:hAnsi="Arial"/>
                <w:sz w:val="15"/>
                <w:szCs w:val="15"/>
                <w:color w:val="auto"/>
              </w:rPr>
              <w:t>742,972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124"/>
              <w:spacing w:after="0"/>
              <w:rPr>
                <w:sz w:val="20"/>
                <w:szCs w:val="20"/>
                <w:color w:val="auto"/>
              </w:rPr>
            </w:pPr>
            <w:r>
              <w:rPr>
                <w:rFonts w:ascii="Arial" w:cs="Arial" w:eastAsia="Arial" w:hAnsi="Arial"/>
                <w:sz w:val="15"/>
                <w:szCs w:val="15"/>
                <w:color w:val="auto"/>
              </w:rPr>
              <w:t>772,060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401,020</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18,765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104"/>
              <w:spacing w:after="0"/>
              <w:rPr>
                <w:sz w:val="20"/>
                <w:szCs w:val="20"/>
                <w:color w:val="auto"/>
              </w:rPr>
            </w:pPr>
            <w:r>
              <w:rPr>
                <w:rFonts w:ascii="Arial" w:cs="Arial" w:eastAsia="Arial" w:hAnsi="Arial"/>
                <w:sz w:val="15"/>
                <w:szCs w:val="15"/>
                <w:color w:val="auto"/>
              </w:rPr>
              <w:t>280,473</w:t>
            </w:r>
          </w:p>
        </w:tc>
        <w:tc>
          <w:tcPr>
            <w:tcW w:w="100" w:type="dxa"/>
            <w:vAlign w:val="bottom"/>
          </w:tcPr>
          <w:p>
            <w:pPr>
              <w:spacing w:after="0"/>
              <w:rPr>
                <w:sz w:val="17"/>
                <w:szCs w:val="17"/>
                <w:color w:val="auto"/>
              </w:rPr>
            </w:pPr>
          </w:p>
        </w:tc>
        <w:tc>
          <w:tcPr>
            <w:tcW w:w="2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2,215,290</w:t>
            </w: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Residential</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11,181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11,374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21,663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44,218</w:t>
            </w:r>
          </w:p>
        </w:tc>
        <w:tc>
          <w:tcPr>
            <w:tcW w:w="0" w:type="dxa"/>
            <w:vAlign w:val="bottom"/>
          </w:tcPr>
          <w:p>
            <w:pPr>
              <w:spacing w:after="0"/>
              <w:rPr>
                <w:sz w:val="1"/>
                <w:szCs w:val="1"/>
                <w:color w:val="auto"/>
              </w:rPr>
            </w:pPr>
          </w:p>
        </w:tc>
      </w:tr>
      <w:tr>
        <w:trPr>
          <w:trHeight w:val="202"/>
        </w:trPr>
        <w:tc>
          <w:tcPr>
            <w:tcW w:w="22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Hotel</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28,395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28,395</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ind w:left="62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782,548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772,060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412,394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18,765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302,136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2,287,903</w:t>
            </w:r>
          </w:p>
        </w:tc>
        <w:tc>
          <w:tcPr>
            <w:tcW w:w="0" w:type="dxa"/>
            <w:vAlign w:val="bottom"/>
          </w:tcPr>
          <w:p>
            <w:pPr>
              <w:spacing w:after="0"/>
              <w:rPr>
                <w:sz w:val="1"/>
                <w:szCs w:val="1"/>
                <w:color w:val="auto"/>
              </w:rPr>
            </w:pPr>
          </w:p>
        </w:tc>
      </w:tr>
      <w:tr>
        <w:trPr>
          <w:trHeight w:val="194"/>
        </w:trPr>
        <w:tc>
          <w:tcPr>
            <w:tcW w:w="2240" w:type="dxa"/>
            <w:vAlign w:val="bottom"/>
          </w:tcPr>
          <w:p>
            <w:pPr>
              <w:ind w:left="20"/>
              <w:spacing w:after="0"/>
              <w:rPr>
                <w:sz w:val="20"/>
                <w:szCs w:val="20"/>
                <w:color w:val="auto"/>
              </w:rPr>
            </w:pPr>
            <w:r>
              <w:rPr>
                <w:rFonts w:ascii="Arial" w:cs="Arial" w:eastAsia="Arial" w:hAnsi="Arial"/>
                <w:sz w:val="15"/>
                <w:szCs w:val="15"/>
                <w:color w:val="auto"/>
              </w:rPr>
              <w:t>% of Grand Totals</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34.20 %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680"/>
              <w:spacing w:after="0"/>
              <w:rPr>
                <w:sz w:val="20"/>
                <w:szCs w:val="20"/>
                <w:color w:val="auto"/>
              </w:rPr>
            </w:pPr>
            <w:r>
              <w:rPr>
                <w:rFonts w:ascii="Arial" w:cs="Arial" w:eastAsia="Arial" w:hAnsi="Arial"/>
                <w:sz w:val="15"/>
                <w:szCs w:val="15"/>
                <w:color w:val="auto"/>
              </w:rPr>
              <w:t>— %</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33.75 %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18.02 %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0.82 %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13.21 %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100.00 %</w:t>
            </w: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Rental Expenses: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320"/>
              <w:spacing w:after="0"/>
              <w:rPr>
                <w:sz w:val="20"/>
                <w:szCs w:val="20"/>
                <w:color w:val="auto"/>
              </w:rPr>
            </w:pPr>
            <w:r>
              <w:rPr>
                <w:rFonts w:ascii="Arial" w:cs="Arial" w:eastAsia="Arial" w:hAnsi="Arial"/>
                <w:sz w:val="15"/>
                <w:szCs w:val="15"/>
                <w:color w:val="auto"/>
              </w:rPr>
              <w:t>Office</w:t>
            </w:r>
          </w:p>
        </w:tc>
        <w:tc>
          <w:tcPr>
            <w:tcW w:w="240" w:type="dxa"/>
            <w:vAlign w:val="bottom"/>
          </w:tcPr>
          <w:p>
            <w:pPr>
              <w:spacing w:after="0"/>
              <w:rPr>
                <w:sz w:val="17"/>
                <w:szCs w:val="17"/>
                <w:color w:val="auto"/>
              </w:rPr>
            </w:pPr>
          </w:p>
        </w:tc>
        <w:tc>
          <w:tcPr>
            <w:tcW w:w="940" w:type="dxa"/>
            <w:vAlign w:val="bottom"/>
          </w:tcPr>
          <w:p>
            <w:pPr>
              <w:jc w:val="right"/>
              <w:ind w:right="104"/>
              <w:spacing w:after="0"/>
              <w:rPr>
                <w:sz w:val="20"/>
                <w:szCs w:val="20"/>
                <w:color w:val="auto"/>
              </w:rPr>
            </w:pPr>
            <w:r>
              <w:rPr>
                <w:rFonts w:ascii="Arial" w:cs="Arial" w:eastAsia="Arial" w:hAnsi="Arial"/>
                <w:sz w:val="15"/>
                <w:szCs w:val="15"/>
                <w:color w:val="auto"/>
              </w:rPr>
              <w:t>268,781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20" w:type="dxa"/>
            <w:vAlign w:val="bottom"/>
          </w:tcPr>
          <w:p>
            <w:pPr>
              <w:jc w:val="right"/>
              <w:ind w:right="124"/>
              <w:spacing w:after="0"/>
              <w:rPr>
                <w:sz w:val="20"/>
                <w:szCs w:val="20"/>
                <w:color w:val="auto"/>
              </w:rPr>
            </w:pPr>
            <w:r>
              <w:rPr>
                <w:rFonts w:ascii="Arial" w:cs="Arial" w:eastAsia="Arial" w:hAnsi="Arial"/>
                <w:sz w:val="15"/>
                <w:szCs w:val="15"/>
                <w:color w:val="auto"/>
              </w:rPr>
              <w:t>291,645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135,677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4,805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04"/>
              <w:spacing w:after="0"/>
              <w:rPr>
                <w:sz w:val="20"/>
                <w:szCs w:val="20"/>
                <w:color w:val="auto"/>
              </w:rPr>
            </w:pPr>
            <w:r>
              <w:rPr>
                <w:rFonts w:ascii="Arial" w:cs="Arial" w:eastAsia="Arial" w:hAnsi="Arial"/>
                <w:sz w:val="15"/>
                <w:szCs w:val="15"/>
                <w:color w:val="auto"/>
              </w:rPr>
              <w:t>101,623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802,531</w:t>
            </w: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Residential</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4,481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9,138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9,655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23,274</w:t>
            </w:r>
          </w:p>
        </w:tc>
        <w:tc>
          <w:tcPr>
            <w:tcW w:w="0" w:type="dxa"/>
            <w:vAlign w:val="bottom"/>
          </w:tcPr>
          <w:p>
            <w:pPr>
              <w:spacing w:after="0"/>
              <w:rPr>
                <w:sz w:val="1"/>
                <w:szCs w:val="1"/>
                <w:color w:val="auto"/>
              </w:rPr>
            </w:pPr>
          </w:p>
        </w:tc>
      </w:tr>
      <w:tr>
        <w:trPr>
          <w:trHeight w:val="202"/>
        </w:trPr>
        <w:tc>
          <w:tcPr>
            <w:tcW w:w="22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Hotel</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19,832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19,832</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ind w:left="62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293,094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291,645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144,815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4,805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111,278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845,637</w:t>
            </w:r>
          </w:p>
        </w:tc>
        <w:tc>
          <w:tcPr>
            <w:tcW w:w="0" w:type="dxa"/>
            <w:vAlign w:val="bottom"/>
          </w:tcPr>
          <w:p>
            <w:pPr>
              <w:spacing w:after="0"/>
              <w:rPr>
                <w:sz w:val="1"/>
                <w:szCs w:val="1"/>
                <w:color w:val="auto"/>
              </w:rPr>
            </w:pPr>
          </w:p>
        </w:tc>
      </w:tr>
      <w:tr>
        <w:trPr>
          <w:trHeight w:val="194"/>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 of Grand Totals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34.66 %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80"/>
              <w:spacing w:after="0"/>
              <w:rPr>
                <w:sz w:val="20"/>
                <w:szCs w:val="20"/>
                <w:color w:val="auto"/>
              </w:rPr>
            </w:pPr>
            <w:r>
              <w:rPr>
                <w:rFonts w:ascii="Arial" w:cs="Arial" w:eastAsia="Arial" w:hAnsi="Arial"/>
                <w:sz w:val="15"/>
                <w:szCs w:val="15"/>
                <w:color w:val="auto"/>
                <w:w w:val="98"/>
              </w:rPr>
              <w:t>— %</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34.49 %</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17.12 %</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0.57 %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13.16 %</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100.00 %</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 operating income</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489,454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480,415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267,579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13,960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190,858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1,442,266</w:t>
            </w:r>
          </w:p>
        </w:tc>
        <w:tc>
          <w:tcPr>
            <w:tcW w:w="0" w:type="dxa"/>
            <w:vAlign w:val="bottom"/>
          </w:tcPr>
          <w:p>
            <w:pPr>
              <w:spacing w:after="0"/>
              <w:rPr>
                <w:sz w:val="1"/>
                <w:szCs w:val="1"/>
                <w:color w:val="auto"/>
              </w:rPr>
            </w:pPr>
          </w:p>
        </w:tc>
      </w:tr>
      <w:tr>
        <w:trPr>
          <w:trHeight w:val="194"/>
        </w:trPr>
        <w:tc>
          <w:tcPr>
            <w:tcW w:w="2240" w:type="dxa"/>
            <w:vAlign w:val="bottom"/>
          </w:tcPr>
          <w:p>
            <w:pPr>
              <w:ind w:left="20"/>
              <w:spacing w:after="0"/>
              <w:rPr>
                <w:sz w:val="20"/>
                <w:szCs w:val="20"/>
                <w:color w:val="auto"/>
              </w:rPr>
            </w:pPr>
            <w:r>
              <w:rPr>
                <w:rFonts w:ascii="Arial" w:cs="Arial" w:eastAsia="Arial" w:hAnsi="Arial"/>
                <w:sz w:val="15"/>
                <w:szCs w:val="15"/>
                <w:color w:val="auto"/>
              </w:rPr>
              <w:t>% of Grand Totals</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33.94 %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680"/>
              <w:spacing w:after="0"/>
              <w:rPr>
                <w:sz w:val="20"/>
                <w:szCs w:val="20"/>
                <w:color w:val="auto"/>
              </w:rPr>
            </w:pPr>
            <w:r>
              <w:rPr>
                <w:rFonts w:ascii="Arial" w:cs="Arial" w:eastAsia="Arial" w:hAnsi="Arial"/>
                <w:sz w:val="15"/>
                <w:szCs w:val="15"/>
                <w:color w:val="auto"/>
              </w:rPr>
              <w:t>— %</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33.31 %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18.55 %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0.97 %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13.23 %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100.00 %</w:t>
            </w:r>
          </w:p>
        </w:tc>
        <w:tc>
          <w:tcPr>
            <w:tcW w:w="0" w:type="dxa"/>
            <w:vAlign w:val="bottom"/>
          </w:tcPr>
          <w:p>
            <w:pPr>
              <w:spacing w:after="0"/>
              <w:rPr>
                <w:sz w:val="1"/>
                <w:szCs w:val="1"/>
                <w:color w:val="auto"/>
              </w:rPr>
            </w:pPr>
          </w:p>
        </w:tc>
      </w:tr>
      <w:tr>
        <w:trPr>
          <w:trHeight w:val="154"/>
        </w:trPr>
        <w:tc>
          <w:tcPr>
            <w:tcW w:w="224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color w:val="auto"/>
              </w:rPr>
              <w:t>Less: Net operating income</w:t>
            </w: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40" w:type="dxa"/>
            <w:vAlign w:val="bottom"/>
            <w:shd w:val="clear" w:color="auto" w:fill="CCEEFF"/>
          </w:tcPr>
          <w:p>
            <w:pPr>
              <w:ind w:left="400"/>
              <w:spacing w:after="0" w:line="152" w:lineRule="exact"/>
              <w:rPr>
                <w:sz w:val="20"/>
                <w:szCs w:val="20"/>
                <w:color w:val="auto"/>
              </w:rPr>
            </w:pPr>
            <w:r>
              <w:rPr>
                <w:rFonts w:ascii="Arial" w:cs="Arial" w:eastAsia="Arial" w:hAnsi="Arial"/>
                <w:sz w:val="15"/>
                <w:szCs w:val="15"/>
                <w:color w:val="auto"/>
              </w:rPr>
              <w:t>attributable to</w:t>
            </w: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40" w:type="dxa"/>
            <w:vAlign w:val="bottom"/>
            <w:shd w:val="clear" w:color="auto" w:fill="CCEEFF"/>
          </w:tcPr>
          <w:p>
            <w:pPr>
              <w:ind w:left="400"/>
              <w:spacing w:after="0" w:line="152" w:lineRule="exact"/>
              <w:rPr>
                <w:sz w:val="20"/>
                <w:szCs w:val="20"/>
                <w:color w:val="auto"/>
              </w:rPr>
            </w:pPr>
            <w:r>
              <w:rPr>
                <w:rFonts w:ascii="Arial" w:cs="Arial" w:eastAsia="Arial" w:hAnsi="Arial"/>
                <w:sz w:val="15"/>
                <w:szCs w:val="15"/>
                <w:color w:val="auto"/>
              </w:rPr>
              <w:t>noncontrolling interests in</w:t>
            </w:r>
          </w:p>
        </w:tc>
        <w:tc>
          <w:tcPr>
            <w:tcW w:w="2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(34,405)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(108,818)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(143,223)</w:t>
            </w: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property partnerships</w:t>
            </w:r>
          </w:p>
        </w:tc>
        <w:tc>
          <w:tcPr>
            <w:tcW w:w="2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240" w:type="dxa"/>
            <w:vAlign w:val="bottom"/>
          </w:tcPr>
          <w:p>
            <w:pPr>
              <w:ind w:left="20"/>
              <w:spacing w:after="0" w:line="153" w:lineRule="exact"/>
              <w:rPr>
                <w:sz w:val="20"/>
                <w:szCs w:val="20"/>
                <w:color w:val="auto"/>
              </w:rPr>
            </w:pPr>
            <w:r>
              <w:rPr>
                <w:rFonts w:ascii="Arial" w:cs="Arial" w:eastAsia="Arial" w:hAnsi="Arial"/>
                <w:sz w:val="15"/>
                <w:szCs w:val="15"/>
                <w:color w:val="auto"/>
              </w:rPr>
              <w:t>Add: Company’s share of net</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40" w:type="dxa"/>
            <w:vAlign w:val="bottom"/>
          </w:tcPr>
          <w:p>
            <w:pPr>
              <w:ind w:left="400"/>
              <w:spacing w:after="0" w:line="152" w:lineRule="exact"/>
              <w:rPr>
                <w:sz w:val="20"/>
                <w:szCs w:val="20"/>
                <w:color w:val="auto"/>
              </w:rPr>
            </w:pPr>
            <w:r>
              <w:rPr>
                <w:rFonts w:ascii="Arial" w:cs="Arial" w:eastAsia="Arial" w:hAnsi="Arial"/>
                <w:sz w:val="15"/>
                <w:szCs w:val="15"/>
                <w:color w:val="auto"/>
              </w:rPr>
              <w:t>operating income (loss)</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40" w:type="dxa"/>
            <w:vAlign w:val="bottom"/>
          </w:tcPr>
          <w:p>
            <w:pPr>
              <w:ind w:left="400"/>
              <w:spacing w:after="0" w:line="152" w:lineRule="exact"/>
              <w:rPr>
                <w:sz w:val="20"/>
                <w:szCs w:val="20"/>
                <w:color w:val="auto"/>
              </w:rPr>
            </w:pPr>
            <w:r>
              <w:rPr>
                <w:rFonts w:ascii="Arial" w:cs="Arial" w:eastAsia="Arial" w:hAnsi="Arial"/>
                <w:sz w:val="15"/>
                <w:szCs w:val="15"/>
                <w:color w:val="auto"/>
              </w:rPr>
              <w:t>from unconsolidated joint</w:t>
            </w:r>
          </w:p>
        </w:tc>
        <w:tc>
          <w:tcPr>
            <w:tcW w:w="240" w:type="dxa"/>
            <w:vAlign w:val="bottom"/>
          </w:tcPr>
          <w:p>
            <w:pPr>
              <w:spacing w:after="0"/>
              <w:rPr>
                <w:sz w:val="13"/>
                <w:szCs w:val="13"/>
                <w:color w:val="auto"/>
              </w:rPr>
            </w:pPr>
          </w:p>
        </w:tc>
        <w:tc>
          <w:tcPr>
            <w:tcW w:w="940" w:type="dxa"/>
            <w:vAlign w:val="bottom"/>
            <w:vMerge w:val="restart"/>
          </w:tcPr>
          <w:p>
            <w:pPr>
              <w:jc w:val="right"/>
              <w:ind w:right="104"/>
              <w:spacing w:after="0"/>
              <w:rPr>
                <w:sz w:val="20"/>
                <w:szCs w:val="20"/>
                <w:color w:val="auto"/>
              </w:rPr>
            </w:pPr>
            <w:r>
              <w:rPr>
                <w:rFonts w:ascii="Arial" w:cs="Arial" w:eastAsia="Arial" w:hAnsi="Arial"/>
                <w:sz w:val="15"/>
                <w:szCs w:val="15"/>
                <w:color w:val="auto"/>
              </w:rPr>
              <w:t>25,996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right"/>
              <w:ind w:right="124"/>
              <w:spacing w:after="0"/>
              <w:rPr>
                <w:sz w:val="20"/>
                <w:szCs w:val="20"/>
                <w:color w:val="auto"/>
              </w:rPr>
            </w:pPr>
            <w:r>
              <w:rPr>
                <w:rFonts w:ascii="Arial" w:cs="Arial" w:eastAsia="Arial" w:hAnsi="Arial"/>
                <w:sz w:val="15"/>
                <w:szCs w:val="15"/>
                <w:color w:val="auto"/>
              </w:rPr>
              <w:t>40,147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84"/>
              <w:spacing w:after="0"/>
              <w:rPr>
                <w:sz w:val="20"/>
                <w:szCs w:val="20"/>
                <w:color w:val="auto"/>
              </w:rPr>
            </w:pPr>
            <w:r>
              <w:rPr>
                <w:rFonts w:ascii="Arial" w:cs="Arial" w:eastAsia="Arial" w:hAnsi="Arial"/>
                <w:sz w:val="15"/>
                <w:szCs w:val="15"/>
                <w:color w:val="auto"/>
              </w:rPr>
              <w:t>(397)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right"/>
              <w:ind w:right="124"/>
              <w:spacing w:after="0"/>
              <w:rPr>
                <w:sz w:val="20"/>
                <w:szCs w:val="20"/>
                <w:color w:val="auto"/>
              </w:rPr>
            </w:pPr>
            <w:r>
              <w:rPr>
                <w:rFonts w:ascii="Arial" w:cs="Arial" w:eastAsia="Arial" w:hAnsi="Arial"/>
                <w:sz w:val="15"/>
                <w:szCs w:val="15"/>
                <w:color w:val="auto"/>
              </w:rPr>
              <w:t>9,597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ind w:right="124"/>
              <w:spacing w:after="0"/>
              <w:rPr>
                <w:sz w:val="20"/>
                <w:szCs w:val="20"/>
                <w:color w:val="auto"/>
              </w:rPr>
            </w:pPr>
            <w:r>
              <w:rPr>
                <w:rFonts w:ascii="Arial" w:cs="Arial" w:eastAsia="Arial" w:hAnsi="Arial"/>
                <w:sz w:val="15"/>
                <w:szCs w:val="15"/>
                <w:color w:val="auto"/>
              </w:rPr>
              <w:t>5,877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ind w:right="104"/>
              <w:spacing w:after="0"/>
              <w:rPr>
                <w:sz w:val="20"/>
                <w:szCs w:val="20"/>
                <w:color w:val="auto"/>
              </w:rPr>
            </w:pPr>
            <w:r>
              <w:rPr>
                <w:rFonts w:ascii="Arial" w:cs="Arial" w:eastAsia="Arial" w:hAnsi="Arial"/>
                <w:sz w:val="15"/>
                <w:szCs w:val="15"/>
                <w:color w:val="auto"/>
              </w:rPr>
              <w:t>27,127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ind w:right="104"/>
              <w:spacing w:after="0"/>
              <w:rPr>
                <w:sz w:val="20"/>
                <w:szCs w:val="20"/>
                <w:color w:val="auto"/>
              </w:rPr>
            </w:pPr>
            <w:r>
              <w:rPr>
                <w:rFonts w:ascii="Arial" w:cs="Arial" w:eastAsia="Arial" w:hAnsi="Arial"/>
                <w:sz w:val="15"/>
                <w:szCs w:val="15"/>
                <w:color w:val="auto"/>
              </w:rPr>
              <w:t>108,347</w:t>
            </w:r>
          </w:p>
        </w:tc>
        <w:tc>
          <w:tcPr>
            <w:tcW w:w="0" w:type="dxa"/>
            <w:vAlign w:val="bottom"/>
          </w:tcPr>
          <w:p>
            <w:pPr>
              <w:spacing w:after="0"/>
              <w:rPr>
                <w:sz w:val="1"/>
                <w:szCs w:val="1"/>
                <w:color w:val="auto"/>
              </w:rPr>
            </w:pPr>
          </w:p>
        </w:tc>
      </w:tr>
      <w:tr>
        <w:trPr>
          <w:trHeight w:val="201"/>
        </w:trPr>
        <w:tc>
          <w:tcPr>
            <w:tcW w:w="224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ventures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24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Company’s share of net</w:t>
            </w:r>
          </w:p>
        </w:tc>
        <w:tc>
          <w:tcPr>
            <w:tcW w:w="2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4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481,045</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40,147</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371,200</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277,176</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8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19,837</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217,985</w:t>
            </w: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1,407,390</w:t>
            </w:r>
          </w:p>
        </w:tc>
        <w:tc>
          <w:tcPr>
            <w:tcW w:w="0" w:type="dxa"/>
            <w:vAlign w:val="bottom"/>
          </w:tcPr>
          <w:p>
            <w:pPr>
              <w:spacing w:after="0"/>
              <w:rPr>
                <w:sz w:val="1"/>
                <w:szCs w:val="1"/>
                <w:color w:val="auto"/>
              </w:rPr>
            </w:pPr>
          </w:p>
        </w:tc>
      </w:tr>
      <w:tr>
        <w:trPr>
          <w:trHeight w:val="197"/>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operating income</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 of Grand Totals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line="172" w:lineRule="exact"/>
              <w:rPr>
                <w:sz w:val="20"/>
                <w:szCs w:val="20"/>
                <w:color w:val="auto"/>
              </w:rPr>
            </w:pPr>
            <w:r>
              <w:rPr>
                <w:rFonts w:ascii="Arial" w:cs="Arial" w:eastAsia="Arial" w:hAnsi="Arial"/>
                <w:sz w:val="15"/>
                <w:szCs w:val="15"/>
                <w:color w:val="auto"/>
              </w:rPr>
              <w:t>34.18 %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5"/>
                <w:szCs w:val="15"/>
                <w:color w:val="auto"/>
              </w:rPr>
              <w:t>2.85 %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5"/>
                <w:szCs w:val="15"/>
                <w:color w:val="auto"/>
              </w:rPr>
              <w:t>26.38 %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line="172" w:lineRule="exact"/>
              <w:rPr>
                <w:sz w:val="20"/>
                <w:szCs w:val="20"/>
                <w:color w:val="auto"/>
              </w:rPr>
            </w:pPr>
            <w:r>
              <w:rPr>
                <w:rFonts w:ascii="Arial" w:cs="Arial" w:eastAsia="Arial" w:hAnsi="Arial"/>
                <w:sz w:val="15"/>
                <w:szCs w:val="15"/>
                <w:color w:val="auto"/>
              </w:rPr>
              <w:t>19.69 %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line="172" w:lineRule="exact"/>
              <w:rPr>
                <w:sz w:val="20"/>
                <w:szCs w:val="20"/>
                <w:color w:val="auto"/>
              </w:rPr>
            </w:pPr>
            <w:r>
              <w:rPr>
                <w:rFonts w:ascii="Arial" w:cs="Arial" w:eastAsia="Arial" w:hAnsi="Arial"/>
                <w:sz w:val="15"/>
                <w:szCs w:val="15"/>
                <w:color w:val="auto"/>
              </w:rPr>
              <w:t>1.41 %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line="172" w:lineRule="exact"/>
              <w:rPr>
                <w:sz w:val="20"/>
                <w:szCs w:val="20"/>
                <w:color w:val="auto"/>
              </w:rPr>
            </w:pPr>
            <w:r>
              <w:rPr>
                <w:rFonts w:ascii="Arial" w:cs="Arial" w:eastAsia="Arial" w:hAnsi="Arial"/>
                <w:sz w:val="15"/>
                <w:szCs w:val="15"/>
                <w:color w:val="auto"/>
              </w:rPr>
              <w:t>15.49 %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72" w:lineRule="exact"/>
              <w:rPr>
                <w:sz w:val="20"/>
                <w:szCs w:val="20"/>
                <w:color w:val="auto"/>
              </w:rPr>
            </w:pPr>
            <w:r>
              <w:rPr>
                <w:rFonts w:ascii="Arial" w:cs="Arial" w:eastAsia="Arial" w:hAnsi="Arial"/>
                <w:sz w:val="15"/>
                <w:szCs w:val="15"/>
                <w:color w:val="auto"/>
              </w:rPr>
              <w:t>100.00 %</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80"/>
        <w:spacing w:after="0"/>
        <w:rPr>
          <w:sz w:val="20"/>
          <w:szCs w:val="20"/>
          <w:color w:val="auto"/>
        </w:rPr>
      </w:pPr>
      <w:r>
        <w:rPr>
          <w:rFonts w:ascii="Arial" w:cs="Arial" w:eastAsia="Arial" w:hAnsi="Arial"/>
          <w:sz w:val="15"/>
          <w:szCs w:val="15"/>
          <w:color w:val="auto"/>
        </w:rPr>
        <w:t>_______________</w:t>
      </w:r>
    </w:p>
    <w:p>
      <w:pPr>
        <w:spacing w:after="0" w:line="27" w:lineRule="exact"/>
        <w:rPr>
          <w:sz w:val="20"/>
          <w:szCs w:val="20"/>
          <w:color w:val="auto"/>
        </w:rPr>
      </w:pPr>
    </w:p>
    <w:p>
      <w:pPr>
        <w:ind w:left="620" w:right="440" w:hanging="314"/>
        <w:spacing w:after="0" w:line="259" w:lineRule="auto"/>
        <w:tabs>
          <w:tab w:leader="none" w:pos="616"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the nine months ended September 30, 2021: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Boston</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 Angeles</w:t>
            </w:r>
          </w:p>
        </w:tc>
        <w:tc>
          <w:tcPr>
            <w:tcW w:w="18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New York</w:t>
            </w:r>
          </w:p>
        </w:tc>
        <w:tc>
          <w:tcPr>
            <w:tcW w:w="10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San Francisco</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Seattle</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Washington, DC</w:t>
            </w:r>
          </w:p>
        </w:tc>
        <w:tc>
          <w:tcPr>
            <w:tcW w:w="240" w:type="dxa"/>
            <w:vAlign w:val="bottom"/>
          </w:tcPr>
          <w:p>
            <w:pPr>
              <w:spacing w:after="0"/>
              <w:rPr>
                <w:sz w:val="16"/>
                <w:szCs w:val="16"/>
                <w:color w:val="auto"/>
              </w:rPr>
            </w:pPr>
          </w:p>
        </w:tc>
        <w:tc>
          <w:tcPr>
            <w:tcW w:w="1000" w:type="dxa"/>
            <w:vAlign w:val="bottom"/>
          </w:tcPr>
          <w:p>
            <w:pPr>
              <w:jc w:val="right"/>
              <w:ind w:right="3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Rental Revenue: (1)</w:t>
            </w: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220" w:type="dxa"/>
            <w:vAlign w:val="bottom"/>
          </w:tcPr>
          <w:p>
            <w:pPr>
              <w:ind w:left="320"/>
              <w:spacing w:after="0"/>
              <w:rPr>
                <w:sz w:val="20"/>
                <w:szCs w:val="20"/>
                <w:color w:val="auto"/>
              </w:rPr>
            </w:pPr>
            <w:r>
              <w:rPr>
                <w:rFonts w:ascii="Arial" w:cs="Arial" w:eastAsia="Arial" w:hAnsi="Arial"/>
                <w:sz w:val="15"/>
                <w:szCs w:val="15"/>
                <w:color w:val="auto"/>
              </w:rPr>
              <w:t>Office</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124"/>
              <w:spacing w:after="0"/>
              <w:rPr>
                <w:sz w:val="20"/>
                <w:szCs w:val="20"/>
                <w:color w:val="auto"/>
              </w:rPr>
            </w:pPr>
            <w:r>
              <w:rPr>
                <w:rFonts w:ascii="Arial" w:cs="Arial" w:eastAsia="Arial" w:hAnsi="Arial"/>
                <w:sz w:val="15"/>
                <w:szCs w:val="15"/>
                <w:color w:val="auto"/>
              </w:rPr>
              <w:t>696,054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760,002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382,119</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252,822</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2,090,997</w:t>
            </w:r>
          </w:p>
        </w:tc>
        <w:tc>
          <w:tcPr>
            <w:tcW w:w="0" w:type="dxa"/>
            <w:vAlign w:val="bottom"/>
          </w:tcPr>
          <w:p>
            <w:pPr>
              <w:spacing w:after="0"/>
              <w:rPr>
                <w:sz w:val="1"/>
                <w:szCs w:val="1"/>
                <w:color w:val="auto"/>
              </w:rPr>
            </w:pPr>
          </w:p>
        </w:tc>
      </w:tr>
      <w:tr>
        <w:trPr>
          <w:trHeight w:val="204"/>
        </w:trPr>
        <w:tc>
          <w:tcPr>
            <w:tcW w:w="2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Residential</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9,594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1,817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18,421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29,832</w:t>
            </w:r>
          </w:p>
        </w:tc>
        <w:tc>
          <w:tcPr>
            <w:tcW w:w="0" w:type="dxa"/>
            <w:vAlign w:val="bottom"/>
          </w:tcPr>
          <w:p>
            <w:pPr>
              <w:spacing w:after="0"/>
              <w:rPr>
                <w:sz w:val="1"/>
                <w:szCs w:val="1"/>
                <w:color w:val="auto"/>
              </w:rPr>
            </w:pPr>
          </w:p>
        </w:tc>
      </w:tr>
      <w:tr>
        <w:trPr>
          <w:trHeight w:val="202"/>
        </w:trPr>
        <w:tc>
          <w:tcPr>
            <w:tcW w:w="22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Hotel</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7,382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7,382</w:t>
            </w:r>
          </w:p>
        </w:tc>
        <w:tc>
          <w:tcPr>
            <w:tcW w:w="0" w:type="dxa"/>
            <w:vAlign w:val="bottom"/>
          </w:tcPr>
          <w:p>
            <w:pPr>
              <w:spacing w:after="0"/>
              <w:rPr>
                <w:sz w:val="1"/>
                <w:szCs w:val="1"/>
                <w:color w:val="auto"/>
              </w:rPr>
            </w:pPr>
          </w:p>
        </w:tc>
      </w:tr>
      <w:tr>
        <w:trPr>
          <w:trHeight w:val="197"/>
        </w:trPr>
        <w:tc>
          <w:tcPr>
            <w:tcW w:w="2220" w:type="dxa"/>
            <w:vAlign w:val="bottom"/>
            <w:shd w:val="clear" w:color="auto" w:fill="CCEEFF"/>
          </w:tcPr>
          <w:p>
            <w:pPr>
              <w:ind w:left="620"/>
              <w:spacing w:after="0"/>
              <w:rPr>
                <w:sz w:val="20"/>
                <w:szCs w:val="20"/>
                <w:color w:val="auto"/>
              </w:rPr>
            </w:pPr>
            <w:r>
              <w:rPr>
                <w:rFonts w:ascii="Arial" w:cs="Arial" w:eastAsia="Arial" w:hAnsi="Arial"/>
                <w:sz w:val="15"/>
                <w:szCs w:val="15"/>
                <w:color w:val="auto"/>
              </w:rPr>
              <w:t>Total</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713,030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760,002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383,936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271,243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2,128,211</w:t>
            </w:r>
          </w:p>
        </w:tc>
        <w:tc>
          <w:tcPr>
            <w:tcW w:w="0" w:type="dxa"/>
            <w:vAlign w:val="bottom"/>
          </w:tcPr>
          <w:p>
            <w:pPr>
              <w:spacing w:after="0"/>
              <w:rPr>
                <w:sz w:val="1"/>
                <w:szCs w:val="1"/>
                <w:color w:val="auto"/>
              </w:rPr>
            </w:pPr>
          </w:p>
        </w:tc>
      </w:tr>
      <w:tr>
        <w:trPr>
          <w:trHeight w:val="194"/>
        </w:trPr>
        <w:tc>
          <w:tcPr>
            <w:tcW w:w="2220" w:type="dxa"/>
            <w:vAlign w:val="bottom"/>
          </w:tcPr>
          <w:p>
            <w:pPr>
              <w:ind w:left="20"/>
              <w:spacing w:after="0"/>
              <w:rPr>
                <w:sz w:val="20"/>
                <w:szCs w:val="20"/>
                <w:color w:val="auto"/>
              </w:rPr>
            </w:pPr>
            <w:r>
              <w:rPr>
                <w:rFonts w:ascii="Arial" w:cs="Arial" w:eastAsia="Arial" w:hAnsi="Arial"/>
                <w:sz w:val="15"/>
                <w:szCs w:val="15"/>
                <w:color w:val="auto"/>
              </w:rPr>
              <w:t>% of Grand Totals</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33.50 %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660"/>
              <w:spacing w:after="0"/>
              <w:rPr>
                <w:sz w:val="20"/>
                <w:szCs w:val="20"/>
                <w:color w:val="auto"/>
              </w:rPr>
            </w:pPr>
            <w:r>
              <w:rPr>
                <w:rFonts w:ascii="Arial" w:cs="Arial" w:eastAsia="Arial" w:hAnsi="Arial"/>
                <w:sz w:val="15"/>
                <w:szCs w:val="15"/>
                <w:color w:val="auto"/>
              </w:rPr>
              <w:t>— %</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35.71 %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18.04 %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480"/>
              <w:spacing w:after="0"/>
              <w:rPr>
                <w:sz w:val="20"/>
                <w:szCs w:val="20"/>
                <w:color w:val="auto"/>
              </w:rPr>
            </w:pPr>
            <w:r>
              <w:rPr>
                <w:rFonts w:ascii="Arial" w:cs="Arial" w:eastAsia="Arial" w:hAnsi="Arial"/>
                <w:sz w:val="15"/>
                <w:szCs w:val="15"/>
                <w:color w:val="auto"/>
              </w:rPr>
              <w:t>— %</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12.75 %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100.00 %</w:t>
            </w:r>
          </w:p>
        </w:tc>
        <w:tc>
          <w:tcPr>
            <w:tcW w:w="0" w:type="dxa"/>
            <w:vAlign w:val="bottom"/>
          </w:tcPr>
          <w:p>
            <w:pPr>
              <w:spacing w:after="0"/>
              <w:rPr>
                <w:sz w:val="1"/>
                <w:szCs w:val="1"/>
                <w:color w:val="auto"/>
              </w:rPr>
            </w:pPr>
          </w:p>
        </w:tc>
      </w:tr>
      <w:tr>
        <w:trPr>
          <w:trHeight w:val="204"/>
        </w:trPr>
        <w:tc>
          <w:tcPr>
            <w:tcW w:w="2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Rental Expenses: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20" w:type="dxa"/>
            <w:vAlign w:val="bottom"/>
          </w:tcPr>
          <w:p>
            <w:pPr>
              <w:ind w:left="320"/>
              <w:spacing w:after="0"/>
              <w:rPr>
                <w:sz w:val="20"/>
                <w:szCs w:val="20"/>
                <w:color w:val="auto"/>
              </w:rPr>
            </w:pPr>
            <w:r>
              <w:rPr>
                <w:rFonts w:ascii="Arial" w:cs="Arial" w:eastAsia="Arial" w:hAnsi="Arial"/>
                <w:sz w:val="15"/>
                <w:szCs w:val="15"/>
                <w:color w:val="auto"/>
              </w:rPr>
              <w:t>Office</w:t>
            </w:r>
          </w:p>
        </w:tc>
        <w:tc>
          <w:tcPr>
            <w:tcW w:w="220" w:type="dxa"/>
            <w:vAlign w:val="bottom"/>
          </w:tcPr>
          <w:p>
            <w:pPr>
              <w:spacing w:after="0"/>
              <w:rPr>
                <w:sz w:val="17"/>
                <w:szCs w:val="17"/>
                <w:color w:val="auto"/>
              </w:rPr>
            </w:pPr>
          </w:p>
        </w:tc>
        <w:tc>
          <w:tcPr>
            <w:tcW w:w="960" w:type="dxa"/>
            <w:vAlign w:val="bottom"/>
          </w:tcPr>
          <w:p>
            <w:pPr>
              <w:jc w:val="right"/>
              <w:ind w:right="124"/>
              <w:spacing w:after="0"/>
              <w:rPr>
                <w:sz w:val="20"/>
                <w:szCs w:val="20"/>
                <w:color w:val="auto"/>
              </w:rPr>
            </w:pPr>
            <w:r>
              <w:rPr>
                <w:rFonts w:ascii="Arial" w:cs="Arial" w:eastAsia="Arial" w:hAnsi="Arial"/>
                <w:sz w:val="15"/>
                <w:szCs w:val="15"/>
                <w:color w:val="auto"/>
              </w:rPr>
              <w:t>240,743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286,385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124,785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40" w:type="dxa"/>
            <w:vAlign w:val="bottom"/>
          </w:tcPr>
          <w:p>
            <w:pPr>
              <w:jc w:val="right"/>
              <w:ind w:right="124"/>
              <w:spacing w:after="0"/>
              <w:rPr>
                <w:sz w:val="20"/>
                <w:szCs w:val="20"/>
                <w:color w:val="auto"/>
              </w:rPr>
            </w:pPr>
            <w:r>
              <w:rPr>
                <w:rFonts w:ascii="Arial" w:cs="Arial" w:eastAsia="Arial" w:hAnsi="Arial"/>
                <w:sz w:val="15"/>
                <w:szCs w:val="15"/>
                <w:color w:val="auto"/>
              </w:rPr>
              <w:t>94,360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746,273</w:t>
            </w:r>
          </w:p>
        </w:tc>
        <w:tc>
          <w:tcPr>
            <w:tcW w:w="0" w:type="dxa"/>
            <w:vAlign w:val="bottom"/>
          </w:tcPr>
          <w:p>
            <w:pPr>
              <w:spacing w:after="0"/>
              <w:rPr>
                <w:sz w:val="1"/>
                <w:szCs w:val="1"/>
                <w:color w:val="auto"/>
              </w:rPr>
            </w:pPr>
          </w:p>
        </w:tc>
      </w:tr>
      <w:tr>
        <w:trPr>
          <w:trHeight w:val="204"/>
        </w:trPr>
        <w:tc>
          <w:tcPr>
            <w:tcW w:w="2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Residential</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4,286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4,918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8,896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18,100</w:t>
            </w:r>
          </w:p>
        </w:tc>
        <w:tc>
          <w:tcPr>
            <w:tcW w:w="0" w:type="dxa"/>
            <w:vAlign w:val="bottom"/>
          </w:tcPr>
          <w:p>
            <w:pPr>
              <w:spacing w:after="0"/>
              <w:rPr>
                <w:sz w:val="1"/>
                <w:szCs w:val="1"/>
                <w:color w:val="auto"/>
              </w:rPr>
            </w:pPr>
          </w:p>
        </w:tc>
      </w:tr>
      <w:tr>
        <w:trPr>
          <w:trHeight w:val="202"/>
        </w:trPr>
        <w:tc>
          <w:tcPr>
            <w:tcW w:w="22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Hotel</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7,993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7,993</w:t>
            </w:r>
          </w:p>
        </w:tc>
        <w:tc>
          <w:tcPr>
            <w:tcW w:w="0" w:type="dxa"/>
            <w:vAlign w:val="bottom"/>
          </w:tcPr>
          <w:p>
            <w:pPr>
              <w:spacing w:after="0"/>
              <w:rPr>
                <w:sz w:val="1"/>
                <w:szCs w:val="1"/>
                <w:color w:val="auto"/>
              </w:rPr>
            </w:pPr>
          </w:p>
        </w:tc>
      </w:tr>
      <w:tr>
        <w:trPr>
          <w:trHeight w:val="197"/>
        </w:trPr>
        <w:tc>
          <w:tcPr>
            <w:tcW w:w="2220" w:type="dxa"/>
            <w:vAlign w:val="bottom"/>
            <w:shd w:val="clear" w:color="auto" w:fill="CCEEFF"/>
          </w:tcPr>
          <w:p>
            <w:pPr>
              <w:ind w:left="620"/>
              <w:spacing w:after="0"/>
              <w:rPr>
                <w:sz w:val="20"/>
                <w:szCs w:val="20"/>
                <w:color w:val="auto"/>
              </w:rPr>
            </w:pPr>
            <w:r>
              <w:rPr>
                <w:rFonts w:ascii="Arial" w:cs="Arial" w:eastAsia="Arial" w:hAnsi="Arial"/>
                <w:sz w:val="15"/>
                <w:szCs w:val="15"/>
                <w:color w:val="auto"/>
              </w:rPr>
              <w:t>Total</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253,022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286,385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129,703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   —</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103,256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772,366</w:t>
            </w:r>
          </w:p>
        </w:tc>
        <w:tc>
          <w:tcPr>
            <w:tcW w:w="0" w:type="dxa"/>
            <w:vAlign w:val="bottom"/>
          </w:tcPr>
          <w:p>
            <w:pPr>
              <w:spacing w:after="0"/>
              <w:rPr>
                <w:sz w:val="1"/>
                <w:szCs w:val="1"/>
                <w:color w:val="auto"/>
              </w:rPr>
            </w:pPr>
          </w:p>
        </w:tc>
      </w:tr>
      <w:tr>
        <w:trPr>
          <w:trHeight w:val="194"/>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 of Grand Totals</w:t>
            </w:r>
          </w:p>
        </w:tc>
        <w:tc>
          <w:tcPr>
            <w:tcW w:w="2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32.76 %</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5"/>
                <w:szCs w:val="15"/>
                <w:color w:val="auto"/>
              </w:rPr>
              <w:t>— %</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37.08 %</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16.79 %</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5"/>
                <w:szCs w:val="15"/>
                <w:color w:val="auto"/>
                <w:w w:val="98"/>
              </w:rPr>
              <w:t>— %</w:t>
            </w:r>
          </w:p>
        </w:tc>
        <w:tc>
          <w:tcPr>
            <w:tcW w:w="24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13.37 %</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100.00 %</w:t>
            </w:r>
          </w:p>
        </w:tc>
        <w:tc>
          <w:tcPr>
            <w:tcW w:w="0" w:type="dxa"/>
            <w:vAlign w:val="bottom"/>
          </w:tcPr>
          <w:p>
            <w:pPr>
              <w:spacing w:after="0"/>
              <w:rPr>
                <w:sz w:val="1"/>
                <w:szCs w:val="1"/>
                <w:color w:val="auto"/>
              </w:rPr>
            </w:pPr>
          </w:p>
        </w:tc>
      </w:tr>
      <w:tr>
        <w:trPr>
          <w:trHeight w:val="197"/>
        </w:trPr>
        <w:tc>
          <w:tcPr>
            <w:tcW w:w="22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 operating income</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460,008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473,617</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254,233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167,987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1,355,845</w:t>
            </w:r>
          </w:p>
        </w:tc>
        <w:tc>
          <w:tcPr>
            <w:tcW w:w="0" w:type="dxa"/>
            <w:vAlign w:val="bottom"/>
          </w:tcPr>
          <w:p>
            <w:pPr>
              <w:spacing w:after="0"/>
              <w:rPr>
                <w:sz w:val="1"/>
                <w:szCs w:val="1"/>
                <w:color w:val="auto"/>
              </w:rPr>
            </w:pPr>
          </w:p>
        </w:tc>
      </w:tr>
      <w:tr>
        <w:trPr>
          <w:trHeight w:val="194"/>
        </w:trPr>
        <w:tc>
          <w:tcPr>
            <w:tcW w:w="2220" w:type="dxa"/>
            <w:vAlign w:val="bottom"/>
          </w:tcPr>
          <w:p>
            <w:pPr>
              <w:ind w:left="20"/>
              <w:spacing w:after="0"/>
              <w:rPr>
                <w:sz w:val="20"/>
                <w:szCs w:val="20"/>
                <w:color w:val="auto"/>
              </w:rPr>
            </w:pPr>
            <w:r>
              <w:rPr>
                <w:rFonts w:ascii="Arial" w:cs="Arial" w:eastAsia="Arial" w:hAnsi="Arial"/>
                <w:sz w:val="15"/>
                <w:szCs w:val="15"/>
                <w:color w:val="auto"/>
              </w:rPr>
              <w:t>% of Grand Totals</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33.93 %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660"/>
              <w:spacing w:after="0"/>
              <w:rPr>
                <w:sz w:val="20"/>
                <w:szCs w:val="20"/>
                <w:color w:val="auto"/>
              </w:rPr>
            </w:pPr>
            <w:r>
              <w:rPr>
                <w:rFonts w:ascii="Arial" w:cs="Arial" w:eastAsia="Arial" w:hAnsi="Arial"/>
                <w:sz w:val="15"/>
                <w:szCs w:val="15"/>
                <w:color w:val="auto"/>
              </w:rPr>
              <w:t>— %</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34.93 %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18.75 %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480"/>
              <w:spacing w:after="0"/>
              <w:rPr>
                <w:sz w:val="20"/>
                <w:szCs w:val="20"/>
                <w:color w:val="auto"/>
              </w:rPr>
            </w:pPr>
            <w:r>
              <w:rPr>
                <w:rFonts w:ascii="Arial" w:cs="Arial" w:eastAsia="Arial" w:hAnsi="Arial"/>
                <w:sz w:val="15"/>
                <w:szCs w:val="15"/>
                <w:color w:val="auto"/>
              </w:rPr>
              <w:t>— %</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12.39 %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100.00 %</w:t>
            </w:r>
          </w:p>
        </w:tc>
        <w:tc>
          <w:tcPr>
            <w:tcW w:w="0" w:type="dxa"/>
            <w:vAlign w:val="bottom"/>
          </w:tcPr>
          <w:p>
            <w:pPr>
              <w:spacing w:after="0"/>
              <w:rPr>
                <w:sz w:val="1"/>
                <w:szCs w:val="1"/>
                <w:color w:val="auto"/>
              </w:rPr>
            </w:pPr>
          </w:p>
        </w:tc>
      </w:tr>
      <w:tr>
        <w:trPr>
          <w:trHeight w:val="154"/>
        </w:trPr>
        <w:tc>
          <w:tcPr>
            <w:tcW w:w="222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color w:val="auto"/>
              </w:rPr>
              <w:t>Less: Net operating income</w:t>
            </w: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20" w:type="dxa"/>
            <w:vAlign w:val="bottom"/>
            <w:shd w:val="clear" w:color="auto" w:fill="CCEEFF"/>
          </w:tcPr>
          <w:p>
            <w:pPr>
              <w:ind w:left="400"/>
              <w:spacing w:after="0" w:line="152" w:lineRule="exact"/>
              <w:rPr>
                <w:sz w:val="20"/>
                <w:szCs w:val="20"/>
                <w:color w:val="auto"/>
              </w:rPr>
            </w:pPr>
            <w:r>
              <w:rPr>
                <w:rFonts w:ascii="Arial" w:cs="Arial" w:eastAsia="Arial" w:hAnsi="Arial"/>
                <w:sz w:val="15"/>
                <w:szCs w:val="15"/>
                <w:color w:val="auto"/>
              </w:rPr>
              <w:t>attributable to</w:t>
            </w: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20" w:type="dxa"/>
            <w:vAlign w:val="bottom"/>
            <w:shd w:val="clear" w:color="auto" w:fill="CCEEFF"/>
          </w:tcPr>
          <w:p>
            <w:pPr>
              <w:ind w:left="400"/>
              <w:spacing w:after="0" w:line="152" w:lineRule="exact"/>
              <w:rPr>
                <w:sz w:val="20"/>
                <w:szCs w:val="20"/>
                <w:color w:val="auto"/>
              </w:rPr>
            </w:pPr>
            <w:r>
              <w:rPr>
                <w:rFonts w:ascii="Arial" w:cs="Arial" w:eastAsia="Arial" w:hAnsi="Arial"/>
                <w:sz w:val="15"/>
                <w:szCs w:val="15"/>
                <w:color w:val="auto"/>
              </w:rPr>
              <w:t>noncontrolling interests in</w:t>
            </w:r>
          </w:p>
        </w:tc>
        <w:tc>
          <w:tcPr>
            <w:tcW w:w="2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(31,641)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(106,822)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(138,463)</w:t>
            </w: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property partnerships</w:t>
            </w:r>
          </w:p>
        </w:tc>
        <w:tc>
          <w:tcPr>
            <w:tcW w:w="2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220" w:type="dxa"/>
            <w:vAlign w:val="bottom"/>
          </w:tcPr>
          <w:p>
            <w:pPr>
              <w:ind w:left="20"/>
              <w:spacing w:after="0" w:line="153" w:lineRule="exact"/>
              <w:rPr>
                <w:sz w:val="20"/>
                <w:szCs w:val="20"/>
                <w:color w:val="auto"/>
              </w:rPr>
            </w:pPr>
            <w:r>
              <w:rPr>
                <w:rFonts w:ascii="Arial" w:cs="Arial" w:eastAsia="Arial" w:hAnsi="Arial"/>
                <w:sz w:val="15"/>
                <w:szCs w:val="15"/>
                <w:color w:val="auto"/>
              </w:rPr>
              <w:t>Add: Company’s share of net</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20" w:type="dxa"/>
            <w:vAlign w:val="bottom"/>
          </w:tcPr>
          <w:p>
            <w:pPr>
              <w:ind w:left="400"/>
              <w:spacing w:after="0" w:line="152" w:lineRule="exact"/>
              <w:rPr>
                <w:sz w:val="20"/>
                <w:szCs w:val="20"/>
                <w:color w:val="auto"/>
              </w:rPr>
            </w:pPr>
            <w:r>
              <w:rPr>
                <w:rFonts w:ascii="Arial" w:cs="Arial" w:eastAsia="Arial" w:hAnsi="Arial"/>
                <w:sz w:val="15"/>
                <w:szCs w:val="15"/>
                <w:color w:val="auto"/>
              </w:rPr>
              <w:t>operating income (loss)</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20" w:type="dxa"/>
            <w:vAlign w:val="bottom"/>
          </w:tcPr>
          <w:p>
            <w:pPr>
              <w:ind w:left="400"/>
              <w:spacing w:after="0" w:line="152" w:lineRule="exact"/>
              <w:rPr>
                <w:sz w:val="20"/>
                <w:szCs w:val="20"/>
                <w:color w:val="auto"/>
              </w:rPr>
            </w:pPr>
            <w:r>
              <w:rPr>
                <w:rFonts w:ascii="Arial" w:cs="Arial" w:eastAsia="Arial" w:hAnsi="Arial"/>
                <w:sz w:val="15"/>
                <w:szCs w:val="15"/>
                <w:color w:val="auto"/>
              </w:rPr>
              <w:t>from unconsolidated joint</w:t>
            </w:r>
          </w:p>
        </w:tc>
        <w:tc>
          <w:tcPr>
            <w:tcW w:w="220" w:type="dxa"/>
            <w:vAlign w:val="bottom"/>
          </w:tcPr>
          <w:p>
            <w:pPr>
              <w:spacing w:after="0"/>
              <w:rPr>
                <w:sz w:val="13"/>
                <w:szCs w:val="13"/>
                <w:color w:val="auto"/>
              </w:rPr>
            </w:pPr>
          </w:p>
        </w:tc>
        <w:tc>
          <w:tcPr>
            <w:tcW w:w="960" w:type="dxa"/>
            <w:vAlign w:val="bottom"/>
            <w:vMerge w:val="restart"/>
          </w:tcPr>
          <w:p>
            <w:pPr>
              <w:jc w:val="right"/>
              <w:ind w:right="124"/>
              <w:spacing w:after="0"/>
              <w:rPr>
                <w:sz w:val="20"/>
                <w:szCs w:val="20"/>
                <w:color w:val="auto"/>
              </w:rPr>
            </w:pPr>
            <w:r>
              <w:rPr>
                <w:rFonts w:ascii="Arial" w:cs="Arial" w:eastAsia="Arial" w:hAnsi="Arial"/>
                <w:sz w:val="15"/>
                <w:szCs w:val="15"/>
                <w:color w:val="auto"/>
              </w:rPr>
              <w:t>9,369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right"/>
              <w:ind w:right="124"/>
              <w:spacing w:after="0"/>
              <w:rPr>
                <w:sz w:val="20"/>
                <w:szCs w:val="20"/>
                <w:color w:val="auto"/>
              </w:rPr>
            </w:pPr>
            <w:r>
              <w:rPr>
                <w:rFonts w:ascii="Arial" w:cs="Arial" w:eastAsia="Arial" w:hAnsi="Arial"/>
                <w:sz w:val="15"/>
                <w:szCs w:val="15"/>
                <w:color w:val="auto"/>
              </w:rPr>
              <w:t>38,535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64"/>
              <w:spacing w:after="0"/>
              <w:rPr>
                <w:sz w:val="20"/>
                <w:szCs w:val="20"/>
                <w:color w:val="auto"/>
              </w:rPr>
            </w:pPr>
            <w:r>
              <w:rPr>
                <w:rFonts w:ascii="Arial" w:cs="Arial" w:eastAsia="Arial" w:hAnsi="Arial"/>
                <w:sz w:val="15"/>
                <w:szCs w:val="15"/>
                <w:color w:val="auto"/>
              </w:rPr>
              <w:t>(517)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ind w:right="124"/>
              <w:spacing w:after="0"/>
              <w:rPr>
                <w:sz w:val="20"/>
                <w:szCs w:val="20"/>
                <w:color w:val="auto"/>
              </w:rPr>
            </w:pPr>
            <w:r>
              <w:rPr>
                <w:rFonts w:ascii="Arial" w:cs="Arial" w:eastAsia="Arial" w:hAnsi="Arial"/>
                <w:sz w:val="15"/>
                <w:szCs w:val="15"/>
                <w:color w:val="auto"/>
              </w:rPr>
              <w:t>10,562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104"/>
              <w:spacing w:after="0"/>
              <w:rPr>
                <w:sz w:val="20"/>
                <w:szCs w:val="20"/>
                <w:color w:val="auto"/>
              </w:rPr>
            </w:pPr>
            <w:r>
              <w:rPr>
                <w:rFonts w:ascii="Arial" w:cs="Arial" w:eastAsia="Arial" w:hAnsi="Arial"/>
                <w:sz w:val="15"/>
                <w:szCs w:val="15"/>
                <w:color w:val="auto"/>
              </w:rPr>
              <w:t>671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ind w:right="124"/>
              <w:spacing w:after="0"/>
              <w:rPr>
                <w:sz w:val="20"/>
                <w:szCs w:val="20"/>
                <w:color w:val="auto"/>
              </w:rPr>
            </w:pPr>
            <w:r>
              <w:rPr>
                <w:rFonts w:ascii="Arial" w:cs="Arial" w:eastAsia="Arial" w:hAnsi="Arial"/>
                <w:sz w:val="15"/>
                <w:szCs w:val="15"/>
                <w:color w:val="auto"/>
              </w:rPr>
              <w:t>15,858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104"/>
              <w:spacing w:after="0"/>
              <w:rPr>
                <w:sz w:val="20"/>
                <w:szCs w:val="20"/>
                <w:color w:val="auto"/>
              </w:rPr>
            </w:pPr>
            <w:r>
              <w:rPr>
                <w:rFonts w:ascii="Arial" w:cs="Arial" w:eastAsia="Arial" w:hAnsi="Arial"/>
                <w:sz w:val="15"/>
                <w:szCs w:val="15"/>
                <w:color w:val="auto"/>
              </w:rPr>
              <w:t>74,478</w:t>
            </w:r>
          </w:p>
        </w:tc>
        <w:tc>
          <w:tcPr>
            <w:tcW w:w="0" w:type="dxa"/>
            <w:vAlign w:val="bottom"/>
          </w:tcPr>
          <w:p>
            <w:pPr>
              <w:spacing w:after="0"/>
              <w:rPr>
                <w:sz w:val="1"/>
                <w:szCs w:val="1"/>
                <w:color w:val="auto"/>
              </w:rPr>
            </w:pPr>
          </w:p>
        </w:tc>
      </w:tr>
      <w:tr>
        <w:trPr>
          <w:trHeight w:val="201"/>
        </w:trPr>
        <w:tc>
          <w:tcPr>
            <w:tcW w:w="222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ventures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220" w:type="dxa"/>
            <w:vAlign w:val="bottom"/>
            <w:shd w:val="clear" w:color="auto" w:fill="CCEEFF"/>
          </w:tcPr>
          <w:p>
            <w:pPr>
              <w:ind w:left="20"/>
              <w:spacing w:after="0" w:line="134" w:lineRule="exact"/>
              <w:rPr>
                <w:sz w:val="20"/>
                <w:szCs w:val="20"/>
                <w:color w:val="auto"/>
              </w:rPr>
            </w:pPr>
            <w:r>
              <w:rPr>
                <w:rFonts w:ascii="Arial" w:cs="Arial" w:eastAsia="Arial" w:hAnsi="Arial"/>
                <w:sz w:val="15"/>
                <w:szCs w:val="15"/>
                <w:color w:val="auto"/>
              </w:rPr>
              <w:t>Company’s share of net</w:t>
            </w:r>
          </w:p>
        </w:tc>
        <w:tc>
          <w:tcPr>
            <w:tcW w:w="2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437,736</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38,535</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366,278</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264,795</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2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671</w:t>
            </w:r>
          </w:p>
        </w:tc>
        <w:tc>
          <w:tcPr>
            <w:tcW w:w="2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183,845</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1,291,860</w:t>
            </w:r>
          </w:p>
        </w:tc>
        <w:tc>
          <w:tcPr>
            <w:tcW w:w="0" w:type="dxa"/>
            <w:vAlign w:val="bottom"/>
          </w:tcPr>
          <w:p>
            <w:pPr>
              <w:spacing w:after="0"/>
              <w:rPr>
                <w:sz w:val="1"/>
                <w:szCs w:val="1"/>
                <w:color w:val="auto"/>
              </w:rPr>
            </w:pPr>
          </w:p>
        </w:tc>
      </w:tr>
      <w:tr>
        <w:trPr>
          <w:trHeight w:val="197"/>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operating income</w:t>
            </w: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 of Grand Totals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line="172" w:lineRule="exact"/>
              <w:rPr>
                <w:sz w:val="20"/>
                <w:szCs w:val="20"/>
                <w:color w:val="auto"/>
              </w:rPr>
            </w:pPr>
            <w:r>
              <w:rPr>
                <w:rFonts w:ascii="Arial" w:cs="Arial" w:eastAsia="Arial" w:hAnsi="Arial"/>
                <w:sz w:val="15"/>
                <w:szCs w:val="15"/>
                <w:color w:val="auto"/>
              </w:rPr>
              <w:t>33.88 %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5"/>
                <w:szCs w:val="15"/>
                <w:color w:val="auto"/>
              </w:rPr>
              <w:t>2.98 %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line="172" w:lineRule="exact"/>
              <w:rPr>
                <w:sz w:val="20"/>
                <w:szCs w:val="20"/>
                <w:color w:val="auto"/>
              </w:rPr>
            </w:pPr>
            <w:r>
              <w:rPr>
                <w:rFonts w:ascii="Arial" w:cs="Arial" w:eastAsia="Arial" w:hAnsi="Arial"/>
                <w:sz w:val="15"/>
                <w:szCs w:val="15"/>
                <w:color w:val="auto"/>
              </w:rPr>
              <w:t>28.35 %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line="172" w:lineRule="exact"/>
              <w:rPr>
                <w:sz w:val="20"/>
                <w:szCs w:val="20"/>
                <w:color w:val="auto"/>
              </w:rPr>
            </w:pPr>
            <w:r>
              <w:rPr>
                <w:rFonts w:ascii="Arial" w:cs="Arial" w:eastAsia="Arial" w:hAnsi="Arial"/>
                <w:sz w:val="15"/>
                <w:szCs w:val="15"/>
                <w:color w:val="auto"/>
              </w:rPr>
              <w:t>20.50 %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5"/>
                <w:szCs w:val="15"/>
                <w:color w:val="auto"/>
              </w:rPr>
              <w:t>0.05 %</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line="172" w:lineRule="exact"/>
              <w:rPr>
                <w:sz w:val="20"/>
                <w:szCs w:val="20"/>
                <w:color w:val="auto"/>
              </w:rPr>
            </w:pPr>
            <w:r>
              <w:rPr>
                <w:rFonts w:ascii="Arial" w:cs="Arial" w:eastAsia="Arial" w:hAnsi="Arial"/>
                <w:sz w:val="15"/>
                <w:szCs w:val="15"/>
                <w:color w:val="auto"/>
              </w:rPr>
              <w:t>14.24 %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line="172" w:lineRule="exact"/>
              <w:rPr>
                <w:sz w:val="20"/>
                <w:szCs w:val="20"/>
                <w:color w:val="auto"/>
              </w:rPr>
            </w:pPr>
            <w:r>
              <w:rPr>
                <w:rFonts w:ascii="Arial" w:cs="Arial" w:eastAsia="Arial" w:hAnsi="Arial"/>
                <w:sz w:val="15"/>
                <w:szCs w:val="15"/>
                <w:color w:val="auto"/>
              </w:rPr>
              <w:t>100.00 %</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80"/>
        <w:spacing w:after="0"/>
        <w:rPr>
          <w:sz w:val="20"/>
          <w:szCs w:val="20"/>
          <w:color w:val="auto"/>
        </w:rPr>
      </w:pPr>
      <w:r>
        <w:rPr>
          <w:rFonts w:ascii="Arial" w:cs="Arial" w:eastAsia="Arial" w:hAnsi="Arial"/>
          <w:sz w:val="15"/>
          <w:szCs w:val="15"/>
          <w:color w:val="auto"/>
        </w:rPr>
        <w:t>_______________</w:t>
      </w:r>
    </w:p>
    <w:p>
      <w:pPr>
        <w:spacing w:after="0" w:line="27" w:lineRule="exact"/>
        <w:rPr>
          <w:sz w:val="20"/>
          <w:szCs w:val="20"/>
          <w:color w:val="auto"/>
        </w:rPr>
      </w:pPr>
    </w:p>
    <w:p>
      <w:pPr>
        <w:ind w:left="620" w:right="440" w:hanging="314"/>
        <w:spacing w:after="0" w:line="259" w:lineRule="auto"/>
        <w:tabs>
          <w:tab w:leader="none" w:pos="616" w:val="left"/>
        </w:tabs>
        <w:numPr>
          <w:ilvl w:val="1"/>
          <w:numId w:val="19"/>
        </w:numPr>
        <w:rPr>
          <w:rFonts w:ascii="Arial" w:cs="Arial" w:eastAsia="Arial" w:hAnsi="Arial"/>
          <w:sz w:val="15"/>
          <w:szCs w:val="15"/>
          <w:color w:val="auto"/>
        </w:rPr>
      </w:pPr>
      <w:r>
        <w:rPr>
          <w:rFonts w:ascii="Arial" w:cs="Arial" w:eastAsia="Arial" w:hAnsi="Arial"/>
          <w:sz w:val="15"/>
          <w:szCs w:val="15"/>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14" w:lineRule="exact"/>
        <w:rPr>
          <w:rFonts w:ascii="Arial" w:cs="Arial" w:eastAsia="Arial" w:hAnsi="Arial"/>
          <w:sz w:val="15"/>
          <w:szCs w:val="15"/>
          <w:color w:val="auto"/>
        </w:rPr>
      </w:pPr>
    </w:p>
    <w:p>
      <w:pPr>
        <w:ind w:left="280" w:hanging="278"/>
        <w:spacing w:after="0"/>
        <w:tabs>
          <w:tab w:leader="none" w:pos="28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 / Common Unit</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BXP</w:t>
      </w:r>
    </w:p>
    <w:p>
      <w:pPr>
        <w:spacing w:after="0" w:line="84" w:lineRule="exact"/>
        <w:rPr>
          <w:sz w:val="20"/>
          <w:szCs w:val="20"/>
          <w:color w:val="auto"/>
        </w:rPr>
      </w:pPr>
    </w:p>
    <w:p>
      <w:pPr>
        <w:ind w:firstLine="419"/>
        <w:spacing w:after="0" w:line="252" w:lineRule="auto"/>
        <w:rPr>
          <w:sz w:val="20"/>
          <w:szCs w:val="20"/>
          <w:color w:val="auto"/>
        </w:rPr>
      </w:pPr>
      <w:r>
        <w:rPr>
          <w:rFonts w:ascii="Arial" w:cs="Arial" w:eastAsia="Arial" w:hAnsi="Arial"/>
          <w:sz w:val="17"/>
          <w:szCs w:val="17"/>
          <w:color w:val="auto"/>
        </w:rPr>
        <w:t>The following table provides a reconciliation of both the net income attributable to Boston Properties, Inc. common shareholders and the number of common shares used in the computation of basic earnings per share (“EPS”), which is calculated by dividing net income attributable to Boston Properties, Inc. common shareholders by the weighted-average number of common shares outstanding during the period. 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EPS of BXP using the two-class method. Participating securities are included in the computation of diluted EPS of BXP using the if-converted method if the impact is dilutive. Because the 2012 OPP Units and 2013 - 2019 MYLTIP Units required, and the 2020 - 2022 MYLTIP Units require, BXP to outperform absolute and/or relative return thresholds, unless such thresholds have been met by the end of the applicable reporting period, BXP excludes such units from the diluted EPS calculation. Other potentially dilutive common shares, including stock options, restricted stock and other securities of BPLP that are exchangeable for BXP’s Common Stock, and the related impact on earnings, are considered when calculating diluted EPS.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gridSpan w:val="5"/>
          </w:tcPr>
          <w:p>
            <w:pPr>
              <w:jc w:val="center"/>
              <w:ind w:left="879"/>
              <w:spacing w:after="0"/>
              <w:rPr>
                <w:sz w:val="20"/>
                <w:szCs w:val="20"/>
                <w:color w:val="auto"/>
              </w:rPr>
            </w:pPr>
            <w:r>
              <w:rPr>
                <w:rFonts w:ascii="Arial" w:cs="Arial" w:eastAsia="Arial" w:hAnsi="Arial"/>
                <w:sz w:val="15"/>
                <w:szCs w:val="15"/>
                <w:b w:val="1"/>
                <w:bCs w:val="1"/>
                <w:color w:val="auto"/>
              </w:rPr>
              <w:t>Three months ended September 30, 2022</w:t>
            </w:r>
          </w:p>
        </w:tc>
        <w:tc>
          <w:tcPr>
            <w:tcW w:w="1200" w:type="dxa"/>
            <w:vAlign w:val="bottom"/>
            <w:tcBorders>
              <w:bottom w:val="single" w:sz="8" w:color="auto"/>
            </w:tcBorders>
          </w:tcPr>
          <w:p>
            <w:pPr>
              <w:spacing w:after="0"/>
              <w:rPr>
                <w:sz w:val="17"/>
                <w:szCs w:val="17"/>
                <w:color w:val="auto"/>
              </w:rPr>
            </w:pPr>
          </w:p>
        </w:tc>
      </w:tr>
      <w:tr>
        <w:trPr>
          <w:trHeight w:val="145"/>
        </w:trPr>
        <w:tc>
          <w:tcPr>
            <w:tcW w:w="5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center"/>
              <w:ind w:right="460"/>
              <w:spacing w:after="0" w:line="146" w:lineRule="exact"/>
              <w:rPr>
                <w:sz w:val="20"/>
                <w:szCs w:val="20"/>
                <w:color w:val="auto"/>
              </w:rPr>
            </w:pPr>
            <w:r>
              <w:rPr>
                <w:rFonts w:ascii="Arial" w:cs="Arial" w:eastAsia="Arial" w:hAnsi="Arial"/>
                <w:sz w:val="15"/>
                <w:szCs w:val="15"/>
                <w:b w:val="1"/>
                <w:bCs w:val="1"/>
                <w:color w:val="auto"/>
                <w:w w:val="98"/>
              </w:rPr>
              <w:t>Income</w:t>
            </w:r>
          </w:p>
        </w:tc>
        <w:tc>
          <w:tcPr>
            <w:tcW w:w="1860" w:type="dxa"/>
            <w:vAlign w:val="bottom"/>
            <w:gridSpan w:val="2"/>
          </w:tcPr>
          <w:p>
            <w:pPr>
              <w:jc w:val="center"/>
              <w:ind w:right="220"/>
              <w:spacing w:after="0" w:line="146" w:lineRule="exact"/>
              <w:rPr>
                <w:sz w:val="20"/>
                <w:szCs w:val="20"/>
                <w:color w:val="auto"/>
              </w:rPr>
            </w:pPr>
            <w:r>
              <w:rPr>
                <w:rFonts w:ascii="Arial" w:cs="Arial" w:eastAsia="Arial" w:hAnsi="Arial"/>
                <w:sz w:val="15"/>
                <w:szCs w:val="15"/>
                <w:b w:val="1"/>
                <w:bCs w:val="1"/>
                <w:color w:val="auto"/>
              </w:rPr>
              <w:t>Shares</w:t>
            </w:r>
          </w:p>
        </w:tc>
        <w:tc>
          <w:tcPr>
            <w:tcW w:w="440" w:type="dxa"/>
            <w:vAlign w:val="bottom"/>
          </w:tcPr>
          <w:p>
            <w:pPr>
              <w:spacing w:after="0"/>
              <w:rPr>
                <w:sz w:val="12"/>
                <w:szCs w:val="12"/>
                <w:color w:val="auto"/>
              </w:rPr>
            </w:pPr>
          </w:p>
        </w:tc>
        <w:tc>
          <w:tcPr>
            <w:tcW w:w="1200" w:type="dxa"/>
            <w:vAlign w:val="bottom"/>
          </w:tcPr>
          <w:p>
            <w:pPr>
              <w:jc w:val="center"/>
              <w:ind w:right="358"/>
              <w:spacing w:after="0" w:line="146" w:lineRule="exact"/>
              <w:rPr>
                <w:sz w:val="20"/>
                <w:szCs w:val="20"/>
                <w:color w:val="auto"/>
              </w:rPr>
            </w:pPr>
            <w:r>
              <w:rPr>
                <w:rFonts w:ascii="Arial" w:cs="Arial" w:eastAsia="Arial" w:hAnsi="Arial"/>
                <w:sz w:val="15"/>
                <w:szCs w:val="15"/>
                <w:b w:val="1"/>
                <w:bCs w:val="1"/>
                <w:color w:val="auto"/>
              </w:rPr>
              <w:t>Per Share</w:t>
            </w:r>
          </w:p>
        </w:tc>
      </w:tr>
      <w:tr>
        <w:trPr>
          <w:trHeight w:val="203"/>
        </w:trPr>
        <w:tc>
          <w:tcPr>
            <w:tcW w:w="5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b w:val="1"/>
                <w:bCs w:val="1"/>
                <w:color w:val="auto"/>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rPr>
              <w:t>(Denominator)</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378"/>
              <w:spacing w:after="0"/>
              <w:rPr>
                <w:sz w:val="20"/>
                <w:szCs w:val="20"/>
                <w:color w:val="auto"/>
              </w:rPr>
            </w:pPr>
            <w:r>
              <w:rPr>
                <w:rFonts w:ascii="Arial" w:cs="Arial" w:eastAsia="Arial" w:hAnsi="Arial"/>
                <w:sz w:val="15"/>
                <w:szCs w:val="15"/>
                <w:b w:val="1"/>
                <w:bCs w:val="1"/>
                <w:color w:val="auto"/>
              </w:rPr>
              <w:t>Amount</w:t>
            </w:r>
          </w:p>
        </w:tc>
      </w:tr>
      <w:tr>
        <w:trPr>
          <w:trHeight w:val="196"/>
        </w:trPr>
        <w:tc>
          <w:tcPr>
            <w:tcW w:w="5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20" w:type="dxa"/>
            <w:vAlign w:val="bottom"/>
            <w:gridSpan w:val="6"/>
          </w:tcPr>
          <w:p>
            <w:pPr>
              <w:jc w:val="center"/>
              <w:ind w:right="158"/>
              <w:spacing w:after="0"/>
              <w:rPr>
                <w:sz w:val="20"/>
                <w:szCs w:val="20"/>
                <w:color w:val="auto"/>
              </w:rPr>
            </w:pPr>
            <w:r>
              <w:rPr>
                <w:rFonts w:ascii="Arial" w:cs="Arial" w:eastAsia="Arial" w:hAnsi="Arial"/>
                <w:sz w:val="15"/>
                <w:szCs w:val="15"/>
                <w:b w:val="1"/>
                <w:bCs w:val="1"/>
                <w:color w:val="auto"/>
              </w:rPr>
              <w:t>(in thousands, except for per share amounts)</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860" w:type="dxa"/>
            <w:vAlign w:val="bottom"/>
          </w:tcPr>
          <w:p>
            <w:pPr>
              <w:ind w:left="320"/>
              <w:spacing w:after="0"/>
              <w:rPr>
                <w:sz w:val="20"/>
                <w:szCs w:val="20"/>
                <w:color w:val="auto"/>
              </w:rPr>
            </w:pPr>
            <w:r>
              <w:rPr>
                <w:rFonts w:ascii="Arial" w:cs="Arial" w:eastAsia="Arial" w:hAnsi="Arial"/>
                <w:sz w:val="17"/>
                <w:szCs w:val="17"/>
                <w:color w:val="auto"/>
              </w:rPr>
              <w:t>Net income attributable to Boston Properties, Inc. common shareholders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360,977</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156,754</w:t>
            </w:r>
          </w:p>
        </w:tc>
        <w:tc>
          <w:tcPr>
            <w:tcW w:w="220" w:type="dxa"/>
            <w:vAlign w:val="bottom"/>
          </w:tcPr>
          <w:p>
            <w:pPr>
              <w:spacing w:after="0"/>
              <w:rPr>
                <w:sz w:val="18"/>
                <w:szCs w:val="18"/>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2.30</w:t>
            </w:r>
          </w:p>
        </w:tc>
      </w:tr>
      <w:tr>
        <w:trPr>
          <w:trHeight w:val="216"/>
        </w:trPr>
        <w:tc>
          <w:tcPr>
            <w:tcW w:w="5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Allocation of undistributed earnings to participating securities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w:t>
            </w: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8"/>
        </w:trPr>
        <w:tc>
          <w:tcPr>
            <w:tcW w:w="5860" w:type="dxa"/>
            <w:vAlign w:val="bottom"/>
          </w:tcPr>
          <w:p>
            <w:pPr>
              <w:ind w:left="320"/>
              <w:spacing w:after="0"/>
              <w:rPr>
                <w:sz w:val="20"/>
                <w:szCs w:val="20"/>
                <w:color w:val="auto"/>
              </w:rPr>
            </w:pPr>
            <w:r>
              <w:rPr>
                <w:rFonts w:ascii="Arial" w:cs="Arial" w:eastAsia="Arial" w:hAnsi="Arial"/>
                <w:sz w:val="17"/>
                <w:szCs w:val="17"/>
                <w:color w:val="auto"/>
              </w:rPr>
              <w:t>Net income attributable to Boston Properties, Inc. common shareholders</w:t>
            </w: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360,215</w:t>
            </w:r>
          </w:p>
        </w:tc>
        <w:tc>
          <w:tcPr>
            <w:tcW w:w="22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156,754</w:t>
            </w: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2.30</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Dilutive Securities: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860" w:type="dxa"/>
            <w:vAlign w:val="bottom"/>
          </w:tcPr>
          <w:p>
            <w:pPr>
              <w:ind w:left="320"/>
              <w:spacing w:after="0"/>
              <w:rPr>
                <w:sz w:val="20"/>
                <w:szCs w:val="20"/>
                <w:color w:val="auto"/>
              </w:rPr>
            </w:pPr>
            <w:r>
              <w:rPr>
                <w:rFonts w:ascii="Arial" w:cs="Arial" w:eastAsia="Arial" w:hAnsi="Arial"/>
                <w:sz w:val="17"/>
                <w:szCs w:val="17"/>
                <w:color w:val="auto"/>
              </w:rPr>
              <w:t>Stock Based Compensation</w:t>
            </w:r>
          </w:p>
        </w:tc>
        <w:tc>
          <w:tcPr>
            <w:tcW w:w="24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379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(0.01)</w:t>
            </w:r>
          </w:p>
        </w:tc>
      </w:tr>
      <w:tr>
        <w:trPr>
          <w:trHeight w:val="196"/>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Earnings:</w:t>
            </w:r>
          </w:p>
        </w:tc>
        <w:tc>
          <w:tcPr>
            <w:tcW w:w="2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16"/>
        </w:trPr>
        <w:tc>
          <w:tcPr>
            <w:tcW w:w="5860" w:type="dxa"/>
            <w:vAlign w:val="bottom"/>
          </w:tcPr>
          <w:p>
            <w:pPr>
              <w:ind w:left="320"/>
              <w:spacing w:after="0"/>
              <w:rPr>
                <w:sz w:val="20"/>
                <w:szCs w:val="20"/>
                <w:color w:val="auto"/>
              </w:rPr>
            </w:pPr>
            <w:r>
              <w:rPr>
                <w:rFonts w:ascii="Arial" w:cs="Arial" w:eastAsia="Arial" w:hAnsi="Arial"/>
                <w:sz w:val="17"/>
                <w:szCs w:val="17"/>
                <w:color w:val="auto"/>
              </w:rPr>
              <w:t>Net income attributable to Boston Properties, Inc. common shareholders</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360,215</w:t>
            </w:r>
          </w:p>
        </w:tc>
        <w:tc>
          <w:tcPr>
            <w:tcW w:w="22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157,133</w:t>
            </w:r>
          </w:p>
        </w:tc>
        <w:tc>
          <w:tcPr>
            <w:tcW w:w="220" w:type="dxa"/>
            <w:vAlign w:val="bottom"/>
          </w:tcPr>
          <w:p>
            <w:pPr>
              <w:spacing w:after="0"/>
              <w:rPr>
                <w:sz w:val="18"/>
                <w:szCs w:val="18"/>
                <w:color w:val="auto"/>
              </w:rPr>
            </w:pPr>
          </w:p>
        </w:tc>
        <w:tc>
          <w:tcPr>
            <w:tcW w:w="4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22"/>
        </w:trPr>
        <w:tc>
          <w:tcPr>
            <w:tcW w:w="5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5"/>
          </w:tcPr>
          <w:p>
            <w:pPr>
              <w:jc w:val="center"/>
              <w:ind w:left="879"/>
              <w:spacing w:after="0"/>
              <w:rPr>
                <w:sz w:val="20"/>
                <w:szCs w:val="20"/>
                <w:color w:val="auto"/>
              </w:rPr>
            </w:pPr>
            <w:r>
              <w:rPr>
                <w:rFonts w:ascii="Arial" w:cs="Arial" w:eastAsia="Arial" w:hAnsi="Arial"/>
                <w:sz w:val="15"/>
                <w:szCs w:val="15"/>
                <w:b w:val="1"/>
                <w:bCs w:val="1"/>
                <w:color w:val="auto"/>
              </w:rPr>
              <w:t>Three months ended September 30, 2021</w:t>
            </w:r>
          </w:p>
        </w:tc>
        <w:tc>
          <w:tcPr>
            <w:tcW w:w="1200" w:type="dxa"/>
            <w:vAlign w:val="bottom"/>
            <w:tcBorders>
              <w:bottom w:val="single" w:sz="8" w:color="auto"/>
            </w:tcBorders>
          </w:tcPr>
          <w:p>
            <w:pPr>
              <w:spacing w:after="0"/>
              <w:rPr>
                <w:sz w:val="24"/>
                <w:szCs w:val="24"/>
                <w:color w:val="auto"/>
              </w:rPr>
            </w:pPr>
          </w:p>
        </w:tc>
      </w:tr>
      <w:tr>
        <w:trPr>
          <w:trHeight w:val="145"/>
        </w:trPr>
        <w:tc>
          <w:tcPr>
            <w:tcW w:w="5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center"/>
              <w:ind w:right="460"/>
              <w:spacing w:after="0" w:line="146" w:lineRule="exact"/>
              <w:rPr>
                <w:sz w:val="20"/>
                <w:szCs w:val="20"/>
                <w:color w:val="auto"/>
              </w:rPr>
            </w:pPr>
            <w:r>
              <w:rPr>
                <w:rFonts w:ascii="Arial" w:cs="Arial" w:eastAsia="Arial" w:hAnsi="Arial"/>
                <w:sz w:val="15"/>
                <w:szCs w:val="15"/>
                <w:b w:val="1"/>
                <w:bCs w:val="1"/>
                <w:color w:val="auto"/>
                <w:w w:val="98"/>
              </w:rPr>
              <w:t>Income</w:t>
            </w:r>
          </w:p>
        </w:tc>
        <w:tc>
          <w:tcPr>
            <w:tcW w:w="1860" w:type="dxa"/>
            <w:vAlign w:val="bottom"/>
            <w:gridSpan w:val="2"/>
          </w:tcPr>
          <w:p>
            <w:pPr>
              <w:jc w:val="center"/>
              <w:ind w:right="220"/>
              <w:spacing w:after="0" w:line="146" w:lineRule="exact"/>
              <w:rPr>
                <w:sz w:val="20"/>
                <w:szCs w:val="20"/>
                <w:color w:val="auto"/>
              </w:rPr>
            </w:pPr>
            <w:r>
              <w:rPr>
                <w:rFonts w:ascii="Arial" w:cs="Arial" w:eastAsia="Arial" w:hAnsi="Arial"/>
                <w:sz w:val="15"/>
                <w:szCs w:val="15"/>
                <w:b w:val="1"/>
                <w:bCs w:val="1"/>
                <w:color w:val="auto"/>
              </w:rPr>
              <w:t>Shares</w:t>
            </w:r>
          </w:p>
        </w:tc>
        <w:tc>
          <w:tcPr>
            <w:tcW w:w="440" w:type="dxa"/>
            <w:vAlign w:val="bottom"/>
          </w:tcPr>
          <w:p>
            <w:pPr>
              <w:spacing w:after="0"/>
              <w:rPr>
                <w:sz w:val="12"/>
                <w:szCs w:val="12"/>
                <w:color w:val="auto"/>
              </w:rPr>
            </w:pPr>
          </w:p>
        </w:tc>
        <w:tc>
          <w:tcPr>
            <w:tcW w:w="1200" w:type="dxa"/>
            <w:vAlign w:val="bottom"/>
          </w:tcPr>
          <w:p>
            <w:pPr>
              <w:jc w:val="center"/>
              <w:ind w:right="358"/>
              <w:spacing w:after="0" w:line="146" w:lineRule="exact"/>
              <w:rPr>
                <w:sz w:val="20"/>
                <w:szCs w:val="20"/>
                <w:color w:val="auto"/>
              </w:rPr>
            </w:pPr>
            <w:r>
              <w:rPr>
                <w:rFonts w:ascii="Arial" w:cs="Arial" w:eastAsia="Arial" w:hAnsi="Arial"/>
                <w:sz w:val="15"/>
                <w:szCs w:val="15"/>
                <w:b w:val="1"/>
                <w:bCs w:val="1"/>
                <w:color w:val="auto"/>
              </w:rPr>
              <w:t>Per Share</w:t>
            </w:r>
          </w:p>
        </w:tc>
      </w:tr>
      <w:tr>
        <w:trPr>
          <w:trHeight w:val="203"/>
        </w:trPr>
        <w:tc>
          <w:tcPr>
            <w:tcW w:w="5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b w:val="1"/>
                <w:bCs w:val="1"/>
                <w:color w:val="auto"/>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rPr>
              <w:t>(Denominator)</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378"/>
              <w:spacing w:after="0"/>
              <w:rPr>
                <w:sz w:val="20"/>
                <w:szCs w:val="20"/>
                <w:color w:val="auto"/>
              </w:rPr>
            </w:pPr>
            <w:r>
              <w:rPr>
                <w:rFonts w:ascii="Arial" w:cs="Arial" w:eastAsia="Arial" w:hAnsi="Arial"/>
                <w:sz w:val="15"/>
                <w:szCs w:val="15"/>
                <w:b w:val="1"/>
                <w:bCs w:val="1"/>
                <w:color w:val="auto"/>
              </w:rPr>
              <w:t>Amount</w:t>
            </w:r>
          </w:p>
        </w:tc>
      </w:tr>
      <w:tr>
        <w:trPr>
          <w:trHeight w:val="196"/>
        </w:trPr>
        <w:tc>
          <w:tcPr>
            <w:tcW w:w="5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20" w:type="dxa"/>
            <w:vAlign w:val="bottom"/>
            <w:gridSpan w:val="6"/>
          </w:tcPr>
          <w:p>
            <w:pPr>
              <w:jc w:val="center"/>
              <w:ind w:right="158"/>
              <w:spacing w:after="0"/>
              <w:rPr>
                <w:sz w:val="20"/>
                <w:szCs w:val="20"/>
                <w:color w:val="auto"/>
              </w:rPr>
            </w:pPr>
            <w:r>
              <w:rPr>
                <w:rFonts w:ascii="Arial" w:cs="Arial" w:eastAsia="Arial" w:hAnsi="Arial"/>
                <w:sz w:val="15"/>
                <w:szCs w:val="15"/>
                <w:b w:val="1"/>
                <w:bCs w:val="1"/>
                <w:color w:val="auto"/>
              </w:rPr>
              <w:t>(in thousands, except for per share amounts)</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860" w:type="dxa"/>
            <w:vAlign w:val="bottom"/>
          </w:tcPr>
          <w:p>
            <w:pPr>
              <w:ind w:left="320"/>
              <w:spacing w:after="0"/>
              <w:rPr>
                <w:sz w:val="20"/>
                <w:szCs w:val="20"/>
                <w:color w:val="auto"/>
              </w:rPr>
            </w:pPr>
            <w:r>
              <w:rPr>
                <w:rFonts w:ascii="Arial" w:cs="Arial" w:eastAsia="Arial" w:hAnsi="Arial"/>
                <w:sz w:val="17"/>
                <w:szCs w:val="17"/>
                <w:color w:val="auto"/>
              </w:rPr>
              <w:t>Net income attributable to Boston Properties, Inc. common shareholders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108,297</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156,183</w:t>
            </w:r>
          </w:p>
        </w:tc>
        <w:tc>
          <w:tcPr>
            <w:tcW w:w="220" w:type="dxa"/>
            <w:vAlign w:val="bottom"/>
          </w:tcPr>
          <w:p>
            <w:pPr>
              <w:spacing w:after="0"/>
              <w:rPr>
                <w:sz w:val="18"/>
                <w:szCs w:val="18"/>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0.69</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Dilutive Securities: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860" w:type="dxa"/>
            <w:vAlign w:val="bottom"/>
          </w:tcPr>
          <w:p>
            <w:pPr>
              <w:ind w:left="320"/>
              <w:spacing w:after="0"/>
              <w:rPr>
                <w:sz w:val="20"/>
                <w:szCs w:val="20"/>
                <w:color w:val="auto"/>
              </w:rPr>
            </w:pPr>
            <w:r>
              <w:rPr>
                <w:rFonts w:ascii="Arial" w:cs="Arial" w:eastAsia="Arial" w:hAnsi="Arial"/>
                <w:sz w:val="17"/>
                <w:szCs w:val="17"/>
                <w:color w:val="auto"/>
              </w:rPr>
              <w:t>Stock Based Compensation</w:t>
            </w:r>
          </w:p>
        </w:tc>
        <w:tc>
          <w:tcPr>
            <w:tcW w:w="24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415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Earnings:</w:t>
            </w:r>
          </w:p>
        </w:tc>
        <w:tc>
          <w:tcPr>
            <w:tcW w:w="2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16"/>
        </w:trPr>
        <w:tc>
          <w:tcPr>
            <w:tcW w:w="5860" w:type="dxa"/>
            <w:vAlign w:val="bottom"/>
          </w:tcPr>
          <w:p>
            <w:pPr>
              <w:ind w:left="320"/>
              <w:spacing w:after="0"/>
              <w:rPr>
                <w:sz w:val="20"/>
                <w:szCs w:val="20"/>
                <w:color w:val="auto"/>
              </w:rPr>
            </w:pPr>
            <w:r>
              <w:rPr>
                <w:rFonts w:ascii="Arial" w:cs="Arial" w:eastAsia="Arial" w:hAnsi="Arial"/>
                <w:sz w:val="17"/>
                <w:szCs w:val="17"/>
                <w:color w:val="auto"/>
              </w:rPr>
              <w:t>Net income attributable to Boston Properties, Inc. common shareholders</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108,297</w:t>
            </w:r>
          </w:p>
        </w:tc>
        <w:tc>
          <w:tcPr>
            <w:tcW w:w="22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156,598</w:t>
            </w:r>
          </w:p>
        </w:tc>
        <w:tc>
          <w:tcPr>
            <w:tcW w:w="220" w:type="dxa"/>
            <w:vAlign w:val="bottom"/>
          </w:tcPr>
          <w:p>
            <w:pPr>
              <w:spacing w:after="0"/>
              <w:rPr>
                <w:sz w:val="18"/>
                <w:szCs w:val="18"/>
                <w:color w:val="auto"/>
              </w:rPr>
            </w:pPr>
          </w:p>
        </w:tc>
        <w:tc>
          <w:tcPr>
            <w:tcW w:w="4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0.69</w:t>
            </w: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35"/>
        </w:trPr>
        <w:tc>
          <w:tcPr>
            <w:tcW w:w="5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5"/>
          </w:tcPr>
          <w:p>
            <w:pPr>
              <w:jc w:val="center"/>
              <w:ind w:left="879"/>
              <w:spacing w:after="0"/>
              <w:rPr>
                <w:sz w:val="20"/>
                <w:szCs w:val="20"/>
                <w:color w:val="auto"/>
              </w:rPr>
            </w:pPr>
            <w:r>
              <w:rPr>
                <w:rFonts w:ascii="Arial" w:cs="Arial" w:eastAsia="Arial" w:hAnsi="Arial"/>
                <w:sz w:val="15"/>
                <w:szCs w:val="15"/>
                <w:b w:val="1"/>
                <w:bCs w:val="1"/>
                <w:color w:val="auto"/>
              </w:rPr>
              <w:t>Nine months ended September 30, 2022</w:t>
            </w:r>
          </w:p>
        </w:tc>
        <w:tc>
          <w:tcPr>
            <w:tcW w:w="1200" w:type="dxa"/>
            <w:vAlign w:val="bottom"/>
            <w:tcBorders>
              <w:bottom w:val="single" w:sz="8" w:color="auto"/>
            </w:tcBorders>
          </w:tcPr>
          <w:p>
            <w:pPr>
              <w:spacing w:after="0"/>
              <w:rPr>
                <w:sz w:val="24"/>
                <w:szCs w:val="24"/>
                <w:color w:val="auto"/>
              </w:rPr>
            </w:pPr>
          </w:p>
        </w:tc>
      </w:tr>
      <w:tr>
        <w:trPr>
          <w:trHeight w:val="145"/>
        </w:trPr>
        <w:tc>
          <w:tcPr>
            <w:tcW w:w="5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center"/>
              <w:ind w:right="460"/>
              <w:spacing w:after="0" w:line="146" w:lineRule="exact"/>
              <w:rPr>
                <w:sz w:val="20"/>
                <w:szCs w:val="20"/>
                <w:color w:val="auto"/>
              </w:rPr>
            </w:pPr>
            <w:r>
              <w:rPr>
                <w:rFonts w:ascii="Arial" w:cs="Arial" w:eastAsia="Arial" w:hAnsi="Arial"/>
                <w:sz w:val="15"/>
                <w:szCs w:val="15"/>
                <w:b w:val="1"/>
                <w:bCs w:val="1"/>
                <w:color w:val="auto"/>
                <w:w w:val="98"/>
              </w:rPr>
              <w:t>Income</w:t>
            </w:r>
          </w:p>
        </w:tc>
        <w:tc>
          <w:tcPr>
            <w:tcW w:w="1860" w:type="dxa"/>
            <w:vAlign w:val="bottom"/>
            <w:gridSpan w:val="2"/>
          </w:tcPr>
          <w:p>
            <w:pPr>
              <w:jc w:val="center"/>
              <w:ind w:right="220"/>
              <w:spacing w:after="0" w:line="146" w:lineRule="exact"/>
              <w:rPr>
                <w:sz w:val="20"/>
                <w:szCs w:val="20"/>
                <w:color w:val="auto"/>
              </w:rPr>
            </w:pPr>
            <w:r>
              <w:rPr>
                <w:rFonts w:ascii="Arial" w:cs="Arial" w:eastAsia="Arial" w:hAnsi="Arial"/>
                <w:sz w:val="15"/>
                <w:szCs w:val="15"/>
                <w:b w:val="1"/>
                <w:bCs w:val="1"/>
                <w:color w:val="auto"/>
              </w:rPr>
              <w:t>Shares</w:t>
            </w:r>
          </w:p>
        </w:tc>
        <w:tc>
          <w:tcPr>
            <w:tcW w:w="440" w:type="dxa"/>
            <w:vAlign w:val="bottom"/>
          </w:tcPr>
          <w:p>
            <w:pPr>
              <w:spacing w:after="0"/>
              <w:rPr>
                <w:sz w:val="12"/>
                <w:szCs w:val="12"/>
                <w:color w:val="auto"/>
              </w:rPr>
            </w:pPr>
          </w:p>
        </w:tc>
        <w:tc>
          <w:tcPr>
            <w:tcW w:w="1200" w:type="dxa"/>
            <w:vAlign w:val="bottom"/>
          </w:tcPr>
          <w:p>
            <w:pPr>
              <w:jc w:val="center"/>
              <w:ind w:right="358"/>
              <w:spacing w:after="0" w:line="146" w:lineRule="exact"/>
              <w:rPr>
                <w:sz w:val="20"/>
                <w:szCs w:val="20"/>
                <w:color w:val="auto"/>
              </w:rPr>
            </w:pPr>
            <w:r>
              <w:rPr>
                <w:rFonts w:ascii="Arial" w:cs="Arial" w:eastAsia="Arial" w:hAnsi="Arial"/>
                <w:sz w:val="15"/>
                <w:szCs w:val="15"/>
                <w:b w:val="1"/>
                <w:bCs w:val="1"/>
                <w:color w:val="auto"/>
              </w:rPr>
              <w:t>Per Share</w:t>
            </w:r>
          </w:p>
        </w:tc>
      </w:tr>
      <w:tr>
        <w:trPr>
          <w:trHeight w:val="203"/>
        </w:trPr>
        <w:tc>
          <w:tcPr>
            <w:tcW w:w="5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b w:val="1"/>
                <w:bCs w:val="1"/>
                <w:color w:val="auto"/>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rPr>
              <w:t>(Denominator)</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378"/>
              <w:spacing w:after="0"/>
              <w:rPr>
                <w:sz w:val="20"/>
                <w:szCs w:val="20"/>
                <w:color w:val="auto"/>
              </w:rPr>
            </w:pPr>
            <w:r>
              <w:rPr>
                <w:rFonts w:ascii="Arial" w:cs="Arial" w:eastAsia="Arial" w:hAnsi="Arial"/>
                <w:sz w:val="15"/>
                <w:szCs w:val="15"/>
                <w:b w:val="1"/>
                <w:bCs w:val="1"/>
                <w:color w:val="auto"/>
              </w:rPr>
              <w:t>Amount</w:t>
            </w:r>
          </w:p>
        </w:tc>
      </w:tr>
      <w:tr>
        <w:trPr>
          <w:trHeight w:val="196"/>
        </w:trPr>
        <w:tc>
          <w:tcPr>
            <w:tcW w:w="5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20" w:type="dxa"/>
            <w:vAlign w:val="bottom"/>
            <w:gridSpan w:val="6"/>
          </w:tcPr>
          <w:p>
            <w:pPr>
              <w:jc w:val="center"/>
              <w:ind w:right="158"/>
              <w:spacing w:after="0"/>
              <w:rPr>
                <w:sz w:val="20"/>
                <w:szCs w:val="20"/>
                <w:color w:val="auto"/>
              </w:rPr>
            </w:pPr>
            <w:r>
              <w:rPr>
                <w:rFonts w:ascii="Arial" w:cs="Arial" w:eastAsia="Arial" w:hAnsi="Arial"/>
                <w:sz w:val="15"/>
                <w:szCs w:val="15"/>
                <w:b w:val="1"/>
                <w:bCs w:val="1"/>
                <w:color w:val="auto"/>
              </w:rPr>
              <w:t>(in thousands, except for per share amounts)</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860" w:type="dxa"/>
            <w:vAlign w:val="bottom"/>
          </w:tcPr>
          <w:p>
            <w:pPr>
              <w:ind w:left="320"/>
              <w:spacing w:after="0"/>
              <w:rPr>
                <w:sz w:val="20"/>
                <w:szCs w:val="20"/>
                <w:color w:val="auto"/>
              </w:rPr>
            </w:pPr>
            <w:r>
              <w:rPr>
                <w:rFonts w:ascii="Arial" w:cs="Arial" w:eastAsia="Arial" w:hAnsi="Arial"/>
                <w:sz w:val="17"/>
                <w:szCs w:val="17"/>
                <w:color w:val="auto"/>
              </w:rPr>
              <w:t>Net income attributable to Boston Properties, Inc. common shareholders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727,144</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156,708</w:t>
            </w:r>
          </w:p>
        </w:tc>
        <w:tc>
          <w:tcPr>
            <w:tcW w:w="220" w:type="dxa"/>
            <w:vAlign w:val="bottom"/>
          </w:tcPr>
          <w:p>
            <w:pPr>
              <w:spacing w:after="0"/>
              <w:rPr>
                <w:sz w:val="18"/>
                <w:szCs w:val="18"/>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4.64</w:t>
            </w:r>
          </w:p>
        </w:tc>
      </w:tr>
      <w:tr>
        <w:trPr>
          <w:trHeight w:val="216"/>
        </w:trPr>
        <w:tc>
          <w:tcPr>
            <w:tcW w:w="5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Allocation of undistributed earnings to participating securities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w:t>
            </w: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r>
      <w:tr>
        <w:trPr>
          <w:trHeight w:val="208"/>
        </w:trPr>
        <w:tc>
          <w:tcPr>
            <w:tcW w:w="5860" w:type="dxa"/>
            <w:vAlign w:val="bottom"/>
          </w:tcPr>
          <w:p>
            <w:pPr>
              <w:ind w:left="320"/>
              <w:spacing w:after="0"/>
              <w:rPr>
                <w:sz w:val="20"/>
                <w:szCs w:val="20"/>
                <w:color w:val="auto"/>
              </w:rPr>
            </w:pPr>
            <w:r>
              <w:rPr>
                <w:rFonts w:ascii="Arial" w:cs="Arial" w:eastAsia="Arial" w:hAnsi="Arial"/>
                <w:sz w:val="17"/>
                <w:szCs w:val="17"/>
                <w:color w:val="auto"/>
              </w:rPr>
              <w:t>Net income attributable to Boston Properties, Inc. common shareholders</w:t>
            </w: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726,142</w:t>
            </w:r>
          </w:p>
        </w:tc>
        <w:tc>
          <w:tcPr>
            <w:tcW w:w="22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156,708</w:t>
            </w: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4.63</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Dilutive Securities: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860" w:type="dxa"/>
            <w:vAlign w:val="bottom"/>
          </w:tcPr>
          <w:p>
            <w:pPr>
              <w:ind w:left="320"/>
              <w:spacing w:after="0"/>
              <w:rPr>
                <w:sz w:val="20"/>
                <w:szCs w:val="20"/>
                <w:color w:val="auto"/>
              </w:rPr>
            </w:pPr>
            <w:r>
              <w:rPr>
                <w:rFonts w:ascii="Arial" w:cs="Arial" w:eastAsia="Arial" w:hAnsi="Arial"/>
                <w:sz w:val="17"/>
                <w:szCs w:val="17"/>
                <w:color w:val="auto"/>
              </w:rPr>
              <w:t>Stock Based Compensation</w:t>
            </w:r>
          </w:p>
        </w:tc>
        <w:tc>
          <w:tcPr>
            <w:tcW w:w="24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436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(0.01)</w:t>
            </w:r>
          </w:p>
        </w:tc>
      </w:tr>
      <w:tr>
        <w:trPr>
          <w:trHeight w:val="196"/>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Earnings:</w:t>
            </w:r>
          </w:p>
        </w:tc>
        <w:tc>
          <w:tcPr>
            <w:tcW w:w="2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16"/>
        </w:trPr>
        <w:tc>
          <w:tcPr>
            <w:tcW w:w="5860" w:type="dxa"/>
            <w:vAlign w:val="bottom"/>
          </w:tcPr>
          <w:p>
            <w:pPr>
              <w:ind w:left="320"/>
              <w:spacing w:after="0"/>
              <w:rPr>
                <w:sz w:val="20"/>
                <w:szCs w:val="20"/>
                <w:color w:val="auto"/>
              </w:rPr>
            </w:pPr>
            <w:r>
              <w:rPr>
                <w:rFonts w:ascii="Arial" w:cs="Arial" w:eastAsia="Arial" w:hAnsi="Arial"/>
                <w:sz w:val="17"/>
                <w:szCs w:val="17"/>
                <w:color w:val="auto"/>
              </w:rPr>
              <w:t>Net income attributable to Boston Properties, Inc. common shareholders</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726,142</w:t>
            </w:r>
          </w:p>
        </w:tc>
        <w:tc>
          <w:tcPr>
            <w:tcW w:w="22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157,144</w:t>
            </w:r>
          </w:p>
        </w:tc>
        <w:tc>
          <w:tcPr>
            <w:tcW w:w="220" w:type="dxa"/>
            <w:vAlign w:val="bottom"/>
          </w:tcPr>
          <w:p>
            <w:pPr>
              <w:spacing w:after="0"/>
              <w:rPr>
                <w:sz w:val="18"/>
                <w:szCs w:val="18"/>
                <w:color w:val="auto"/>
              </w:rPr>
            </w:pPr>
          </w:p>
        </w:tc>
        <w:tc>
          <w:tcPr>
            <w:tcW w:w="4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4.62</w:t>
            </w: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5"/>
          </w:tcPr>
          <w:p>
            <w:pPr>
              <w:jc w:val="center"/>
              <w:ind w:left="900"/>
              <w:spacing w:after="0"/>
              <w:rPr>
                <w:sz w:val="20"/>
                <w:szCs w:val="20"/>
                <w:color w:val="auto"/>
              </w:rPr>
            </w:pPr>
            <w:r>
              <w:rPr>
                <w:rFonts w:ascii="Arial" w:cs="Arial" w:eastAsia="Arial" w:hAnsi="Arial"/>
                <w:sz w:val="15"/>
                <w:szCs w:val="15"/>
                <w:b w:val="1"/>
                <w:bCs w:val="1"/>
                <w:color w:val="auto"/>
              </w:rPr>
              <w:t>Nine months ended September 30, 2021</w:t>
            </w:r>
          </w:p>
        </w:tc>
        <w:tc>
          <w:tcPr>
            <w:tcW w:w="1220" w:type="dxa"/>
            <w:vAlign w:val="bottom"/>
            <w:tcBorders>
              <w:bottom w:val="single" w:sz="8" w:color="auto"/>
            </w:tcBorders>
          </w:tcPr>
          <w:p>
            <w:pPr>
              <w:spacing w:after="0"/>
              <w:rPr>
                <w:sz w:val="17"/>
                <w:szCs w:val="17"/>
                <w:color w:val="auto"/>
              </w:rPr>
            </w:pPr>
          </w:p>
        </w:tc>
      </w:tr>
      <w:tr>
        <w:trPr>
          <w:trHeight w:val="145"/>
        </w:trPr>
        <w:tc>
          <w:tcPr>
            <w:tcW w:w="5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center"/>
              <w:ind w:right="460"/>
              <w:spacing w:after="0" w:line="146" w:lineRule="exact"/>
              <w:rPr>
                <w:sz w:val="20"/>
                <w:szCs w:val="20"/>
                <w:color w:val="auto"/>
              </w:rPr>
            </w:pPr>
            <w:r>
              <w:rPr>
                <w:rFonts w:ascii="Arial" w:cs="Arial" w:eastAsia="Arial" w:hAnsi="Arial"/>
                <w:sz w:val="15"/>
                <w:szCs w:val="15"/>
                <w:b w:val="1"/>
                <w:bCs w:val="1"/>
                <w:color w:val="auto"/>
                <w:w w:val="98"/>
              </w:rPr>
              <w:t>Income</w:t>
            </w:r>
          </w:p>
        </w:tc>
        <w:tc>
          <w:tcPr>
            <w:tcW w:w="1860" w:type="dxa"/>
            <w:vAlign w:val="bottom"/>
            <w:gridSpan w:val="2"/>
          </w:tcPr>
          <w:p>
            <w:pPr>
              <w:jc w:val="center"/>
              <w:ind w:right="220"/>
              <w:spacing w:after="0" w:line="146" w:lineRule="exact"/>
              <w:rPr>
                <w:sz w:val="20"/>
                <w:szCs w:val="20"/>
                <w:color w:val="auto"/>
              </w:rPr>
            </w:pPr>
            <w:r>
              <w:rPr>
                <w:rFonts w:ascii="Arial" w:cs="Arial" w:eastAsia="Arial" w:hAnsi="Arial"/>
                <w:sz w:val="15"/>
                <w:szCs w:val="15"/>
                <w:b w:val="1"/>
                <w:bCs w:val="1"/>
                <w:color w:val="auto"/>
              </w:rPr>
              <w:t>Shares</w:t>
            </w:r>
          </w:p>
        </w:tc>
        <w:tc>
          <w:tcPr>
            <w:tcW w:w="420" w:type="dxa"/>
            <w:vAlign w:val="bottom"/>
          </w:tcPr>
          <w:p>
            <w:pPr>
              <w:spacing w:after="0"/>
              <w:rPr>
                <w:sz w:val="12"/>
                <w:szCs w:val="12"/>
                <w:color w:val="auto"/>
              </w:rPr>
            </w:pPr>
          </w:p>
        </w:tc>
        <w:tc>
          <w:tcPr>
            <w:tcW w:w="1220" w:type="dxa"/>
            <w:vAlign w:val="bottom"/>
          </w:tcPr>
          <w:p>
            <w:pPr>
              <w:jc w:val="center"/>
              <w:ind w:right="339"/>
              <w:spacing w:after="0" w:line="146" w:lineRule="exact"/>
              <w:rPr>
                <w:sz w:val="20"/>
                <w:szCs w:val="20"/>
                <w:color w:val="auto"/>
              </w:rPr>
            </w:pPr>
            <w:r>
              <w:rPr>
                <w:rFonts w:ascii="Arial" w:cs="Arial" w:eastAsia="Arial" w:hAnsi="Arial"/>
                <w:sz w:val="15"/>
                <w:szCs w:val="15"/>
                <w:b w:val="1"/>
                <w:bCs w:val="1"/>
                <w:color w:val="auto"/>
              </w:rPr>
              <w:t>Per Share</w:t>
            </w:r>
          </w:p>
        </w:tc>
      </w:tr>
      <w:tr>
        <w:trPr>
          <w:trHeight w:val="203"/>
        </w:trPr>
        <w:tc>
          <w:tcPr>
            <w:tcW w:w="5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b w:val="1"/>
                <w:bCs w:val="1"/>
                <w:color w:val="auto"/>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rPr>
              <w:t>(Denominator)</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359"/>
              <w:spacing w:after="0"/>
              <w:rPr>
                <w:sz w:val="20"/>
                <w:szCs w:val="20"/>
                <w:color w:val="auto"/>
              </w:rPr>
            </w:pPr>
            <w:r>
              <w:rPr>
                <w:rFonts w:ascii="Arial" w:cs="Arial" w:eastAsia="Arial" w:hAnsi="Arial"/>
                <w:sz w:val="15"/>
                <w:szCs w:val="15"/>
                <w:b w:val="1"/>
                <w:bCs w:val="1"/>
                <w:color w:val="auto"/>
              </w:rPr>
              <w:t>Amount</w:t>
            </w:r>
          </w:p>
        </w:tc>
      </w:tr>
      <w:tr>
        <w:trPr>
          <w:trHeight w:val="196"/>
        </w:trPr>
        <w:tc>
          <w:tcPr>
            <w:tcW w:w="5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20" w:type="dxa"/>
            <w:vAlign w:val="bottom"/>
            <w:gridSpan w:val="6"/>
          </w:tcPr>
          <w:p>
            <w:pPr>
              <w:jc w:val="center"/>
              <w:ind w:right="159"/>
              <w:spacing w:after="0"/>
              <w:rPr>
                <w:sz w:val="20"/>
                <w:szCs w:val="20"/>
                <w:color w:val="auto"/>
              </w:rPr>
            </w:pPr>
            <w:r>
              <w:rPr>
                <w:rFonts w:ascii="Arial" w:cs="Arial" w:eastAsia="Arial" w:hAnsi="Arial"/>
                <w:sz w:val="15"/>
                <w:szCs w:val="15"/>
                <w:b w:val="1"/>
                <w:bCs w:val="1"/>
                <w:color w:val="auto"/>
              </w:rPr>
              <w:t>(in thousands, except for per share amounts)</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860" w:type="dxa"/>
            <w:vAlign w:val="bottom"/>
          </w:tcPr>
          <w:p>
            <w:pPr>
              <w:ind w:left="320"/>
              <w:spacing w:after="0"/>
              <w:rPr>
                <w:sz w:val="20"/>
                <w:szCs w:val="20"/>
                <w:color w:val="auto"/>
              </w:rPr>
            </w:pPr>
            <w:r>
              <w:rPr>
                <w:rFonts w:ascii="Arial" w:cs="Arial" w:eastAsia="Arial" w:hAnsi="Arial"/>
                <w:sz w:val="17"/>
                <w:szCs w:val="17"/>
                <w:color w:val="auto"/>
              </w:rPr>
              <w:t>Net income attributable to Boston Properties, Inc. common shareholders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311,680</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156,062</w:t>
            </w:r>
          </w:p>
        </w:tc>
        <w:tc>
          <w:tcPr>
            <w:tcW w:w="220" w:type="dxa"/>
            <w:vAlign w:val="bottom"/>
          </w:tcPr>
          <w:p>
            <w:pPr>
              <w:spacing w:after="0"/>
              <w:rPr>
                <w:sz w:val="18"/>
                <w:szCs w:val="18"/>
                <w:color w:val="auto"/>
              </w:rPr>
            </w:pP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center"/>
              <w:ind w:left="659"/>
              <w:spacing w:after="0"/>
              <w:rPr>
                <w:sz w:val="20"/>
                <w:szCs w:val="20"/>
                <w:color w:val="auto"/>
              </w:rPr>
            </w:pPr>
            <w:r>
              <w:rPr>
                <w:rFonts w:ascii="Arial" w:cs="Arial" w:eastAsia="Arial" w:hAnsi="Arial"/>
                <w:sz w:val="17"/>
                <w:szCs w:val="17"/>
                <w:color w:val="auto"/>
                <w:w w:val="96"/>
              </w:rPr>
              <w:t>2.00</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Dilutive Securities: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860" w:type="dxa"/>
            <w:vAlign w:val="bottom"/>
          </w:tcPr>
          <w:p>
            <w:pPr>
              <w:ind w:left="320"/>
              <w:spacing w:after="0"/>
              <w:rPr>
                <w:sz w:val="20"/>
                <w:szCs w:val="20"/>
                <w:color w:val="auto"/>
              </w:rPr>
            </w:pPr>
            <w:r>
              <w:rPr>
                <w:rFonts w:ascii="Arial" w:cs="Arial" w:eastAsia="Arial" w:hAnsi="Arial"/>
                <w:sz w:val="17"/>
                <w:szCs w:val="17"/>
                <w:color w:val="auto"/>
              </w:rPr>
              <w:t>Stock Based Compensation</w:t>
            </w:r>
          </w:p>
        </w:tc>
        <w:tc>
          <w:tcPr>
            <w:tcW w:w="24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332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center"/>
              <w:ind w:left="659"/>
              <w:spacing w:after="0"/>
              <w:rPr>
                <w:sz w:val="20"/>
                <w:szCs w:val="20"/>
                <w:color w:val="auto"/>
              </w:rPr>
            </w:pPr>
            <w:r>
              <w:rPr>
                <w:rFonts w:ascii="Arial" w:cs="Arial" w:eastAsia="Arial" w:hAnsi="Arial"/>
                <w:sz w:val="17"/>
                <w:szCs w:val="17"/>
                <w:color w:val="auto"/>
                <w:w w:val="98"/>
              </w:rPr>
              <w:t>(0.01)</w:t>
            </w:r>
          </w:p>
        </w:tc>
      </w:tr>
      <w:tr>
        <w:trPr>
          <w:trHeight w:val="196"/>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Earnings:</w:t>
            </w:r>
          </w:p>
        </w:tc>
        <w:tc>
          <w:tcPr>
            <w:tcW w:w="2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16"/>
        </w:trPr>
        <w:tc>
          <w:tcPr>
            <w:tcW w:w="5860" w:type="dxa"/>
            <w:vAlign w:val="bottom"/>
          </w:tcPr>
          <w:p>
            <w:pPr>
              <w:ind w:left="320"/>
              <w:spacing w:after="0"/>
              <w:rPr>
                <w:sz w:val="20"/>
                <w:szCs w:val="20"/>
                <w:color w:val="auto"/>
              </w:rPr>
            </w:pPr>
            <w:r>
              <w:rPr>
                <w:rFonts w:ascii="Arial" w:cs="Arial" w:eastAsia="Arial" w:hAnsi="Arial"/>
                <w:sz w:val="17"/>
                <w:szCs w:val="17"/>
                <w:color w:val="auto"/>
              </w:rPr>
              <w:t>Net income attributable to Boston Properties, Inc. common shareholders</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311,680</w:t>
            </w:r>
          </w:p>
        </w:tc>
        <w:tc>
          <w:tcPr>
            <w:tcW w:w="22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156,394</w:t>
            </w:r>
          </w:p>
        </w:tc>
        <w:tc>
          <w:tcPr>
            <w:tcW w:w="220" w:type="dxa"/>
            <w:vAlign w:val="bottom"/>
          </w:tcPr>
          <w:p>
            <w:pPr>
              <w:spacing w:after="0"/>
              <w:rPr>
                <w:sz w:val="18"/>
                <w:szCs w:val="18"/>
                <w:color w:val="auto"/>
              </w:rPr>
            </w:pPr>
          </w:p>
        </w:tc>
        <w:tc>
          <w:tcPr>
            <w:tcW w:w="4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center"/>
              <w:ind w:left="659"/>
              <w:spacing w:after="0"/>
              <w:rPr>
                <w:sz w:val="20"/>
                <w:szCs w:val="20"/>
                <w:color w:val="auto"/>
              </w:rPr>
            </w:pPr>
            <w:r>
              <w:rPr>
                <w:rFonts w:ascii="Arial" w:cs="Arial" w:eastAsia="Arial" w:hAnsi="Arial"/>
                <w:sz w:val="17"/>
                <w:szCs w:val="17"/>
                <w:color w:val="auto"/>
                <w:w w:val="96"/>
              </w:rPr>
              <w:t>1.99</w:t>
            </w: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BPLP</w:t>
      </w:r>
    </w:p>
    <w:p>
      <w:pPr>
        <w:spacing w:after="0" w:line="96" w:lineRule="exact"/>
        <w:rPr>
          <w:sz w:val="20"/>
          <w:szCs w:val="20"/>
          <w:color w:val="auto"/>
        </w:rPr>
      </w:pPr>
    </w:p>
    <w:p>
      <w:pPr>
        <w:ind w:firstLine="419"/>
        <w:spacing w:after="0" w:line="252" w:lineRule="auto"/>
        <w:rPr>
          <w:sz w:val="20"/>
          <w:szCs w:val="20"/>
          <w:color w:val="auto"/>
        </w:rPr>
      </w:pPr>
      <w:r>
        <w:rPr>
          <w:rFonts w:ascii="Arial" w:cs="Arial" w:eastAsia="Arial" w:hAnsi="Arial"/>
          <w:sz w:val="17"/>
          <w:szCs w:val="17"/>
          <w:color w:val="auto"/>
        </w:rPr>
        <w:t>The following table provides a reconciliation of both the net income attributable to Boston Properties Limited Partnership common unitholders and the number of common units used in the computation of basic earnings per common unit, which is calculated by dividing net income attributable to Boston Properties Limited Partnership common unitholders by the weighted-average number of common units outstanding during the period. 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earnings per common unit using the two-class method. Participating securities are included in the computation of diluted earnings per common unit using the if-converted method if the impact is dilutive. Because the 2012 OPP Units and 2013 - 2019 MYLTIP Units required, and the 2020 - 2022 MYLTIP Units require, BXP to outperform absolute and/or relative return thresholds, unless such thresholds have been met by the end of the applicable reporting period, BPLP excludes such units from the diluted earnings per common unit calculation. Other potentially dilutive common units and the related impact on earnings are considered when calculating diluted earnings per common unit. Included in the number of units (the denominator) below are approximately 17,662,000 and 17,011,000 redeemable common units for the three months ended September 30, 2022 and 2021, respectively, and 17,631,000 and 17,016,000 redeemable common units for the nine months ended September 30, 2022 and 2021, respectively.</w:t>
      </w:r>
    </w:p>
    <w:p>
      <w:pPr>
        <w:sectPr>
          <w:pgSz w:w="11900" w:h="16838" w:orient="portrait"/>
          <w:cols w:equalWidth="0" w:num="1">
            <w:col w:w="11240"/>
          </w:cols>
          <w:pgMar w:left="320" w:top="2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Basic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12470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24700" cy="137160"/>
                    </a:xfrm>
                    <a:prstGeom prst="rect">
                      <a:avLst/>
                    </a:prstGeom>
                    <a:noFill/>
                  </pic:spPr>
                </pic:pic>
              </a:graphicData>
            </a:graphic>
          </wp:anchor>
        </w:drawing>
      </w:r>
    </w:p>
    <w:p>
      <w:pPr>
        <w:spacing w:after="0" w:line="8" w:lineRule="exact"/>
        <w:rPr>
          <w:sz w:val="20"/>
          <w:szCs w:val="20"/>
          <w:color w:val="auto"/>
        </w:rPr>
      </w:pPr>
    </w:p>
    <w:p>
      <w:pPr>
        <w:ind w:left="480" w:right="580" w:hanging="151"/>
        <w:spacing w:after="0" w:line="233" w:lineRule="auto"/>
        <w:rPr>
          <w:sz w:val="20"/>
          <w:szCs w:val="20"/>
          <w:color w:val="auto"/>
        </w:rPr>
      </w:pPr>
      <w:r>
        <w:rPr>
          <w:rFonts w:ascii="Arial" w:cs="Arial" w:eastAsia="Arial" w:hAnsi="Arial"/>
          <w:sz w:val="17"/>
          <w:szCs w:val="17"/>
          <w:color w:val="auto"/>
        </w:rPr>
        <w:t>Net income attributable to Boston Properties Limited Partnership common unitholders</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Allocation of undistributed earnings to participating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12470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4700" cy="137160"/>
                    </a:xfrm>
                    <a:prstGeom prst="rect">
                      <a:avLst/>
                    </a:prstGeom>
                    <a:noFill/>
                  </pic:spPr>
                </pic:pic>
              </a:graphicData>
            </a:graphic>
          </wp:anchor>
        </w:drawing>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Net income attributable to Boston Properties, Inc. common shareholders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12470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24700" cy="137160"/>
                    </a:xfrm>
                    <a:prstGeom prst="rect">
                      <a:avLst/>
                    </a:prstGeom>
                    <a:noFill/>
                  </pic:spPr>
                </pic:pic>
              </a:graphicData>
            </a:graphic>
          </wp:anchor>
        </w:drawing>
      </w:r>
    </w:p>
    <w:p>
      <w:pPr>
        <w:spacing w:after="0" w:line="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2470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2470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Diluted Earnings:</w:t>
      </w:r>
    </w:p>
    <w:p>
      <w:pPr>
        <w:spacing w:after="0" w:line="20" w:lineRule="exact"/>
        <w:rPr>
          <w:sz w:val="20"/>
          <w:szCs w:val="20"/>
          <w:color w:val="auto"/>
        </w:rPr>
      </w:pPr>
    </w:p>
    <w:p>
      <w:pPr>
        <w:ind w:left="480" w:right="580" w:hanging="151"/>
        <w:spacing w:after="0" w:line="233" w:lineRule="auto"/>
        <w:rPr>
          <w:sz w:val="20"/>
          <w:szCs w:val="20"/>
          <w:color w:val="auto"/>
        </w:rPr>
      </w:pPr>
      <w:r>
        <w:rPr>
          <w:rFonts w:ascii="Arial" w:cs="Arial" w:eastAsia="Arial" w:hAnsi="Arial"/>
          <w:sz w:val="17"/>
          <w:szCs w:val="17"/>
          <w:color w:val="auto"/>
        </w:rPr>
        <w:t>Net income attributable to Boston Properties Limited Partnership common unitholders</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5"/>
          <w:szCs w:val="15"/>
          <w:b w:val="1"/>
          <w:bCs w:val="1"/>
          <w:color w:val="auto"/>
        </w:rPr>
        <w:t>Three months ended September 30, 2022</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center"/>
              <w:ind w:right="460"/>
              <w:spacing w:after="0" w:line="146" w:lineRule="exact"/>
              <w:rPr>
                <w:sz w:val="20"/>
                <w:szCs w:val="20"/>
                <w:color w:val="auto"/>
              </w:rPr>
            </w:pPr>
            <w:r>
              <w:rPr>
                <w:rFonts w:ascii="Arial" w:cs="Arial" w:eastAsia="Arial" w:hAnsi="Arial"/>
                <w:sz w:val="15"/>
                <w:szCs w:val="15"/>
                <w:b w:val="1"/>
                <w:bCs w:val="1"/>
                <w:color w:val="auto"/>
                <w:w w:val="98"/>
              </w:rPr>
              <w:t>Income</w:t>
            </w:r>
          </w:p>
        </w:tc>
        <w:tc>
          <w:tcPr>
            <w:tcW w:w="1860" w:type="dxa"/>
            <w:vAlign w:val="bottom"/>
            <w:tcBorders>
              <w:top w:val="single" w:sz="8" w:color="auto"/>
            </w:tcBorders>
            <w:gridSpan w:val="2"/>
          </w:tcPr>
          <w:p>
            <w:pPr>
              <w:jc w:val="center"/>
              <w:ind w:right="240"/>
              <w:spacing w:after="0" w:line="146" w:lineRule="exact"/>
              <w:rPr>
                <w:sz w:val="20"/>
                <w:szCs w:val="20"/>
                <w:color w:val="auto"/>
              </w:rPr>
            </w:pPr>
            <w:r>
              <w:rPr>
                <w:rFonts w:ascii="Arial" w:cs="Arial" w:eastAsia="Arial" w:hAnsi="Arial"/>
                <w:sz w:val="15"/>
                <w:szCs w:val="15"/>
                <w:b w:val="1"/>
                <w:bCs w:val="1"/>
                <w:color w:val="auto"/>
              </w:rPr>
              <w:t>Units</w:t>
            </w:r>
          </w:p>
        </w:tc>
        <w:tc>
          <w:tcPr>
            <w:tcW w:w="3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458"/>
              <w:spacing w:after="0" w:line="146" w:lineRule="exact"/>
              <w:rPr>
                <w:sz w:val="20"/>
                <w:szCs w:val="20"/>
                <w:color w:val="auto"/>
              </w:rPr>
            </w:pPr>
            <w:r>
              <w:rPr>
                <w:rFonts w:ascii="Arial" w:cs="Arial" w:eastAsia="Arial" w:hAnsi="Arial"/>
                <w:sz w:val="15"/>
                <w:szCs w:val="15"/>
                <w:b w:val="1"/>
                <w:bCs w:val="1"/>
                <w:color w:val="auto"/>
              </w:rPr>
              <w:t>Per Unit</w:t>
            </w:r>
          </w:p>
        </w:tc>
      </w:tr>
      <w:tr>
        <w:trPr>
          <w:trHeight w:val="203"/>
        </w:trPr>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b w:val="1"/>
                <w:bCs w:val="1"/>
                <w:color w:val="auto"/>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rPr>
              <w:t>(Denominator)</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Amount</w:t>
            </w:r>
          </w:p>
        </w:tc>
      </w:tr>
      <w:tr>
        <w:trPr>
          <w:trHeight w:val="201"/>
        </w:trPr>
        <w:tc>
          <w:tcPr>
            <w:tcW w:w="240" w:type="dxa"/>
            <w:vAlign w:val="bottom"/>
          </w:tcPr>
          <w:p>
            <w:pPr>
              <w:spacing w:after="0"/>
              <w:rPr>
                <w:sz w:val="17"/>
                <w:szCs w:val="17"/>
                <w:color w:val="auto"/>
              </w:rPr>
            </w:pPr>
          </w:p>
        </w:tc>
        <w:tc>
          <w:tcPr>
            <w:tcW w:w="5120" w:type="dxa"/>
            <w:vAlign w:val="bottom"/>
            <w:gridSpan w:val="6"/>
          </w:tcPr>
          <w:p>
            <w:pPr>
              <w:jc w:val="center"/>
              <w:ind w:right="178"/>
              <w:spacing w:after="0"/>
              <w:rPr>
                <w:sz w:val="20"/>
                <w:szCs w:val="20"/>
                <w:color w:val="auto"/>
              </w:rPr>
            </w:pPr>
            <w:r>
              <w:rPr>
                <w:rFonts w:ascii="Arial" w:cs="Arial" w:eastAsia="Arial" w:hAnsi="Arial"/>
                <w:sz w:val="15"/>
                <w:szCs w:val="15"/>
                <w:b w:val="1"/>
                <w:bCs w:val="1"/>
                <w:color w:val="auto"/>
              </w:rPr>
              <w:t>(in thousands, except for per unit amounts)</w:t>
            </w:r>
          </w:p>
        </w:tc>
      </w:tr>
      <w:tr>
        <w:trPr>
          <w:trHeight w:val="600"/>
        </w:trPr>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403,578</w:t>
            </w: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174,416</w:t>
            </w:r>
          </w:p>
        </w:tc>
        <w:tc>
          <w:tcPr>
            <w:tcW w:w="220" w:type="dxa"/>
            <w:vAlign w:val="bottom"/>
          </w:tcPr>
          <w:p>
            <w:pPr>
              <w:spacing w:after="0"/>
              <w:rPr>
                <w:sz w:val="24"/>
                <w:szCs w:val="24"/>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2.31</w:t>
            </w:r>
          </w:p>
        </w:tc>
      </w:tr>
      <w:tr>
        <w:trPr>
          <w:trHeight w:val="220"/>
        </w:trPr>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(848)</w:t>
            </w:r>
          </w:p>
        </w:tc>
        <w:tc>
          <w:tcPr>
            <w:tcW w:w="220" w:type="dxa"/>
            <w:vAlign w:val="bottom"/>
          </w:tcPr>
          <w:p>
            <w:pPr>
              <w:spacing w:after="0"/>
              <w:rPr>
                <w:sz w:val="19"/>
                <w:szCs w:val="19"/>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402,730</w:t>
            </w:r>
          </w:p>
        </w:tc>
        <w:tc>
          <w:tcPr>
            <w:tcW w:w="22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174,416</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2.31</w:t>
            </w:r>
          </w:p>
        </w:tc>
      </w:tr>
      <w:tr>
        <w:trPr>
          <w:trHeight w:val="424"/>
        </w:trPr>
        <w:tc>
          <w:tcPr>
            <w:tcW w:w="240" w:type="dxa"/>
            <w:vAlign w:val="bottom"/>
          </w:tcPr>
          <w:p>
            <w:pPr>
              <w:spacing w:after="0"/>
              <w:rPr>
                <w:sz w:val="24"/>
                <w:szCs w:val="24"/>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379</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(0.01)</w:t>
            </w:r>
          </w:p>
        </w:tc>
      </w:tr>
      <w:tr>
        <w:trPr>
          <w:trHeight w:val="564"/>
        </w:trPr>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402,730</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174,795</w:t>
            </w:r>
          </w:p>
        </w:tc>
        <w:tc>
          <w:tcPr>
            <w:tcW w:w="2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2.30</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20" w:space="140"/>
            <w:col w:w="5380"/>
          </w:cols>
          <w:pgMar w:left="320" w:top="2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74295</wp:posOffset>
            </wp:positionV>
            <wp:extent cx="716597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7060"/>
        <w:spacing w:after="0"/>
        <w:rPr>
          <w:sz w:val="20"/>
          <w:szCs w:val="20"/>
          <w:color w:val="auto"/>
        </w:rPr>
      </w:pPr>
      <w:r>
        <w:rPr>
          <w:rFonts w:ascii="Arial" w:cs="Arial" w:eastAsia="Arial" w:hAnsi="Arial"/>
          <w:sz w:val="15"/>
          <w:szCs w:val="15"/>
          <w:b w:val="1"/>
          <w:bCs w:val="1"/>
          <w:color w:val="auto"/>
        </w:rPr>
        <w:t>Three months ended September 30, 2021</w:t>
      </w:r>
    </w:p>
    <w:p>
      <w:pPr>
        <w:spacing w:after="0" w:line="30" w:lineRule="exact"/>
        <w:rPr>
          <w:sz w:val="20"/>
          <w:szCs w:val="20"/>
          <w:color w:val="auto"/>
        </w:rPr>
      </w:pPr>
    </w:p>
    <w:tbl>
      <w:tblPr>
        <w:tblLayout w:type="fixed"/>
        <w:tblInd w:w="5860" w:type="dxa"/>
        <w:tblCellMar>
          <w:top w:w="0" w:type="dxa"/>
          <w:left w:w="0" w:type="dxa"/>
          <w:bottom w:w="0" w:type="dxa"/>
          <w:right w:w="0" w:type="dxa"/>
        </w:tblCellMar>
      </w:tblPr>
      <w:tr>
        <w:trPr>
          <w:trHeight w:val="145"/>
        </w:trPr>
        <w:tc>
          <w:tcPr>
            <w:tcW w:w="170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5"/>
                <w:szCs w:val="15"/>
                <w:b w:val="1"/>
                <w:bCs w:val="1"/>
                <w:color w:val="auto"/>
                <w:w w:val="98"/>
              </w:rPr>
              <w:t>Income</w:t>
            </w:r>
          </w:p>
        </w:tc>
        <w:tc>
          <w:tcPr>
            <w:tcW w:w="2020" w:type="dxa"/>
            <w:vAlign w:val="bottom"/>
            <w:tcBorders>
              <w:top w:val="single" w:sz="8" w:color="auto"/>
            </w:tcBorders>
          </w:tcPr>
          <w:p>
            <w:pPr>
              <w:jc w:val="center"/>
              <w:ind w:right="4"/>
              <w:spacing w:after="0" w:line="146" w:lineRule="exact"/>
              <w:rPr>
                <w:sz w:val="20"/>
                <w:szCs w:val="20"/>
                <w:color w:val="auto"/>
              </w:rPr>
            </w:pPr>
            <w:r>
              <w:rPr>
                <w:rFonts w:ascii="Arial" w:cs="Arial" w:eastAsia="Arial" w:hAnsi="Arial"/>
                <w:sz w:val="15"/>
                <w:szCs w:val="15"/>
                <w:b w:val="1"/>
                <w:bCs w:val="1"/>
                <w:color w:val="auto"/>
              </w:rPr>
              <w:t>Units</w:t>
            </w:r>
          </w:p>
        </w:tc>
        <w:tc>
          <w:tcPr>
            <w:tcW w:w="1640" w:type="dxa"/>
            <w:vAlign w:val="bottom"/>
            <w:tcBorders>
              <w:top w:val="single" w:sz="8" w:color="auto"/>
            </w:tcBorders>
          </w:tcPr>
          <w:p>
            <w:pPr>
              <w:ind w:left="520"/>
              <w:spacing w:after="0" w:line="146" w:lineRule="exact"/>
              <w:rPr>
                <w:sz w:val="20"/>
                <w:szCs w:val="20"/>
                <w:color w:val="auto"/>
              </w:rPr>
            </w:pPr>
            <w:r>
              <w:rPr>
                <w:rFonts w:ascii="Arial" w:cs="Arial" w:eastAsia="Arial" w:hAnsi="Arial"/>
                <w:sz w:val="15"/>
                <w:szCs w:val="15"/>
                <w:b w:val="1"/>
                <w:bCs w:val="1"/>
                <w:color w:val="auto"/>
              </w:rPr>
              <w:t>Per Unit</w:t>
            </w:r>
          </w:p>
        </w:tc>
      </w:tr>
      <w:tr>
        <w:trPr>
          <w:trHeight w:val="208"/>
        </w:trPr>
        <w:tc>
          <w:tcPr>
            <w:tcW w:w="1700" w:type="dxa"/>
            <w:vAlign w:val="bottom"/>
          </w:tcPr>
          <w:p>
            <w:pPr>
              <w:jc w:val="center"/>
              <w:spacing w:after="0"/>
              <w:rPr>
                <w:sz w:val="20"/>
                <w:szCs w:val="20"/>
                <w:color w:val="auto"/>
              </w:rPr>
            </w:pPr>
            <w:r>
              <w:rPr>
                <w:rFonts w:ascii="Arial" w:cs="Arial" w:eastAsia="Arial" w:hAnsi="Arial"/>
                <w:sz w:val="15"/>
                <w:szCs w:val="15"/>
                <w:b w:val="1"/>
                <w:bCs w:val="1"/>
                <w:color w:val="auto"/>
              </w:rPr>
              <w:t>(Numerator)</w:t>
            </w:r>
          </w:p>
        </w:tc>
        <w:tc>
          <w:tcPr>
            <w:tcW w:w="2020" w:type="dxa"/>
            <w:vAlign w:val="bottom"/>
          </w:tcPr>
          <w:p>
            <w:pPr>
              <w:jc w:val="center"/>
              <w:spacing w:after="0"/>
              <w:rPr>
                <w:sz w:val="20"/>
                <w:szCs w:val="20"/>
                <w:color w:val="auto"/>
              </w:rPr>
            </w:pPr>
            <w:r>
              <w:rPr>
                <w:rFonts w:ascii="Arial" w:cs="Arial" w:eastAsia="Arial" w:hAnsi="Arial"/>
                <w:sz w:val="15"/>
                <w:szCs w:val="15"/>
                <w:b w:val="1"/>
                <w:bCs w:val="1"/>
                <w:color w:val="auto"/>
              </w:rPr>
              <w:t>(Denominator)</w:t>
            </w:r>
          </w:p>
        </w:tc>
        <w:tc>
          <w:tcPr>
            <w:tcW w:w="1640" w:type="dxa"/>
            <w:vAlign w:val="bottom"/>
          </w:tcPr>
          <w:p>
            <w:pPr>
              <w:ind w:left="520"/>
              <w:spacing w:after="0"/>
              <w:rPr>
                <w:sz w:val="20"/>
                <w:szCs w:val="20"/>
                <w:color w:val="auto"/>
              </w:rPr>
            </w:pPr>
            <w:r>
              <w:rPr>
                <w:rFonts w:ascii="Arial" w:cs="Arial" w:eastAsia="Arial" w:hAnsi="Arial"/>
                <w:sz w:val="15"/>
                <w:szCs w:val="15"/>
                <w:b w:val="1"/>
                <w:bCs w:val="1"/>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-2540</wp:posOffset>
            </wp:positionV>
            <wp:extent cx="34093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09315" cy="8255"/>
                    </a:xfrm>
                    <a:prstGeom prst="rect">
                      <a:avLst/>
                    </a:prstGeom>
                    <a:noFill/>
                  </pic:spPr>
                </pic:pic>
              </a:graphicData>
            </a:graphic>
          </wp:anchor>
        </w:drawing>
      </w:r>
    </w:p>
    <w:p>
      <w:pPr>
        <w:ind w:left="6960"/>
        <w:spacing w:after="0"/>
        <w:rPr>
          <w:sz w:val="20"/>
          <w:szCs w:val="20"/>
          <w:color w:val="auto"/>
        </w:rPr>
      </w:pPr>
      <w:r>
        <w:rPr>
          <w:rFonts w:ascii="Arial" w:cs="Arial" w:eastAsia="Arial" w:hAnsi="Arial"/>
          <w:sz w:val="15"/>
          <w:szCs w:val="15"/>
          <w:b w:val="1"/>
          <w:bCs w:val="1"/>
          <w:color w:val="auto"/>
        </w:rPr>
        <w:t>(in thousands, except for per unit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12470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24700" cy="137160"/>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Basic Earnings:</w:t>
      </w:r>
    </w:p>
    <w:p>
      <w:pPr>
        <w:spacing w:after="0" w:line="18" w:lineRule="exact"/>
        <w:rPr>
          <w:sz w:val="20"/>
          <w:szCs w:val="20"/>
          <w:color w:val="auto"/>
        </w:rPr>
      </w:pPr>
    </w:p>
    <w:p>
      <w:pPr>
        <w:ind w:left="480" w:hanging="151"/>
        <w:spacing w:after="0" w:line="233" w:lineRule="auto"/>
        <w:rPr>
          <w:sz w:val="20"/>
          <w:szCs w:val="20"/>
          <w:color w:val="auto"/>
        </w:rPr>
      </w:pPr>
      <w:r>
        <w:rPr>
          <w:rFonts w:ascii="Arial" w:cs="Arial" w:eastAsia="Arial" w:hAnsi="Arial"/>
          <w:sz w:val="17"/>
          <w:szCs w:val="17"/>
          <w:color w:val="auto"/>
        </w:rPr>
        <w:t>Net income attributable to Boston Properties Limited Partnership common unitholders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 of Dilutive Securities:</w:t>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Stock Based Compensation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Diluted Earnings:</w:t>
      </w:r>
    </w:p>
    <w:p>
      <w:pPr>
        <w:spacing w:after="0" w:line="20" w:lineRule="exact"/>
        <w:rPr>
          <w:sz w:val="20"/>
          <w:szCs w:val="20"/>
          <w:color w:val="auto"/>
        </w:rPr>
      </w:pPr>
    </w:p>
    <w:p>
      <w:pPr>
        <w:ind w:left="480" w:hanging="151"/>
        <w:spacing w:after="0" w:line="233" w:lineRule="auto"/>
        <w:rPr>
          <w:sz w:val="20"/>
          <w:szCs w:val="20"/>
          <w:color w:val="auto"/>
        </w:rPr>
      </w:pPr>
      <w:r>
        <w:rPr>
          <w:rFonts w:ascii="Arial" w:cs="Arial" w:eastAsia="Arial" w:hAnsi="Arial"/>
          <w:sz w:val="17"/>
          <w:szCs w:val="17"/>
          <w:color w:val="auto"/>
        </w:rPr>
        <w:t>Net income attributable to Boston Properties Limited Partnership common unitholders</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40" w:type="dxa"/>
            <w:vAlign w:val="bottom"/>
          </w:tcPr>
          <w:p>
            <w:pPr>
              <w:jc w:val="right"/>
              <w:ind w:right="35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122,014</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173,194</w:t>
            </w:r>
          </w:p>
        </w:tc>
        <w:tc>
          <w:tcPr>
            <w:tcW w:w="220" w:type="dxa"/>
            <w:vAlign w:val="bottom"/>
          </w:tcPr>
          <w:p>
            <w:pPr>
              <w:spacing w:after="0"/>
              <w:rPr>
                <w:sz w:val="19"/>
                <w:szCs w:val="19"/>
                <w:color w:val="auto"/>
              </w:rPr>
            </w:pPr>
          </w:p>
        </w:tc>
        <w:tc>
          <w:tcPr>
            <w:tcW w:w="680" w:type="dxa"/>
            <w:vAlign w:val="bottom"/>
          </w:tcPr>
          <w:p>
            <w:pPr>
              <w:jc w:val="right"/>
              <w:ind w:right="49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0.70</w:t>
            </w:r>
          </w:p>
        </w:tc>
      </w:tr>
      <w:tr>
        <w:trPr>
          <w:trHeight w:val="428"/>
        </w:trPr>
        <w:tc>
          <w:tcPr>
            <w:tcW w:w="540" w:type="dxa"/>
            <w:vAlign w:val="bottom"/>
          </w:tcPr>
          <w:p>
            <w:pPr>
              <w:spacing w:after="0"/>
              <w:rPr>
                <w:sz w:val="24"/>
                <w:szCs w:val="2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415</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564"/>
        </w:trPr>
        <w:tc>
          <w:tcPr>
            <w:tcW w:w="5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122,014</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173,609</w:t>
            </w:r>
          </w:p>
        </w:tc>
        <w:tc>
          <w:tcPr>
            <w:tcW w:w="220" w:type="dxa"/>
            <w:vAlign w:val="bottom"/>
          </w:tcPr>
          <w:p>
            <w:pPr>
              <w:spacing w:after="0"/>
              <w:rPr>
                <w:sz w:val="24"/>
                <w:szCs w:val="24"/>
                <w:color w:val="auto"/>
              </w:rPr>
            </w:pPr>
          </w:p>
        </w:tc>
        <w:tc>
          <w:tcPr>
            <w:tcW w:w="6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0.70</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-676275</wp:posOffset>
            </wp:positionV>
            <wp:extent cx="712470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24700" cy="137160"/>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-402590</wp:posOffset>
            </wp:positionV>
            <wp:extent cx="712470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24700" cy="137160"/>
                    </a:xfrm>
                    <a:prstGeom prst="rect">
                      <a:avLst/>
                    </a:prstGeom>
                    <a:noFill/>
                  </pic:spPr>
                </pic:pic>
              </a:graphicData>
            </a:graphic>
          </wp:anchor>
        </w:drawing>
      </w:r>
    </w:p>
    <w:p>
      <w:pPr>
        <w:spacing w:after="0" w:line="222" w:lineRule="exact"/>
        <w:rPr>
          <w:sz w:val="20"/>
          <w:szCs w:val="20"/>
          <w:color w:val="auto"/>
        </w:rPr>
      </w:pPr>
    </w:p>
    <w:p>
      <w:pPr>
        <w:ind w:left="1240"/>
        <w:spacing w:after="0"/>
        <w:rPr>
          <w:sz w:val="20"/>
          <w:szCs w:val="20"/>
          <w:color w:val="auto"/>
        </w:rPr>
      </w:pPr>
      <w:r>
        <w:rPr>
          <w:rFonts w:ascii="Arial" w:cs="Arial" w:eastAsia="Arial" w:hAnsi="Arial"/>
          <w:sz w:val="15"/>
          <w:szCs w:val="15"/>
          <w:b w:val="1"/>
          <w:bCs w:val="1"/>
          <w:color w:val="auto"/>
        </w:rPr>
        <w:t>Nine months ended September 30, 2022</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70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5"/>
                <w:szCs w:val="15"/>
                <w:b w:val="1"/>
                <w:bCs w:val="1"/>
                <w:color w:val="auto"/>
                <w:w w:val="98"/>
              </w:rPr>
              <w:t>Income</w:t>
            </w:r>
          </w:p>
        </w:tc>
        <w:tc>
          <w:tcPr>
            <w:tcW w:w="2020" w:type="dxa"/>
            <w:vAlign w:val="bottom"/>
            <w:tcBorders>
              <w:top w:val="single" w:sz="8" w:color="auto"/>
            </w:tcBorders>
          </w:tcPr>
          <w:p>
            <w:pPr>
              <w:jc w:val="center"/>
              <w:ind w:right="4"/>
              <w:spacing w:after="0" w:line="146" w:lineRule="exact"/>
              <w:rPr>
                <w:sz w:val="20"/>
                <w:szCs w:val="20"/>
                <w:color w:val="auto"/>
              </w:rPr>
            </w:pPr>
            <w:r>
              <w:rPr>
                <w:rFonts w:ascii="Arial" w:cs="Arial" w:eastAsia="Arial" w:hAnsi="Arial"/>
                <w:sz w:val="15"/>
                <w:szCs w:val="15"/>
                <w:b w:val="1"/>
                <w:bCs w:val="1"/>
                <w:color w:val="auto"/>
              </w:rPr>
              <w:t>Units</w:t>
            </w:r>
          </w:p>
        </w:tc>
        <w:tc>
          <w:tcPr>
            <w:tcW w:w="1640" w:type="dxa"/>
            <w:vAlign w:val="bottom"/>
            <w:tcBorders>
              <w:top w:val="single" w:sz="8" w:color="auto"/>
            </w:tcBorders>
          </w:tcPr>
          <w:p>
            <w:pPr>
              <w:ind w:left="520"/>
              <w:spacing w:after="0" w:line="146" w:lineRule="exact"/>
              <w:rPr>
                <w:sz w:val="20"/>
                <w:szCs w:val="20"/>
                <w:color w:val="auto"/>
              </w:rPr>
            </w:pPr>
            <w:r>
              <w:rPr>
                <w:rFonts w:ascii="Arial" w:cs="Arial" w:eastAsia="Arial" w:hAnsi="Arial"/>
                <w:sz w:val="15"/>
                <w:szCs w:val="15"/>
                <w:b w:val="1"/>
                <w:bCs w:val="1"/>
                <w:color w:val="auto"/>
              </w:rPr>
              <w:t>Per Unit</w:t>
            </w:r>
          </w:p>
        </w:tc>
      </w:tr>
      <w:tr>
        <w:trPr>
          <w:trHeight w:val="208"/>
        </w:trPr>
        <w:tc>
          <w:tcPr>
            <w:tcW w:w="1700" w:type="dxa"/>
            <w:vAlign w:val="bottom"/>
          </w:tcPr>
          <w:p>
            <w:pPr>
              <w:jc w:val="center"/>
              <w:spacing w:after="0"/>
              <w:rPr>
                <w:sz w:val="20"/>
                <w:szCs w:val="20"/>
                <w:color w:val="auto"/>
              </w:rPr>
            </w:pPr>
            <w:r>
              <w:rPr>
                <w:rFonts w:ascii="Arial" w:cs="Arial" w:eastAsia="Arial" w:hAnsi="Arial"/>
                <w:sz w:val="15"/>
                <w:szCs w:val="15"/>
                <w:b w:val="1"/>
                <w:bCs w:val="1"/>
                <w:color w:val="auto"/>
              </w:rPr>
              <w:t>(Numerator)</w:t>
            </w:r>
          </w:p>
        </w:tc>
        <w:tc>
          <w:tcPr>
            <w:tcW w:w="2020" w:type="dxa"/>
            <w:vAlign w:val="bottom"/>
          </w:tcPr>
          <w:p>
            <w:pPr>
              <w:jc w:val="center"/>
              <w:spacing w:after="0"/>
              <w:rPr>
                <w:sz w:val="20"/>
                <w:szCs w:val="20"/>
                <w:color w:val="auto"/>
              </w:rPr>
            </w:pPr>
            <w:r>
              <w:rPr>
                <w:rFonts w:ascii="Arial" w:cs="Arial" w:eastAsia="Arial" w:hAnsi="Arial"/>
                <w:sz w:val="15"/>
                <w:szCs w:val="15"/>
                <w:b w:val="1"/>
                <w:bCs w:val="1"/>
                <w:color w:val="auto"/>
              </w:rPr>
              <w:t>(Denominator)</w:t>
            </w:r>
          </w:p>
        </w:tc>
        <w:tc>
          <w:tcPr>
            <w:tcW w:w="1640" w:type="dxa"/>
            <w:vAlign w:val="bottom"/>
          </w:tcPr>
          <w:p>
            <w:pPr>
              <w:ind w:left="520"/>
              <w:spacing w:after="0"/>
              <w:rPr>
                <w:sz w:val="20"/>
                <w:szCs w:val="20"/>
                <w:color w:val="auto"/>
              </w:rPr>
            </w:pPr>
            <w:r>
              <w:rPr>
                <w:rFonts w:ascii="Arial" w:cs="Arial" w:eastAsia="Arial" w:hAnsi="Arial"/>
                <w:sz w:val="15"/>
                <w:szCs w:val="15"/>
                <w:b w:val="1"/>
                <w:bCs w:val="1"/>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34093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09315" cy="825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5"/>
          <w:szCs w:val="15"/>
          <w:b w:val="1"/>
          <w:bCs w:val="1"/>
          <w:color w:val="auto"/>
        </w:rPr>
        <w:t>(in thousands, except for per unit amounts)</w:t>
      </w:r>
    </w:p>
    <w:p>
      <w:pPr>
        <w:spacing w:after="0" w:line="50" w:lineRule="exact"/>
        <w:rPr>
          <w:sz w:val="20"/>
          <w:szCs w:val="20"/>
          <w:color w:val="auto"/>
        </w:rPr>
      </w:pPr>
    </w:p>
    <w:p>
      <w:pPr>
        <w:sectPr>
          <w:pgSz w:w="11900" w:h="16838" w:orient="portrait"/>
          <w:cols w:equalWidth="0" w:num="2">
            <w:col w:w="5140" w:space="720"/>
            <w:col w:w="5360"/>
          </w:cols>
          <w:pgMar w:left="320" w:top="275" w:right="35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5860" w:type="dxa"/>
            <w:vAlign w:val="bottom"/>
          </w:tcPr>
          <w:p>
            <w:pPr>
              <w:ind w:left="320"/>
              <w:spacing w:after="0" w:line="165" w:lineRule="exact"/>
              <w:rPr>
                <w:sz w:val="20"/>
                <w:szCs w:val="20"/>
                <w:color w:val="auto"/>
              </w:rPr>
            </w:pPr>
            <w:r>
              <w:rPr>
                <w:rFonts w:ascii="Arial" w:cs="Arial" w:eastAsia="Arial" w:hAnsi="Arial"/>
                <w:sz w:val="17"/>
                <w:szCs w:val="17"/>
                <w:color w:val="auto"/>
              </w:rPr>
              <w:t>Net income attributable to Boston Properties Limited Partnership</w:t>
            </w:r>
          </w:p>
        </w:tc>
        <w:tc>
          <w:tcPr>
            <w:tcW w:w="240" w:type="dxa"/>
            <w:vAlign w:val="bottom"/>
            <w:vMerge w:val="restart"/>
          </w:tcPr>
          <w:p>
            <w:pPr>
              <w:jc w:val="right"/>
              <w:ind w:right="55"/>
              <w:spacing w:after="0"/>
              <w:rPr>
                <w:sz w:val="20"/>
                <w:szCs w:val="20"/>
                <w:color w:val="auto"/>
              </w:rPr>
            </w:pPr>
            <w:r>
              <w:rPr>
                <w:rFonts w:ascii="Arial" w:cs="Arial" w:eastAsia="Arial" w:hAnsi="Arial"/>
                <w:sz w:val="17"/>
                <w:szCs w:val="17"/>
                <w:color w:val="auto"/>
                <w:w w:val="84"/>
              </w:rPr>
              <w:t>$</w:t>
            </w: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819,195</w:t>
            </w:r>
          </w:p>
        </w:tc>
        <w:tc>
          <w:tcPr>
            <w:tcW w:w="22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7"/>
                <w:szCs w:val="17"/>
                <w:color w:val="auto"/>
              </w:rPr>
              <w:t>174,339</w:t>
            </w:r>
          </w:p>
        </w:tc>
        <w:tc>
          <w:tcPr>
            <w:tcW w:w="220" w:type="dxa"/>
            <w:vAlign w:val="bottom"/>
          </w:tcPr>
          <w:p>
            <w:pPr>
              <w:spacing w:after="0"/>
              <w:rPr>
                <w:sz w:val="14"/>
                <w:szCs w:val="14"/>
                <w:color w:val="auto"/>
              </w:rPr>
            </w:pPr>
          </w:p>
        </w:tc>
        <w:tc>
          <w:tcPr>
            <w:tcW w:w="460" w:type="dxa"/>
            <w:vAlign w:val="bottom"/>
            <w:vMerge w:val="restart"/>
          </w:tcPr>
          <w:p>
            <w:pPr>
              <w:jc w:val="right"/>
              <w:ind w:right="275"/>
              <w:spacing w:after="0"/>
              <w:rPr>
                <w:sz w:val="20"/>
                <w:szCs w:val="20"/>
                <w:color w:val="auto"/>
              </w:rPr>
            </w:pPr>
            <w:r>
              <w:rPr>
                <w:rFonts w:ascii="Arial" w:cs="Arial" w:eastAsia="Arial" w:hAnsi="Arial"/>
                <w:sz w:val="17"/>
                <w:szCs w:val="17"/>
                <w:color w:val="auto"/>
                <w:w w:val="84"/>
              </w:rPr>
              <w:t>$</w:t>
            </w: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228"/>
        </w:trPr>
        <w:tc>
          <w:tcPr>
            <w:tcW w:w="5860" w:type="dxa"/>
            <w:vAlign w:val="bottom"/>
          </w:tcPr>
          <w:p>
            <w:pPr>
              <w:ind w:left="480"/>
              <w:spacing w:after="0"/>
              <w:rPr>
                <w:sz w:val="20"/>
                <w:szCs w:val="20"/>
                <w:color w:val="auto"/>
              </w:rPr>
            </w:pPr>
            <w:r>
              <w:rPr>
                <w:rFonts w:ascii="Arial" w:cs="Arial" w:eastAsia="Arial" w:hAnsi="Arial"/>
                <w:sz w:val="17"/>
                <w:szCs w:val="17"/>
                <w:color w:val="auto"/>
              </w:rPr>
              <w:t>common unitholders</w:t>
            </w:r>
          </w:p>
        </w:tc>
        <w:tc>
          <w:tcPr>
            <w:tcW w:w="24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Allocation of undistributed earnings to participating securities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w:t>
            </w: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45"/>
        </w:trPr>
        <w:tc>
          <w:tcPr>
            <w:tcW w:w="5860" w:type="dxa"/>
            <w:vAlign w:val="bottom"/>
          </w:tcPr>
          <w:p>
            <w:pPr>
              <w:ind w:left="320"/>
              <w:spacing w:after="0" w:line="145" w:lineRule="exact"/>
              <w:rPr>
                <w:sz w:val="20"/>
                <w:szCs w:val="20"/>
                <w:color w:val="auto"/>
              </w:rPr>
            </w:pPr>
            <w:r>
              <w:rPr>
                <w:rFonts w:ascii="Arial" w:cs="Arial" w:eastAsia="Arial" w:hAnsi="Arial"/>
                <w:sz w:val="16"/>
                <w:szCs w:val="16"/>
                <w:color w:val="auto"/>
              </w:rPr>
              <w:t>Net income attributable to Boston Properties Limited Partnership</w:t>
            </w:r>
          </w:p>
        </w:tc>
        <w:tc>
          <w:tcPr>
            <w:tcW w:w="24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818,080</w:t>
            </w:r>
          </w:p>
        </w:tc>
        <w:tc>
          <w:tcPr>
            <w:tcW w:w="220" w:type="dxa"/>
            <w:vAlign w:val="bottom"/>
          </w:tcPr>
          <w:p>
            <w:pPr>
              <w:spacing w:after="0"/>
              <w:rPr>
                <w:sz w:val="12"/>
                <w:szCs w:val="12"/>
                <w:color w:val="auto"/>
              </w:rPr>
            </w:pPr>
          </w:p>
        </w:tc>
        <w:tc>
          <w:tcPr>
            <w:tcW w:w="16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174,339</w:t>
            </w:r>
          </w:p>
        </w:tc>
        <w:tc>
          <w:tcPr>
            <w:tcW w:w="220" w:type="dxa"/>
            <w:vAlign w:val="bottom"/>
          </w:tcPr>
          <w:p>
            <w:pPr>
              <w:spacing w:after="0"/>
              <w:rPr>
                <w:sz w:val="12"/>
                <w:szCs w:val="12"/>
                <w:color w:val="auto"/>
              </w:rPr>
            </w:pPr>
          </w:p>
        </w:tc>
        <w:tc>
          <w:tcPr>
            <w:tcW w:w="460" w:type="dxa"/>
            <w:vAlign w:val="bottom"/>
            <w:tcBorders>
              <w:top w:val="single" w:sz="8" w:color="auto"/>
            </w:tcBorders>
            <w:vMerge w:val="restart"/>
          </w:tcPr>
          <w:p>
            <w:pPr>
              <w:jc w:val="right"/>
              <w:ind w:right="275"/>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4.69</w:t>
            </w:r>
          </w:p>
        </w:tc>
        <w:tc>
          <w:tcPr>
            <w:tcW w:w="0" w:type="dxa"/>
            <w:vAlign w:val="bottom"/>
          </w:tcPr>
          <w:p>
            <w:pPr>
              <w:spacing w:after="0"/>
              <w:rPr>
                <w:sz w:val="1"/>
                <w:szCs w:val="1"/>
                <w:color w:val="auto"/>
              </w:rPr>
            </w:pPr>
          </w:p>
        </w:tc>
      </w:tr>
      <w:tr>
        <w:trPr>
          <w:trHeight w:val="228"/>
        </w:trPr>
        <w:tc>
          <w:tcPr>
            <w:tcW w:w="5860" w:type="dxa"/>
            <w:vAlign w:val="bottom"/>
          </w:tcPr>
          <w:p>
            <w:pPr>
              <w:ind w:left="480"/>
              <w:spacing w:after="0"/>
              <w:rPr>
                <w:sz w:val="20"/>
                <w:szCs w:val="20"/>
                <w:color w:val="auto"/>
              </w:rPr>
            </w:pPr>
            <w:r>
              <w:rPr>
                <w:rFonts w:ascii="Arial" w:cs="Arial" w:eastAsia="Arial" w:hAnsi="Arial"/>
                <w:sz w:val="17"/>
                <w:szCs w:val="17"/>
                <w:color w:val="auto"/>
              </w:rPr>
              <w:t>common unitholders</w:t>
            </w:r>
          </w:p>
        </w:tc>
        <w:tc>
          <w:tcPr>
            <w:tcW w:w="24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Dilutive Securities: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20"/>
              <w:spacing w:after="0"/>
              <w:rPr>
                <w:sz w:val="20"/>
                <w:szCs w:val="20"/>
                <w:color w:val="auto"/>
              </w:rPr>
            </w:pPr>
            <w:r>
              <w:rPr>
                <w:rFonts w:ascii="Arial" w:cs="Arial" w:eastAsia="Arial" w:hAnsi="Arial"/>
                <w:sz w:val="17"/>
                <w:szCs w:val="17"/>
                <w:color w:val="auto"/>
              </w:rPr>
              <w:t>Stock Based Compensation</w:t>
            </w:r>
          </w:p>
        </w:tc>
        <w:tc>
          <w:tcPr>
            <w:tcW w:w="24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436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Earnings:</w:t>
            </w:r>
          </w:p>
        </w:tc>
        <w:tc>
          <w:tcPr>
            <w:tcW w:w="2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5860" w:type="dxa"/>
            <w:vAlign w:val="bottom"/>
          </w:tcPr>
          <w:p>
            <w:pPr>
              <w:ind w:left="320"/>
              <w:spacing w:after="0" w:line="165" w:lineRule="exact"/>
              <w:rPr>
                <w:sz w:val="20"/>
                <w:szCs w:val="20"/>
                <w:color w:val="auto"/>
              </w:rPr>
            </w:pPr>
            <w:r>
              <w:rPr>
                <w:rFonts w:ascii="Arial" w:cs="Arial" w:eastAsia="Arial" w:hAnsi="Arial"/>
                <w:sz w:val="17"/>
                <w:szCs w:val="17"/>
                <w:color w:val="auto"/>
              </w:rPr>
              <w:t>Net income attributable to Boston Properties Limited Partnership</w:t>
            </w:r>
          </w:p>
        </w:tc>
        <w:tc>
          <w:tcPr>
            <w:tcW w:w="240" w:type="dxa"/>
            <w:vAlign w:val="bottom"/>
            <w:vMerge w:val="restart"/>
          </w:tcPr>
          <w:p>
            <w:pPr>
              <w:jc w:val="right"/>
              <w:ind w:right="55"/>
              <w:spacing w:after="0"/>
              <w:rPr>
                <w:sz w:val="20"/>
                <w:szCs w:val="20"/>
                <w:color w:val="auto"/>
              </w:rPr>
            </w:pPr>
            <w:r>
              <w:rPr>
                <w:rFonts w:ascii="Arial" w:cs="Arial" w:eastAsia="Arial" w:hAnsi="Arial"/>
                <w:sz w:val="17"/>
                <w:szCs w:val="17"/>
                <w:color w:val="auto"/>
                <w:w w:val="84"/>
              </w:rPr>
              <w:t>$</w:t>
            </w: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818,080</w:t>
            </w:r>
          </w:p>
        </w:tc>
        <w:tc>
          <w:tcPr>
            <w:tcW w:w="22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7"/>
                <w:szCs w:val="17"/>
                <w:color w:val="auto"/>
              </w:rPr>
              <w:t>174,775</w:t>
            </w:r>
          </w:p>
        </w:tc>
        <w:tc>
          <w:tcPr>
            <w:tcW w:w="220" w:type="dxa"/>
            <w:vAlign w:val="bottom"/>
          </w:tcPr>
          <w:p>
            <w:pPr>
              <w:spacing w:after="0"/>
              <w:rPr>
                <w:sz w:val="14"/>
                <w:szCs w:val="14"/>
                <w:color w:val="auto"/>
              </w:rPr>
            </w:pPr>
          </w:p>
        </w:tc>
        <w:tc>
          <w:tcPr>
            <w:tcW w:w="460" w:type="dxa"/>
            <w:vAlign w:val="bottom"/>
            <w:vMerge w:val="restart"/>
          </w:tcPr>
          <w:p>
            <w:pPr>
              <w:jc w:val="right"/>
              <w:ind w:right="275"/>
              <w:spacing w:after="0"/>
              <w:rPr>
                <w:sz w:val="20"/>
                <w:szCs w:val="20"/>
                <w:color w:val="auto"/>
              </w:rPr>
            </w:pPr>
            <w:r>
              <w:rPr>
                <w:rFonts w:ascii="Arial" w:cs="Arial" w:eastAsia="Arial" w:hAnsi="Arial"/>
                <w:sz w:val="17"/>
                <w:szCs w:val="17"/>
                <w:color w:val="auto"/>
                <w:w w:val="84"/>
              </w:rPr>
              <w:t>$</w:t>
            </w: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08"/>
        </w:trPr>
        <w:tc>
          <w:tcPr>
            <w:tcW w:w="5860" w:type="dxa"/>
            <w:vAlign w:val="bottom"/>
          </w:tcPr>
          <w:p>
            <w:pPr>
              <w:ind w:left="480"/>
              <w:spacing w:after="0"/>
              <w:rPr>
                <w:sz w:val="20"/>
                <w:szCs w:val="20"/>
                <w:color w:val="auto"/>
              </w:rPr>
            </w:pPr>
            <w:r>
              <w:rPr>
                <w:rFonts w:ascii="Arial" w:cs="Arial" w:eastAsia="Arial" w:hAnsi="Arial"/>
                <w:sz w:val="17"/>
                <w:szCs w:val="17"/>
                <w:color w:val="auto"/>
              </w:rPr>
              <w:t>common unitholders</w:t>
            </w:r>
          </w:p>
        </w:tc>
        <w:tc>
          <w:tcPr>
            <w:tcW w:w="24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5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5"/>
          </w:tcPr>
          <w:p>
            <w:pPr>
              <w:jc w:val="center"/>
              <w:ind w:left="858"/>
              <w:spacing w:after="0"/>
              <w:rPr>
                <w:sz w:val="20"/>
                <w:szCs w:val="20"/>
                <w:color w:val="auto"/>
              </w:rPr>
            </w:pPr>
            <w:r>
              <w:rPr>
                <w:rFonts w:ascii="Arial" w:cs="Arial" w:eastAsia="Arial" w:hAnsi="Arial"/>
                <w:sz w:val="15"/>
                <w:szCs w:val="15"/>
                <w:b w:val="1"/>
                <w:bCs w:val="1"/>
                <w:color w:val="auto"/>
              </w:rPr>
              <w:t>Nine months ended September 30, 2021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5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center"/>
              <w:ind w:right="460"/>
              <w:spacing w:after="0" w:line="146" w:lineRule="exact"/>
              <w:rPr>
                <w:sz w:val="20"/>
                <w:szCs w:val="20"/>
                <w:color w:val="auto"/>
              </w:rPr>
            </w:pPr>
            <w:r>
              <w:rPr>
                <w:rFonts w:ascii="Arial" w:cs="Arial" w:eastAsia="Arial" w:hAnsi="Arial"/>
                <w:sz w:val="15"/>
                <w:szCs w:val="15"/>
                <w:b w:val="1"/>
                <w:bCs w:val="1"/>
                <w:color w:val="auto"/>
                <w:w w:val="98"/>
              </w:rPr>
              <w:t>Income</w:t>
            </w:r>
          </w:p>
        </w:tc>
        <w:tc>
          <w:tcPr>
            <w:tcW w:w="1860" w:type="dxa"/>
            <w:vAlign w:val="bottom"/>
            <w:gridSpan w:val="2"/>
          </w:tcPr>
          <w:p>
            <w:pPr>
              <w:jc w:val="center"/>
              <w:ind w:right="240"/>
              <w:spacing w:after="0" w:line="146" w:lineRule="exact"/>
              <w:rPr>
                <w:sz w:val="20"/>
                <w:szCs w:val="20"/>
                <w:color w:val="auto"/>
              </w:rPr>
            </w:pPr>
            <w:r>
              <w:rPr>
                <w:rFonts w:ascii="Arial" w:cs="Arial" w:eastAsia="Arial" w:hAnsi="Arial"/>
                <w:sz w:val="15"/>
                <w:szCs w:val="15"/>
                <w:b w:val="1"/>
                <w:bCs w:val="1"/>
                <w:color w:val="auto"/>
              </w:rPr>
              <w:t>Units</w:t>
            </w:r>
          </w:p>
        </w:tc>
        <w:tc>
          <w:tcPr>
            <w:tcW w:w="460" w:type="dxa"/>
            <w:vAlign w:val="bottom"/>
          </w:tcPr>
          <w:p>
            <w:pPr>
              <w:spacing w:after="0"/>
              <w:rPr>
                <w:sz w:val="12"/>
                <w:szCs w:val="12"/>
                <w:color w:val="auto"/>
              </w:rPr>
            </w:pPr>
          </w:p>
        </w:tc>
        <w:tc>
          <w:tcPr>
            <w:tcW w:w="1180" w:type="dxa"/>
            <w:vAlign w:val="bottom"/>
          </w:tcPr>
          <w:p>
            <w:pPr>
              <w:jc w:val="right"/>
              <w:ind w:right="457"/>
              <w:spacing w:after="0" w:line="146" w:lineRule="exact"/>
              <w:rPr>
                <w:sz w:val="20"/>
                <w:szCs w:val="20"/>
                <w:color w:val="auto"/>
              </w:rPr>
            </w:pPr>
            <w:r>
              <w:rPr>
                <w:rFonts w:ascii="Arial" w:cs="Arial" w:eastAsia="Arial" w:hAnsi="Arial"/>
                <w:sz w:val="15"/>
                <w:szCs w:val="15"/>
                <w:b w:val="1"/>
                <w:bCs w:val="1"/>
                <w:color w:val="auto"/>
              </w:rPr>
              <w:t>Per Unit</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b w:val="1"/>
                <w:bCs w:val="1"/>
                <w:color w:val="auto"/>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rPr>
              <w:t>(Denominator)</w:t>
            </w: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Amount</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20" w:type="dxa"/>
            <w:vAlign w:val="bottom"/>
            <w:gridSpan w:val="6"/>
          </w:tcPr>
          <w:p>
            <w:pPr>
              <w:jc w:val="center"/>
              <w:ind w:right="177"/>
              <w:spacing w:after="0"/>
              <w:rPr>
                <w:sz w:val="20"/>
                <w:szCs w:val="20"/>
                <w:color w:val="auto"/>
              </w:rPr>
            </w:pPr>
            <w:r>
              <w:rPr>
                <w:rFonts w:ascii="Arial" w:cs="Arial" w:eastAsia="Arial" w:hAnsi="Arial"/>
                <w:sz w:val="15"/>
                <w:szCs w:val="15"/>
                <w:b w:val="1"/>
                <w:bCs w:val="1"/>
                <w:color w:val="auto"/>
              </w:rPr>
              <w:t>(in thousands, except for per unit amounts)</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860" w:type="dxa"/>
            <w:vAlign w:val="bottom"/>
          </w:tcPr>
          <w:p>
            <w:pPr>
              <w:ind w:left="320"/>
              <w:spacing w:after="0" w:line="165" w:lineRule="exact"/>
              <w:rPr>
                <w:sz w:val="20"/>
                <w:szCs w:val="20"/>
                <w:color w:val="auto"/>
              </w:rPr>
            </w:pPr>
            <w:r>
              <w:rPr>
                <w:rFonts w:ascii="Arial" w:cs="Arial" w:eastAsia="Arial" w:hAnsi="Arial"/>
                <w:sz w:val="17"/>
                <w:szCs w:val="17"/>
                <w:color w:val="auto"/>
              </w:rPr>
              <w:t>Net income attributable to Boston Properties Limited Partnership</w:t>
            </w:r>
          </w:p>
        </w:tc>
        <w:tc>
          <w:tcPr>
            <w:tcW w:w="240" w:type="dxa"/>
            <w:vAlign w:val="bottom"/>
            <w:vMerge w:val="restart"/>
          </w:tcPr>
          <w:p>
            <w:pPr>
              <w:jc w:val="right"/>
              <w:ind w:right="55"/>
              <w:spacing w:after="0"/>
              <w:rPr>
                <w:sz w:val="20"/>
                <w:szCs w:val="20"/>
                <w:color w:val="auto"/>
              </w:rPr>
            </w:pPr>
            <w:r>
              <w:rPr>
                <w:rFonts w:ascii="Arial" w:cs="Arial" w:eastAsia="Arial" w:hAnsi="Arial"/>
                <w:sz w:val="17"/>
                <w:szCs w:val="17"/>
                <w:color w:val="auto"/>
                <w:w w:val="84"/>
              </w:rPr>
              <w:t>$</w:t>
            </w: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353,633</w:t>
            </w:r>
          </w:p>
        </w:tc>
        <w:tc>
          <w:tcPr>
            <w:tcW w:w="22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7"/>
                <w:szCs w:val="17"/>
                <w:color w:val="auto"/>
              </w:rPr>
              <w:t>173,078</w:t>
            </w:r>
          </w:p>
        </w:tc>
        <w:tc>
          <w:tcPr>
            <w:tcW w:w="220" w:type="dxa"/>
            <w:vAlign w:val="bottom"/>
          </w:tcPr>
          <w:p>
            <w:pPr>
              <w:spacing w:after="0"/>
              <w:rPr>
                <w:sz w:val="14"/>
                <w:szCs w:val="14"/>
                <w:color w:val="auto"/>
              </w:rPr>
            </w:pPr>
          </w:p>
        </w:tc>
        <w:tc>
          <w:tcPr>
            <w:tcW w:w="460" w:type="dxa"/>
            <w:vAlign w:val="bottom"/>
            <w:vMerge w:val="restart"/>
          </w:tcPr>
          <w:p>
            <w:pPr>
              <w:jc w:val="right"/>
              <w:ind w:right="275"/>
              <w:spacing w:after="0"/>
              <w:rPr>
                <w:sz w:val="20"/>
                <w:szCs w:val="20"/>
                <w:color w:val="auto"/>
              </w:rPr>
            </w:pPr>
            <w:r>
              <w:rPr>
                <w:rFonts w:ascii="Arial" w:cs="Arial" w:eastAsia="Arial" w:hAnsi="Arial"/>
                <w:sz w:val="17"/>
                <w:szCs w:val="17"/>
                <w:color w:val="auto"/>
                <w:w w:val="84"/>
              </w:rPr>
              <w:t>$</w:t>
            </w: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28"/>
        </w:trPr>
        <w:tc>
          <w:tcPr>
            <w:tcW w:w="5860" w:type="dxa"/>
            <w:vAlign w:val="bottom"/>
          </w:tcPr>
          <w:p>
            <w:pPr>
              <w:ind w:left="480"/>
              <w:spacing w:after="0"/>
              <w:rPr>
                <w:sz w:val="20"/>
                <w:szCs w:val="20"/>
                <w:color w:val="auto"/>
              </w:rPr>
            </w:pPr>
            <w:r>
              <w:rPr>
                <w:rFonts w:ascii="Arial" w:cs="Arial" w:eastAsia="Arial" w:hAnsi="Arial"/>
                <w:sz w:val="17"/>
                <w:szCs w:val="17"/>
                <w:color w:val="auto"/>
              </w:rPr>
              <w:t>common unitholders</w:t>
            </w:r>
          </w:p>
        </w:tc>
        <w:tc>
          <w:tcPr>
            <w:tcW w:w="24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Dilutive Securities: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20"/>
              <w:spacing w:after="0"/>
              <w:rPr>
                <w:sz w:val="20"/>
                <w:szCs w:val="20"/>
                <w:color w:val="auto"/>
              </w:rPr>
            </w:pPr>
            <w:r>
              <w:rPr>
                <w:rFonts w:ascii="Arial" w:cs="Arial" w:eastAsia="Arial" w:hAnsi="Arial"/>
                <w:sz w:val="17"/>
                <w:szCs w:val="17"/>
                <w:color w:val="auto"/>
              </w:rPr>
              <w:t>Stock Based Compensation</w:t>
            </w:r>
          </w:p>
        </w:tc>
        <w:tc>
          <w:tcPr>
            <w:tcW w:w="24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332</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Earnings:</w:t>
            </w:r>
          </w:p>
        </w:tc>
        <w:tc>
          <w:tcPr>
            <w:tcW w:w="2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5860" w:type="dxa"/>
            <w:vAlign w:val="bottom"/>
          </w:tcPr>
          <w:p>
            <w:pPr>
              <w:ind w:left="320"/>
              <w:spacing w:after="0" w:line="165" w:lineRule="exact"/>
              <w:rPr>
                <w:sz w:val="20"/>
                <w:szCs w:val="20"/>
                <w:color w:val="auto"/>
              </w:rPr>
            </w:pPr>
            <w:r>
              <w:rPr>
                <w:rFonts w:ascii="Arial" w:cs="Arial" w:eastAsia="Arial" w:hAnsi="Arial"/>
                <w:sz w:val="17"/>
                <w:szCs w:val="17"/>
                <w:color w:val="auto"/>
              </w:rPr>
              <w:t>Net income attributable to Boston Properties Limited Partnership</w:t>
            </w:r>
          </w:p>
        </w:tc>
        <w:tc>
          <w:tcPr>
            <w:tcW w:w="240" w:type="dxa"/>
            <w:vAlign w:val="bottom"/>
            <w:vMerge w:val="restart"/>
          </w:tcPr>
          <w:p>
            <w:pPr>
              <w:jc w:val="right"/>
              <w:ind w:right="55"/>
              <w:spacing w:after="0"/>
              <w:rPr>
                <w:sz w:val="20"/>
                <w:szCs w:val="20"/>
                <w:color w:val="auto"/>
              </w:rPr>
            </w:pPr>
            <w:r>
              <w:rPr>
                <w:rFonts w:ascii="Arial" w:cs="Arial" w:eastAsia="Arial" w:hAnsi="Arial"/>
                <w:sz w:val="17"/>
                <w:szCs w:val="17"/>
                <w:color w:val="auto"/>
                <w:w w:val="84"/>
              </w:rPr>
              <w:t>$</w:t>
            </w: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353,633</w:t>
            </w:r>
          </w:p>
        </w:tc>
        <w:tc>
          <w:tcPr>
            <w:tcW w:w="22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7"/>
                <w:szCs w:val="17"/>
                <w:color w:val="auto"/>
              </w:rPr>
              <w:t>173,410</w:t>
            </w:r>
          </w:p>
        </w:tc>
        <w:tc>
          <w:tcPr>
            <w:tcW w:w="220" w:type="dxa"/>
            <w:vAlign w:val="bottom"/>
          </w:tcPr>
          <w:p>
            <w:pPr>
              <w:spacing w:after="0"/>
              <w:rPr>
                <w:sz w:val="14"/>
                <w:szCs w:val="14"/>
                <w:color w:val="auto"/>
              </w:rPr>
            </w:pPr>
          </w:p>
        </w:tc>
        <w:tc>
          <w:tcPr>
            <w:tcW w:w="460" w:type="dxa"/>
            <w:vAlign w:val="bottom"/>
            <w:vMerge w:val="restart"/>
          </w:tcPr>
          <w:p>
            <w:pPr>
              <w:jc w:val="right"/>
              <w:ind w:right="275"/>
              <w:spacing w:after="0"/>
              <w:rPr>
                <w:sz w:val="20"/>
                <w:szCs w:val="20"/>
                <w:color w:val="auto"/>
              </w:rPr>
            </w:pPr>
            <w:r>
              <w:rPr>
                <w:rFonts w:ascii="Arial" w:cs="Arial" w:eastAsia="Arial" w:hAnsi="Arial"/>
                <w:sz w:val="17"/>
                <w:szCs w:val="17"/>
                <w:color w:val="auto"/>
                <w:w w:val="84"/>
              </w:rPr>
              <w:t>$</w:t>
            </w: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08"/>
        </w:trPr>
        <w:tc>
          <w:tcPr>
            <w:tcW w:w="5860" w:type="dxa"/>
            <w:vAlign w:val="bottom"/>
          </w:tcPr>
          <w:p>
            <w:pPr>
              <w:ind w:left="480"/>
              <w:spacing w:after="0"/>
              <w:rPr>
                <w:sz w:val="20"/>
                <w:szCs w:val="20"/>
                <w:color w:val="auto"/>
              </w:rPr>
            </w:pPr>
            <w:r>
              <w:rPr>
                <w:rFonts w:ascii="Arial" w:cs="Arial" w:eastAsia="Arial" w:hAnsi="Arial"/>
                <w:sz w:val="17"/>
                <w:szCs w:val="17"/>
                <w:color w:val="auto"/>
              </w:rPr>
              <w:t>common unitholders</w:t>
            </w:r>
          </w:p>
        </w:tc>
        <w:tc>
          <w:tcPr>
            <w:tcW w:w="24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Stock Option and Incentive Plan</w:t>
      </w:r>
    </w:p>
    <w:p>
      <w:pPr>
        <w:spacing w:after="0" w:line="96" w:lineRule="exact"/>
        <w:rPr>
          <w:sz w:val="20"/>
          <w:szCs w:val="20"/>
          <w:color w:val="auto"/>
        </w:rPr>
      </w:pPr>
    </w:p>
    <w:p>
      <w:pPr>
        <w:ind w:right="380" w:firstLine="419"/>
        <w:spacing w:after="0" w:line="266" w:lineRule="auto"/>
        <w:rPr>
          <w:sz w:val="20"/>
          <w:szCs w:val="20"/>
          <w:color w:val="auto"/>
        </w:rPr>
      </w:pPr>
      <w:r>
        <w:rPr>
          <w:rFonts w:ascii="Arial" w:cs="Arial" w:eastAsia="Arial" w:hAnsi="Arial"/>
          <w:sz w:val="17"/>
          <w:szCs w:val="17"/>
          <w:color w:val="auto"/>
        </w:rPr>
        <w:t>On February 1, 2022, BXP’s Compensation Committee approved the 2022 MYLTIP awards under the Boston Properties, Inc. 2021 Stock Incentive Plan (the “2021 Plan”) to certain officers and employees of BXP. The 2022 MYLTIP awards consist of two, equally weighted (50% each) components that utilize BXP’s TSR over a three-year measurement period as the performance metric.</w:t>
      </w:r>
    </w:p>
    <w:p>
      <w:pPr>
        <w:spacing w:after="0" w:line="112" w:lineRule="exact"/>
        <w:rPr>
          <w:sz w:val="20"/>
          <w:szCs w:val="20"/>
          <w:color w:val="auto"/>
        </w:rPr>
      </w:pPr>
    </w:p>
    <w:p>
      <w:pPr>
        <w:jc w:val="both"/>
        <w:ind w:right="200" w:firstLine="419"/>
        <w:spacing w:after="0" w:line="260" w:lineRule="auto"/>
        <w:rPr>
          <w:sz w:val="20"/>
          <w:szCs w:val="20"/>
          <w:color w:val="auto"/>
        </w:rPr>
      </w:pPr>
      <w:r>
        <w:rPr>
          <w:rFonts w:ascii="Arial" w:cs="Arial" w:eastAsia="Arial" w:hAnsi="Arial"/>
          <w:sz w:val="17"/>
          <w:szCs w:val="17"/>
          <w:color w:val="auto"/>
        </w:rPr>
        <w:t>The first component of the 2022 MYLTIP represents one-half (50%) of the target grant-date value of the award. The number of LTIP Units that can be earned under this component ranges from zero to 200% of the target number of LTIP Units, based on BXP’s three-year, annualized relative TSR performance compared to a custom index of peer companies. Under this component, 100% of the target number of LTIP Units will be earned if BXP’s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80"/>
        <w:spacing w:after="0" w:line="283" w:lineRule="auto"/>
        <w:rPr>
          <w:sz w:val="20"/>
          <w:szCs w:val="20"/>
          <w:color w:val="auto"/>
        </w:rPr>
      </w:pPr>
      <w:r>
        <w:rPr>
          <w:rFonts w:ascii="Arial" w:cs="Arial" w:eastAsia="Arial" w:hAnsi="Arial"/>
          <w:sz w:val="17"/>
          <w:szCs w:val="17"/>
          <w:color w:val="auto"/>
        </w:rPr>
        <w:t>TSR equals the custom index TSR; for relative TSR performance between -1,000 basis points and +1,000 basis points, the number of LTIP Units earned will be determined using linear interpolation.</w:t>
      </w:r>
    </w:p>
    <w:p>
      <w:pPr>
        <w:spacing w:after="0" w:line="97" w:lineRule="exact"/>
        <w:rPr>
          <w:sz w:val="20"/>
          <w:szCs w:val="20"/>
          <w:color w:val="auto"/>
        </w:rPr>
      </w:pPr>
    </w:p>
    <w:p>
      <w:pPr>
        <w:ind w:right="140" w:firstLine="419"/>
        <w:spacing w:after="0" w:line="257" w:lineRule="auto"/>
        <w:rPr>
          <w:sz w:val="20"/>
          <w:szCs w:val="20"/>
          <w:color w:val="auto"/>
        </w:rPr>
      </w:pPr>
      <w:r>
        <w:rPr>
          <w:rFonts w:ascii="Arial" w:cs="Arial" w:eastAsia="Arial" w:hAnsi="Arial"/>
          <w:sz w:val="17"/>
          <w:szCs w:val="17"/>
          <w:color w:val="auto"/>
        </w:rPr>
        <w:t>The second component represents the remaining one-half (50%) of the target grant-date value of the 2022 MYLTIP. The number of LTIP Units that can be earned under this component ranges from zero to 200% of the target number of LTIP Units, based on BXP’s non-annualized, cumulative absolute TSR during the three-year performance period. Under this component, 100% of the target number of LTIP Units will be earned if BXP achieves an absolute TSR equal to +1,000 basis points; if BXP’s absolute TSR is greater than -4,000 basis points but less than +6,000 basis points, then the number of LTIP Units earned will be determined using linear interpolation.</w:t>
      </w:r>
    </w:p>
    <w:p>
      <w:pPr>
        <w:spacing w:after="0" w:line="121" w:lineRule="exact"/>
        <w:rPr>
          <w:sz w:val="20"/>
          <w:szCs w:val="20"/>
          <w:color w:val="auto"/>
        </w:rPr>
      </w:pPr>
    </w:p>
    <w:p>
      <w:pPr>
        <w:ind w:firstLine="419"/>
        <w:spacing w:after="0" w:line="252" w:lineRule="auto"/>
        <w:rPr>
          <w:sz w:val="20"/>
          <w:szCs w:val="20"/>
          <w:color w:val="auto"/>
        </w:rPr>
      </w:pPr>
      <w:r>
        <w:rPr>
          <w:rFonts w:ascii="Arial" w:cs="Arial" w:eastAsia="Arial" w:hAnsi="Arial"/>
          <w:sz w:val="17"/>
          <w:szCs w:val="17"/>
          <w:color w:val="auto"/>
        </w:rPr>
        <w:t>Total earned awards under the 2022 MYLTIP, if any, will equal the sum of the number of LTIP Units earned under the first and second components and will range from zero to a maximum of 254,061 LTIP Units with a target of approximately 127,031 LTIP Units and linear interpolation between zero and maximum. Earned awards (if any) will vest 100% on January 31, 2025, but may not be converted, redeemed, sold or otherwise transferred for one additional year thereafter. Vesting will be accelerated in the event of a change in control, termination of employment by BXP without cause, or termination of employment by the award recipient for good reason, death, disability or retirement. If there is a change of control prior to January 31, 2025, earned awards will be calculated based on TSR performance up to the date of the change of control. The 2022 MYLTIP awards are in the form of LTIP Units issued on the grant date, and they are subject to forfeiture to the extent awards are not earned. Prior to the performance measurement date holders of the 2022 MYLTIP Units are only entitled to one-tenth (10%) of the regular quarterly distributions payable on common partnership units. Following the completion of the three-year performance period, the Company will also make a “catch-up” cash payment on the 2022 MYLTIP Units that are ultimately earned in an amount equal to the regular and special distributions, if any, declared during the performance period on BXP’s Common Stock, less the distributions actually paid to holders of 2022 MYLTIP Units during the performance period on all of the awarded 2022 MYLTIP Units. Under ASC 718 “Compensation - Stock Compensation,” the 2022 MYLTIP awards have an aggregate value of approximately $17.3 million, which amount will generally be amortized into earnings under the graded vesting method.</w:t>
      </w:r>
    </w:p>
    <w:p>
      <w:pPr>
        <w:spacing w:after="0" w:line="124" w:lineRule="exact"/>
        <w:rPr>
          <w:sz w:val="20"/>
          <w:szCs w:val="20"/>
          <w:color w:val="auto"/>
        </w:rPr>
      </w:pPr>
    </w:p>
    <w:p>
      <w:pPr>
        <w:jc w:val="both"/>
        <w:ind w:right="60" w:firstLine="419"/>
        <w:spacing w:after="0" w:line="266" w:lineRule="auto"/>
        <w:rPr>
          <w:sz w:val="20"/>
          <w:szCs w:val="20"/>
          <w:color w:val="auto"/>
        </w:rPr>
      </w:pPr>
      <w:r>
        <w:rPr>
          <w:rFonts w:ascii="Arial" w:cs="Arial" w:eastAsia="Arial" w:hAnsi="Arial"/>
          <w:sz w:val="17"/>
          <w:szCs w:val="17"/>
          <w:color w:val="auto"/>
        </w:rPr>
        <w:t>On February 4, 2022, the measurement period for the Company’s 2019 MYLTIP awards ended and, based on BXP’s relative TSR performance, the final payout was determined to be 69.0% of target, or an aggregate of approximately $8.6 million (after giving effect to employee separations). As a result, an aggregate of 144,043 2019 MYLTIP Units that had been previously granted were automatically forfeited.</w:t>
      </w:r>
    </w:p>
    <w:p>
      <w:pPr>
        <w:spacing w:after="0" w:line="112" w:lineRule="exact"/>
        <w:rPr>
          <w:sz w:val="20"/>
          <w:szCs w:val="20"/>
          <w:color w:val="auto"/>
        </w:rPr>
      </w:pPr>
    </w:p>
    <w:p>
      <w:pPr>
        <w:ind w:firstLine="419"/>
        <w:spacing w:after="0" w:line="267" w:lineRule="auto"/>
        <w:rPr>
          <w:sz w:val="20"/>
          <w:szCs w:val="20"/>
          <w:color w:val="auto"/>
        </w:rPr>
      </w:pPr>
      <w:r>
        <w:rPr>
          <w:rFonts w:ascii="Arial" w:cs="Arial" w:eastAsia="Arial" w:hAnsi="Arial"/>
          <w:sz w:val="16"/>
          <w:szCs w:val="16"/>
          <w:color w:val="auto"/>
        </w:rPr>
        <w:t>During the nine months ended September 30, 2022, BXP issued 41,818 shares of restricted common stock and BPLP issued 280,616 LTIP Units and 254,061 2022 MYLTIP Units to employees and non-employee directors under the 2021 Plan. Employees and non-employee directors paid $0.01 per share of restricted common stock and $0.25 per LTIP Unit and 2022 MYLTIP Unit. When issued, LTIP Units are not economically equivalent in value to a share of Common Stock, but over time can increase in value to one-for-one parity with Common Stock if there is sufficient appreciation in the value of the Company’s assets. The aggregate value of the LTIP Units is included in noncontrolling interests in the Consolidated Balance Sheets of BXP and BPLP. A substantial majority of the grants of restricted common stock and LTIP Units to employees vest in four equal annual installments. Restricted common stock is measured at fair value on the date of grant based on the number of shares granted and the closing price of BXP’s Common Stock on the date of grant as quoted on the New York Stock Exchange. Such value is recognized as an expense ratably over the corresponding employee service period. The shares of restricted common stock granted during the nine months ended September 30, 2022 were valued at approximately $4.7 million ($111.47 per share weighted-average). The LTIP Units granted were valued at approximately $29.9 million (approximately $106.46 per unit weighted-average fair value) using a Monte Carlo simulation method model. The per unit fair values of the LTIP Units granted were estimated on the dates of grant and for a substantial majority of such units were valued using the following assumptions: an expected life of 5.7 years, a risk-free interest rate of 1.71% and an expected price volatility of 31.0%. Because the 2012 OPP Units and 2013 - 2022 MYLTIP Units are subject to both a service condition and a market condition, the Company recognizes the related compensation expense under the graded vesting attribution method. Under the graded vesting attribution method, each portion of the award that vests at a different date is accounted for as a separate award and recognized over the period appropriate to that portion so that the compensation cost for each portion should be recognized in full by the time that portion vests. The Company recognizes forfeitures as they occur on its awards of stock-based compensation. Dividends paid on both vested and unvested shares of restricted stock are charged directly to Dividends in Excess of Earnings in Boston Properties, Inc.’s Consolidated Balance Sheets and Partners’ Capital in Boston Properties Limited Partnership’s Consolidated Balance Sheets. Aggregate stock-based compensation expense associated with restricted stock, LTIP Units and MYLTIP Units was approximately $7.7 million and $8.4 million for the three months</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275" w:right="37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ended September 30, 2022 and 2021, respectively, and $43.2 million and $42.2 million for the nine months ended September 30, 2022 and 2021, respectively. At September 30, 2022, there was (1) an aggregate of approximately $25.9 million of unrecognized compensation expense related to unvested restricted stock, LTIP Units and 2019 MYLTIP Units and (2) an aggregate of approximately $7.3 million of unrecognized compensation expense related to unvested 2020 - 2022 MYLTIP Units that is expected to be recognized over a weighted-average period of approximately 2.0 years.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Subsequent Events</w:t>
      </w:r>
    </w:p>
    <w:p>
      <w:pPr>
        <w:spacing w:after="0" w:line="84" w:lineRule="exact"/>
        <w:rPr>
          <w:sz w:val="20"/>
          <w:szCs w:val="20"/>
          <w:color w:val="auto"/>
        </w:rPr>
      </w:pPr>
    </w:p>
    <w:p>
      <w:pPr>
        <w:ind w:right="140" w:firstLine="419"/>
        <w:spacing w:after="0" w:line="260" w:lineRule="auto"/>
        <w:rPr>
          <w:sz w:val="20"/>
          <w:szCs w:val="20"/>
          <w:color w:val="auto"/>
        </w:rPr>
      </w:pPr>
      <w:r>
        <w:rPr>
          <w:rFonts w:ascii="Arial" w:cs="Arial" w:eastAsia="Arial" w:hAnsi="Arial"/>
          <w:sz w:val="17"/>
          <w:szCs w:val="17"/>
          <w:color w:val="auto"/>
        </w:rPr>
        <w:t>On October 6, 2022, the Company entered into an agreement to sell the residential component of The Avant at Reston Town Center, located in Reston, Virginia, for a gross sale price of $141 million. The Avant is a 15-story, approximately 329,000 square foot, excluding retail space, 359-unit, luxury multifamily building. The Company will retain ownership of the approximately 26,000 square foot ground-level retail space. There can be no assurance that the Company will complete the sale on the terms currently contemplated or at all.</w:t>
      </w:r>
    </w:p>
    <w:p>
      <w:pPr>
        <w:spacing w:after="0" w:line="118" w:lineRule="exact"/>
        <w:rPr>
          <w:sz w:val="20"/>
          <w:szCs w:val="20"/>
          <w:color w:val="auto"/>
        </w:rPr>
      </w:pPr>
    </w:p>
    <w:p>
      <w:pPr>
        <w:ind w:firstLine="419"/>
        <w:spacing w:after="0" w:line="277" w:lineRule="auto"/>
        <w:rPr>
          <w:sz w:val="20"/>
          <w:szCs w:val="20"/>
          <w:color w:val="auto"/>
        </w:rPr>
      </w:pPr>
      <w:r>
        <w:rPr>
          <w:rFonts w:ascii="Arial" w:cs="Arial" w:eastAsia="Arial" w:hAnsi="Arial"/>
          <w:sz w:val="16"/>
          <w:szCs w:val="16"/>
          <w:color w:val="auto"/>
        </w:rPr>
        <w:t>On October 25, 2022, the Company entered into an agreement to acquire an approximate 27% interest in the joint venture that owns 200 Fifth Avenue located in New York City, for a gross purchase price of approximately $280.2 million, which includes $120.1 million of cash and the Company’s pro rata share of the outstanding loan secured by the property of $160.1 million. The mortgage loan bears interest at 4.34% per annum and matures in November 2028. 200 Fifth Avenue is a 14-story, approximately 870,000 square-foot, LEED Gold certified, premier workplace located in the Midtown South submarket. There can be no assurance that the Company will complete the acquisition on the terms currently contemplated or at all.</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2—Management’s Discussion and Analysis of Financial Condition and Results of Operations.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discussion should be read in conjunction with the financial statements and notes thereto appearing elsewhere in this report.</w:t>
      </w:r>
    </w:p>
    <w:p>
      <w:pPr>
        <w:spacing w:after="0" w:line="160" w:lineRule="exact"/>
        <w:rPr>
          <w:sz w:val="20"/>
          <w:szCs w:val="20"/>
          <w:color w:val="auto"/>
        </w:rPr>
      </w:pPr>
    </w:p>
    <w:p>
      <w:pPr>
        <w:ind w:firstLine="419"/>
        <w:spacing w:after="0" w:line="251" w:lineRule="auto"/>
        <w:rPr>
          <w:sz w:val="20"/>
          <w:szCs w:val="20"/>
          <w:color w:val="auto"/>
        </w:rPr>
      </w:pPr>
      <w:r>
        <w:rPr>
          <w:rFonts w:ascii="Arial" w:cs="Arial" w:eastAsia="Arial" w:hAnsi="Arial"/>
          <w:sz w:val="17"/>
          <w:szCs w:val="17"/>
          <w:color w:val="auto"/>
        </w:rPr>
        <w:t>This Quarterly Report on Form 10-Q, including the documents incorporated by reference, contain forward-looking statements within the meaning of the federal securities laws, Section 27A of the Securities Act of 1933, as amended, and Section 21E of the Securities Exchange Act of 1934, as amended. We intend these forward-looking statements to be covered by the safe harbor provisions for forward-looking statements contained in the Private Securities Litigation Reform Act of 1995 and are including this statement for purposes of complying with those safe harbor provisions, in each case, to the extent applicable. The forward-looking statements are contained principally, but not only, under the captions “Risk Factors” and “Management’s Discussion and Analysis of Financial Condition and Results of Operations.” We caution investors that forward-looking statements are based on current beliefs, expectations of future events and assumptions made by, and information currently available to, our management. When used, the words “anticipate,” “believe,” “budget,” “could,” “estimate,” “expect,” “intend,” “may,” “might,” “plan,” “project,” “should,” “will” and similar expressions that do not relate solely to historical matters are intended to identify forward-looking statements. These statements are subject to risks, uncertainties and assumptions and are not guarantees of future performance or occurrences, which may be affected by known and unknown risks, trends, uncertainties and factors that are, in some cases, beyond our control. Should one or more of these known or unknown risks or uncertainties materialize, or should underlying assumptions prove incorrect, actual results may vary materially from those expressed or implied by the forward-looking statements. We caution you that, while forward-looking statements reflect our good-faith beliefs when we make them, they are not guarantees of future performance or occurrences and are impacted by actual events when they occur after we make such statements. Accordingly, investors should use caution in relying on forward-looking statements, which are based on results and trends at the time they are made, to anticipate future results or trends.</w:t>
      </w:r>
    </w:p>
    <w:p>
      <w:pPr>
        <w:spacing w:after="0" w:line="130" w:lineRule="exact"/>
        <w:rPr>
          <w:sz w:val="20"/>
          <w:szCs w:val="20"/>
          <w:color w:val="auto"/>
        </w:rPr>
      </w:pPr>
    </w:p>
    <w:p>
      <w:pPr>
        <w:ind w:right="60" w:firstLine="419"/>
        <w:spacing w:after="0" w:line="256" w:lineRule="auto"/>
        <w:rPr>
          <w:sz w:val="20"/>
          <w:szCs w:val="20"/>
          <w:color w:val="auto"/>
        </w:rPr>
      </w:pPr>
      <w:r>
        <w:rPr>
          <w:rFonts w:ascii="Arial" w:cs="Arial" w:eastAsia="Arial" w:hAnsi="Arial"/>
          <w:sz w:val="17"/>
          <w:szCs w:val="17"/>
          <w:color w:val="auto"/>
        </w:rPr>
        <w:t>The most significant factors that may cause actual results to differ materially from those expressed or implied by the forward-looking statements include the impact on global and U.S. economic conditions due to the ongoing COVID-19 pandemic, the ongoing war in Ukraine, continuing inflation, increasing interest rates, and supply-chain disruptions, as well as the risks described in (i) our Annual Report on Form 10-K for the fiscal year ended December 31, 2021 including those described under the caption “Risk Factors,” (ii) our Quarterly Report on Form 10-Q for the fiscal quarter ended June 30, 2022 including those described under the caption “Risk Factors,” (iii) our subsequent filings under the Exchange Act and (iv) the risk factors set forth in this Form 10-Q in Part II, Item 1A, if any.</w:t>
      </w:r>
    </w:p>
    <w:p>
      <w:pPr>
        <w:spacing w:after="0" w:line="120" w:lineRule="exact"/>
        <w:rPr>
          <w:sz w:val="20"/>
          <w:szCs w:val="20"/>
          <w:color w:val="auto"/>
        </w:rPr>
      </w:pPr>
    </w:p>
    <w:p>
      <w:pPr>
        <w:ind w:right="20" w:firstLine="419"/>
        <w:spacing w:after="0" w:line="283" w:lineRule="auto"/>
        <w:rPr>
          <w:sz w:val="20"/>
          <w:szCs w:val="20"/>
          <w:color w:val="auto"/>
        </w:rPr>
      </w:pPr>
      <w:r>
        <w:rPr>
          <w:rFonts w:ascii="Arial" w:cs="Arial" w:eastAsia="Arial" w:hAnsi="Arial"/>
          <w:sz w:val="17"/>
          <w:szCs w:val="17"/>
          <w:color w:val="auto"/>
        </w:rPr>
        <w:t>Some of the risks and uncertainties that may cause our actual results, performance or achievements to differ materially from those expressed or implied by forward-looking statements include, among others, the following:</w:t>
      </w:r>
    </w:p>
    <w:p>
      <w:pPr>
        <w:spacing w:after="0" w:line="97" w:lineRule="exact"/>
        <w:rPr>
          <w:sz w:val="20"/>
          <w:szCs w:val="20"/>
          <w:color w:val="auto"/>
        </w:rPr>
      </w:pPr>
    </w:p>
    <w:p>
      <w:pPr>
        <w:ind w:left="1220" w:right="20" w:hanging="609"/>
        <w:spacing w:after="0" w:line="256" w:lineRule="auto"/>
        <w:tabs>
          <w:tab w:leader="none" w:pos="12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risks and uncertainties related to the impact of (1) the COVID-19 global pandemic, including the emergence of additional variants, the effectiveness, availability and distribution of vaccines, including their efficacy against new variant strains and the willingness of individuals to be vaccinated, (2) the impact of geopolitical conflicts, including the war in Ukraine, and (3) the severity and duration of the indirect economic impacts of the foregoing, such as recession, supply chain disruptions, labor market disruptions, continued inflation, increasing interest rates, dislocation and volatility in capital markets, job losses, potential longer-term changes in consumer and client behavior, as well as possible future governmental responses;</w:t>
      </w:r>
    </w:p>
    <w:p>
      <w:pPr>
        <w:spacing w:after="0" w:line="43" w:lineRule="exact"/>
        <w:rPr>
          <w:rFonts w:ascii="Arial" w:cs="Arial" w:eastAsia="Arial" w:hAnsi="Arial"/>
          <w:sz w:val="17"/>
          <w:szCs w:val="17"/>
          <w:color w:val="auto"/>
        </w:rPr>
      </w:pPr>
    </w:p>
    <w:p>
      <w:pPr>
        <w:ind w:left="1220" w:right="220" w:hanging="609"/>
        <w:spacing w:after="0" w:line="266" w:lineRule="auto"/>
        <w:tabs>
          <w:tab w:leader="none" w:pos="12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volatile or adverse global economic and geopolitical conditions, health crises and dislocations in the credit markets could adversely affect our access to cost-effective capital and have a resulting material adverse effect on our business opportunities, results of operations and financial condition;</w:t>
      </w:r>
    </w:p>
    <w:p>
      <w:pPr>
        <w:spacing w:after="0" w:line="48" w:lineRule="exact"/>
        <w:rPr>
          <w:rFonts w:ascii="Arial" w:cs="Arial" w:eastAsia="Arial" w:hAnsi="Arial"/>
          <w:sz w:val="17"/>
          <w:szCs w:val="17"/>
          <w:color w:val="auto"/>
        </w:rPr>
      </w:pPr>
    </w:p>
    <w:p>
      <w:pPr>
        <w:ind w:left="1220" w:right="80" w:hanging="609"/>
        <w:spacing w:after="0" w:line="283" w:lineRule="auto"/>
        <w:tabs>
          <w:tab w:leader="none" w:pos="12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risks associated with downturns in the national and local economies, continued inflation, increasing interest rates, and volatility in the securities markets;</w:t>
      </w:r>
    </w:p>
    <w:p>
      <w:pPr>
        <w:spacing w:after="0" w:line="33" w:lineRule="exact"/>
        <w:rPr>
          <w:rFonts w:ascii="Arial" w:cs="Arial" w:eastAsia="Arial" w:hAnsi="Arial"/>
          <w:sz w:val="17"/>
          <w:szCs w:val="17"/>
          <w:color w:val="auto"/>
        </w:rPr>
      </w:pPr>
    </w:p>
    <w:p>
      <w:pPr>
        <w:ind w:left="1220" w:right="220" w:hanging="609"/>
        <w:spacing w:after="0" w:line="314" w:lineRule="auto"/>
        <w:tabs>
          <w:tab w:leader="none" w:pos="1216" w:val="left"/>
        </w:tabs>
        <w:numPr>
          <w:ilvl w:val="0"/>
          <w:numId w:val="21"/>
        </w:numPr>
        <w:rPr>
          <w:rFonts w:ascii="Arial" w:cs="Arial" w:eastAsia="Arial" w:hAnsi="Arial"/>
          <w:sz w:val="16"/>
          <w:szCs w:val="16"/>
          <w:color w:val="auto"/>
        </w:rPr>
      </w:pPr>
      <w:r>
        <w:rPr>
          <w:rFonts w:ascii="Arial" w:cs="Arial" w:eastAsia="Arial" w:hAnsi="Arial"/>
          <w:sz w:val="16"/>
          <w:szCs w:val="16"/>
          <w:color w:val="auto"/>
        </w:rPr>
        <w:t>general risks affecting the real estate industry (including, without limitation, the inability to enter into or renew leases, client space utilization, dependence on clients’ financial condition, and competition from other developers, owners and operators of real estate);</w:t>
      </w:r>
    </w:p>
    <w:p>
      <w:pPr>
        <w:ind w:left="1220" w:right="900" w:hanging="609"/>
        <w:spacing w:after="0" w:line="283" w:lineRule="auto"/>
        <w:tabs>
          <w:tab w:leader="none" w:pos="12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to manage effectively our growth and expansion into new markets and sub-markets or to integrate acquisitions and developments successfully;</w:t>
      </w:r>
    </w:p>
    <w:p>
      <w:pPr>
        <w:spacing w:after="0" w:line="33" w:lineRule="exact"/>
        <w:rPr>
          <w:rFonts w:ascii="Arial" w:cs="Arial" w:eastAsia="Arial" w:hAnsi="Arial"/>
          <w:sz w:val="17"/>
          <w:szCs w:val="17"/>
          <w:color w:val="auto"/>
        </w:rPr>
      </w:pPr>
    </w:p>
    <w:p>
      <w:pPr>
        <w:ind w:left="1220" w:hanging="609"/>
        <w:spacing w:after="0"/>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ability of our joint venture partners to satisfy their obligations;</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275" w:right="37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20" w:right="80" w:hanging="609"/>
        <w:spacing w:after="0" w:line="260" w:lineRule="auto"/>
        <w:tabs>
          <w:tab w:leader="none" w:pos="12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risks and uncertainties affecting property development and construction (including, without limitation, continued inflation, supply chain disruptions, labor shortages, construction delays, increased construction costs, cost overruns, inability to obtain necessary permits, client accounting considerations that may result in negotiated lease provisions that limit a client’s liability during construction, and public opposition to such activities);</w:t>
      </w:r>
    </w:p>
    <w:p>
      <w:pPr>
        <w:spacing w:after="0" w:line="41" w:lineRule="exact"/>
        <w:rPr>
          <w:rFonts w:ascii="Arial" w:cs="Arial" w:eastAsia="Arial" w:hAnsi="Arial"/>
          <w:sz w:val="17"/>
          <w:szCs w:val="17"/>
          <w:color w:val="auto"/>
        </w:rPr>
      </w:pPr>
    </w:p>
    <w:p>
      <w:pPr>
        <w:ind w:left="1220" w:right="300" w:hanging="609"/>
        <w:spacing w:after="0" w:line="283" w:lineRule="auto"/>
        <w:tabs>
          <w:tab w:leader="none" w:pos="12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risks associated with the availability and terms of financing and the use of debt to fund acquisitions and developments or refinance existing indebtedness, including the impact of higher interest rates on the cost and/or availability of financing;</w:t>
      </w:r>
    </w:p>
    <w:p>
      <w:pPr>
        <w:spacing w:after="0" w:line="33" w:lineRule="exact"/>
        <w:rPr>
          <w:rFonts w:ascii="Arial" w:cs="Arial" w:eastAsia="Arial" w:hAnsi="Arial"/>
          <w:sz w:val="17"/>
          <w:szCs w:val="17"/>
          <w:color w:val="auto"/>
        </w:rPr>
      </w:pPr>
    </w:p>
    <w:p>
      <w:pPr>
        <w:ind w:left="1220" w:hanging="609"/>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risks associated with forward interest rate contracts and the effectiveness of such arrangements;</w:t>
      </w:r>
    </w:p>
    <w:p>
      <w:pPr>
        <w:spacing w:after="0" w:line="96" w:lineRule="exact"/>
        <w:rPr>
          <w:rFonts w:ascii="Arial" w:cs="Arial" w:eastAsia="Arial" w:hAnsi="Arial"/>
          <w:sz w:val="17"/>
          <w:szCs w:val="17"/>
          <w:color w:val="auto"/>
        </w:rPr>
      </w:pPr>
    </w:p>
    <w:p>
      <w:pPr>
        <w:ind w:left="1220" w:hanging="609"/>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risks associated with actual or threatened terrorist attacks;</w:t>
      </w:r>
    </w:p>
    <w:p>
      <w:pPr>
        <w:spacing w:after="0" w:line="83" w:lineRule="exact"/>
        <w:rPr>
          <w:rFonts w:ascii="Arial" w:cs="Arial" w:eastAsia="Arial" w:hAnsi="Arial"/>
          <w:sz w:val="17"/>
          <w:szCs w:val="17"/>
          <w:color w:val="auto"/>
        </w:rPr>
      </w:pPr>
    </w:p>
    <w:p>
      <w:pPr>
        <w:ind w:left="1220" w:hanging="609"/>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costs of compliance with the Americans with Disabilities Act and other similar laws;</w:t>
      </w:r>
    </w:p>
    <w:p>
      <w:pPr>
        <w:spacing w:after="0" w:line="96" w:lineRule="exact"/>
        <w:rPr>
          <w:rFonts w:ascii="Arial" w:cs="Arial" w:eastAsia="Arial" w:hAnsi="Arial"/>
          <w:sz w:val="17"/>
          <w:szCs w:val="17"/>
          <w:color w:val="auto"/>
        </w:rPr>
      </w:pPr>
    </w:p>
    <w:p>
      <w:pPr>
        <w:ind w:left="1220" w:hanging="609"/>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potential liability for uninsured losses and environmental contamination;</w:t>
      </w:r>
    </w:p>
    <w:p>
      <w:pPr>
        <w:spacing w:after="0" w:line="96" w:lineRule="exact"/>
        <w:rPr>
          <w:rFonts w:ascii="Arial" w:cs="Arial" w:eastAsia="Arial" w:hAnsi="Arial"/>
          <w:sz w:val="17"/>
          <w:szCs w:val="17"/>
          <w:color w:val="auto"/>
        </w:rPr>
      </w:pPr>
    </w:p>
    <w:p>
      <w:pPr>
        <w:ind w:left="1220" w:hanging="609"/>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risks associated with the physical effects of climate change;</w:t>
      </w:r>
    </w:p>
    <w:p>
      <w:pPr>
        <w:spacing w:after="0" w:line="83" w:lineRule="exact"/>
        <w:rPr>
          <w:rFonts w:ascii="Arial" w:cs="Arial" w:eastAsia="Arial" w:hAnsi="Arial"/>
          <w:sz w:val="17"/>
          <w:szCs w:val="17"/>
          <w:color w:val="auto"/>
        </w:rPr>
      </w:pPr>
    </w:p>
    <w:p>
      <w:pPr>
        <w:ind w:left="1220" w:right="60" w:hanging="609"/>
        <w:spacing w:after="0" w:line="283" w:lineRule="auto"/>
        <w:tabs>
          <w:tab w:leader="none" w:pos="12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risks associated with security breaches through cyber attacks, cyber intrusions or otherwise, as well as other significant disruptions of our information technology (IT) networks and related systems, which support our operations and our buildings;</w:t>
      </w:r>
    </w:p>
    <w:p>
      <w:pPr>
        <w:spacing w:after="0" w:line="33" w:lineRule="exact"/>
        <w:rPr>
          <w:rFonts w:ascii="Arial" w:cs="Arial" w:eastAsia="Arial" w:hAnsi="Arial"/>
          <w:sz w:val="17"/>
          <w:szCs w:val="17"/>
          <w:color w:val="auto"/>
        </w:rPr>
      </w:pPr>
    </w:p>
    <w:p>
      <w:pPr>
        <w:ind w:left="1220" w:hanging="609"/>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risks associated with BXP’s potential failure to qualify as a REIT under the Internal Revenue Code of 1986, as amended;</w:t>
      </w:r>
    </w:p>
    <w:p>
      <w:pPr>
        <w:spacing w:after="0" w:line="96" w:lineRule="exact"/>
        <w:rPr>
          <w:rFonts w:ascii="Arial" w:cs="Arial" w:eastAsia="Arial" w:hAnsi="Arial"/>
          <w:sz w:val="17"/>
          <w:szCs w:val="17"/>
          <w:color w:val="auto"/>
        </w:rPr>
      </w:pPr>
    </w:p>
    <w:p>
      <w:pPr>
        <w:ind w:left="1220" w:hanging="609"/>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possible adverse changes in tax and environmental laws;</w:t>
      </w:r>
    </w:p>
    <w:p>
      <w:pPr>
        <w:spacing w:after="0" w:line="83" w:lineRule="exact"/>
        <w:rPr>
          <w:rFonts w:ascii="Arial" w:cs="Arial" w:eastAsia="Arial" w:hAnsi="Arial"/>
          <w:sz w:val="17"/>
          <w:szCs w:val="17"/>
          <w:color w:val="auto"/>
        </w:rPr>
      </w:pPr>
    </w:p>
    <w:p>
      <w:pPr>
        <w:ind w:left="1220" w:hanging="609"/>
        <w:spacing w:after="0"/>
        <w:tabs>
          <w:tab w:leader="none" w:pos="1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impact of newly adopted accounting principles on our accounting policies and on period-to-period comparisons of financial results;</w:t>
      </w:r>
    </w:p>
    <w:p>
      <w:pPr>
        <w:spacing w:after="0" w:line="107" w:lineRule="exact"/>
        <w:rPr>
          <w:rFonts w:ascii="Arial" w:cs="Arial" w:eastAsia="Arial" w:hAnsi="Arial"/>
          <w:sz w:val="16"/>
          <w:szCs w:val="16"/>
          <w:color w:val="auto"/>
        </w:rPr>
      </w:pPr>
    </w:p>
    <w:p>
      <w:pPr>
        <w:ind w:left="1220" w:hanging="609"/>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risks associated with possible state and local tax audits; and</w:t>
      </w:r>
    </w:p>
    <w:p>
      <w:pPr>
        <w:spacing w:after="0" w:line="96" w:lineRule="exact"/>
        <w:rPr>
          <w:rFonts w:ascii="Arial" w:cs="Arial" w:eastAsia="Arial" w:hAnsi="Arial"/>
          <w:sz w:val="17"/>
          <w:szCs w:val="17"/>
          <w:color w:val="auto"/>
        </w:rPr>
      </w:pPr>
    </w:p>
    <w:p>
      <w:pPr>
        <w:ind w:left="1220" w:hanging="609"/>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risks associated with our dependence on key personnel whose continued service is not guaranteed.</w:t>
      </w:r>
    </w:p>
    <w:p>
      <w:pPr>
        <w:spacing w:after="0" w:line="236" w:lineRule="exact"/>
        <w:rPr>
          <w:sz w:val="20"/>
          <w:szCs w:val="20"/>
          <w:color w:val="auto"/>
        </w:rPr>
      </w:pPr>
    </w:p>
    <w:p>
      <w:pPr>
        <w:ind w:right="80" w:firstLine="419"/>
        <w:spacing w:after="0" w:line="252" w:lineRule="auto"/>
        <w:rPr>
          <w:sz w:val="20"/>
          <w:szCs w:val="20"/>
          <w:color w:val="auto"/>
        </w:rPr>
      </w:pPr>
      <w:r>
        <w:rPr>
          <w:rFonts w:ascii="Arial" w:cs="Arial" w:eastAsia="Arial" w:hAnsi="Arial"/>
          <w:sz w:val="17"/>
          <w:szCs w:val="17"/>
          <w:color w:val="auto"/>
        </w:rPr>
        <w:t>The risks set forth above are not exhaustive. Other sections of this report may include additional factors that could adversely affect our business and financial performance. Moreover, we operate in a very competitive and rapidly changing environment, particularly in light of the circumstances relating to COVID-19 and the war in Ukraine.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Investors should also refer to our most recent Annual Report on Form 10-K and Quarterly Reports on Form 10-Q for future periods and Current Reports on Form 8-K as we file them with the SEC, and to other materials we may furnish to the public from time to time through Current Reports on Form 8 -K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report.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96" w:lineRule="exact"/>
        <w:rPr>
          <w:sz w:val="20"/>
          <w:szCs w:val="20"/>
          <w:color w:val="auto"/>
        </w:rPr>
      </w:pPr>
    </w:p>
    <w:p>
      <w:pPr>
        <w:ind w:firstLine="419"/>
        <w:spacing w:after="0" w:line="253" w:lineRule="auto"/>
        <w:rPr>
          <w:sz w:val="20"/>
          <w:szCs w:val="20"/>
          <w:color w:val="auto"/>
        </w:rPr>
      </w:pPr>
      <w:r>
        <w:rPr>
          <w:rFonts w:ascii="Arial" w:cs="Arial" w:eastAsia="Arial" w:hAnsi="Arial"/>
          <w:sz w:val="17"/>
          <w:szCs w:val="17"/>
          <w:color w:val="auto"/>
        </w:rPr>
        <w:t>BXP is one of the largest publicly traded office real estate investment trusts (REITs) (based on total market capitalization as of September 30, 2022) in the United States that develops, owns, and manages primarily premier workplaces. Our properties are concentrated in six markets in the United States - Boston, Los Angeles, New York, San Francisco, Seattle, and Washington, DC. BPLP is the entity through which BXP conducts substantially all of its business and owns (either directly or through subsidiaries) substantially all of its assets. We generate revenue and cash primarily by leasing premier workplaces to our clients. When making leasing decisions, we consider, among other things, the creditworthiness of the client and the industry in which it conducts business, the length of the lease, the rental rate to be paid at inception and throughout the lease term, the costs of tenant improvements, free rent periods and other landlord concessions, anticipated operating expenses and real estate taxes, current and anticipated vacancy in our properties and the market overall (including sublease space), current and expected future demand for the space, the impact of other client’s expansion rights and general economic factors.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419"/>
        <w:spacing w:after="0" w:line="257" w:lineRule="auto"/>
        <w:rPr>
          <w:sz w:val="20"/>
          <w:szCs w:val="20"/>
          <w:color w:val="auto"/>
        </w:rPr>
      </w:pPr>
      <w:r>
        <w:rPr>
          <w:rFonts w:ascii="Arial" w:cs="Arial" w:eastAsia="Arial" w:hAnsi="Arial"/>
          <w:sz w:val="17"/>
          <w:szCs w:val="17"/>
          <w:color w:val="auto"/>
        </w:rPr>
        <w:t>Our core strategy has always been to develop, acquire and manage highest quality premier workplaces in gateway markets with high barriers-to-entry and attractive demand drivers, and to focus on executing long-term leases with financially strong clients. Our client base is diverse across market sectors and the weighted-average lease term for our in-place leases, excluding residential units, was approximately 7.8 years, as of September 30, 2022, including leases signed by our unconsolidated joint ventures. The weighted-average lease term for our 20 largest clients, based on leased square footage, was approximately 11.0 years as of September 30, 2022.</w:t>
      </w:r>
    </w:p>
    <w:p>
      <w:pPr>
        <w:spacing w:after="0" w:line="121" w:lineRule="exact"/>
        <w:rPr>
          <w:sz w:val="20"/>
          <w:szCs w:val="20"/>
          <w:color w:val="auto"/>
        </w:rPr>
      </w:pPr>
    </w:p>
    <w:p>
      <w:pPr>
        <w:ind w:right="580" w:firstLine="381"/>
        <w:spacing w:after="0" w:line="283" w:lineRule="auto"/>
        <w:rPr>
          <w:sz w:val="20"/>
          <w:szCs w:val="20"/>
          <w:color w:val="auto"/>
        </w:rPr>
      </w:pPr>
      <w:r>
        <w:rPr>
          <w:rFonts w:ascii="Arial" w:cs="Arial" w:eastAsia="Arial" w:hAnsi="Arial"/>
          <w:sz w:val="17"/>
          <w:szCs w:val="17"/>
          <w:color w:val="auto"/>
        </w:rPr>
        <w:t>To be successful in any leasing environment, we believe we must consider all aspects of the client-landlord relationship. In this regard, we believe that our competitive leasing advantage is based on the following attributes:</w:t>
      </w:r>
    </w:p>
    <w:p>
      <w:pPr>
        <w:spacing w:after="0" w:line="34" w:lineRule="exact"/>
        <w:rPr>
          <w:sz w:val="20"/>
          <w:szCs w:val="20"/>
          <w:color w:val="auto"/>
        </w:rPr>
      </w:pPr>
    </w:p>
    <w:p>
      <w:pPr>
        <w:ind w:left="760" w:hanging="302"/>
        <w:spacing w:after="0"/>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understanding of our client’s short- and long-term space utilization and amenity needs in the local markets;</w:t>
      </w:r>
    </w:p>
    <w:p>
      <w:pPr>
        <w:spacing w:after="0" w:line="83" w:lineRule="exact"/>
        <w:rPr>
          <w:rFonts w:ascii="Arial" w:cs="Arial" w:eastAsia="Arial" w:hAnsi="Arial"/>
          <w:sz w:val="17"/>
          <w:szCs w:val="17"/>
          <w:color w:val="auto"/>
        </w:rPr>
      </w:pPr>
    </w:p>
    <w:p>
      <w:pPr>
        <w:ind w:left="760" w:hanging="302"/>
        <w:spacing w:after="0"/>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track record of developing and operating premier workplaces in a sustainable and responsible manner;</w:t>
      </w:r>
    </w:p>
    <w:p>
      <w:pPr>
        <w:spacing w:after="0" w:line="96" w:lineRule="exact"/>
        <w:rPr>
          <w:rFonts w:ascii="Arial" w:cs="Arial" w:eastAsia="Arial" w:hAnsi="Arial"/>
          <w:sz w:val="17"/>
          <w:szCs w:val="17"/>
          <w:color w:val="auto"/>
        </w:rPr>
      </w:pPr>
    </w:p>
    <w:p>
      <w:pPr>
        <w:ind w:left="760" w:hanging="302"/>
        <w:spacing w:after="0"/>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reputation as a premier developer, owner and manager of the highest quality premier workplaces in our markets;</w:t>
      </w:r>
    </w:p>
    <w:p>
      <w:pPr>
        <w:spacing w:after="0" w:line="96" w:lineRule="exact"/>
        <w:rPr>
          <w:rFonts w:ascii="Arial" w:cs="Arial" w:eastAsia="Arial" w:hAnsi="Arial"/>
          <w:sz w:val="17"/>
          <w:szCs w:val="17"/>
          <w:color w:val="auto"/>
        </w:rPr>
      </w:pPr>
    </w:p>
    <w:p>
      <w:pPr>
        <w:ind w:left="760" w:hanging="302"/>
        <w:spacing w:after="0"/>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financial strength and our ability to maintain high building standards; and</w:t>
      </w:r>
    </w:p>
    <w:p>
      <w:pPr>
        <w:spacing w:after="0" w:line="83" w:lineRule="exact"/>
        <w:rPr>
          <w:rFonts w:ascii="Arial" w:cs="Arial" w:eastAsia="Arial" w:hAnsi="Arial"/>
          <w:sz w:val="17"/>
          <w:szCs w:val="17"/>
          <w:color w:val="auto"/>
        </w:rPr>
      </w:pPr>
    </w:p>
    <w:p>
      <w:pPr>
        <w:ind w:left="760" w:hanging="302"/>
        <w:spacing w:after="0"/>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relationships with local brokers.</w:t>
      </w:r>
    </w:p>
    <w:p>
      <w:pPr>
        <w:spacing w:after="0" w:line="263"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Outlook</w:t>
      </w:r>
    </w:p>
    <w:p>
      <w:pPr>
        <w:spacing w:after="0" w:line="94" w:lineRule="exact"/>
        <w:rPr>
          <w:sz w:val="20"/>
          <w:szCs w:val="20"/>
          <w:color w:val="auto"/>
        </w:rPr>
      </w:pPr>
    </w:p>
    <w:p>
      <w:pPr>
        <w:ind w:firstLine="419"/>
        <w:spacing w:after="0" w:line="260" w:lineRule="auto"/>
        <w:rPr>
          <w:sz w:val="20"/>
          <w:szCs w:val="20"/>
          <w:color w:val="auto"/>
        </w:rPr>
      </w:pPr>
      <w:r>
        <w:rPr>
          <w:rFonts w:ascii="Arial" w:cs="Arial" w:eastAsia="Arial" w:hAnsi="Arial"/>
          <w:sz w:val="17"/>
          <w:szCs w:val="17"/>
          <w:color w:val="auto"/>
        </w:rPr>
        <w:t>Over the last quarter, inflation has remained resilient. Although the U.S. GDP returned to growth in the third quarter after two consecutive quarterly contractions, consumer spending still slowed as inflation shrank buying power. The Federal Reserve remains committed to taming the fastest rising inflation in four decades by aggressively raising interest rates and are expected to continue to do so. This evolving operating environment impacts our operating activities as:</w:t>
      </w:r>
    </w:p>
    <w:p>
      <w:pPr>
        <w:spacing w:after="0" w:line="54" w:lineRule="exact"/>
        <w:rPr>
          <w:sz w:val="20"/>
          <w:szCs w:val="20"/>
          <w:color w:val="auto"/>
        </w:rPr>
      </w:pPr>
    </w:p>
    <w:p>
      <w:pPr>
        <w:ind w:left="760" w:right="160" w:hanging="302"/>
        <w:spacing w:after="0" w:line="283" w:lineRule="auto"/>
        <w:tabs>
          <w:tab w:leader="none" w:pos="7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business leaders may generally become more reticent to make large capital allocation decisions, such as entry into a new lease, given the uncertain economic environment;</w:t>
      </w:r>
    </w:p>
    <w:p>
      <w:pPr>
        <w:spacing w:after="0" w:line="21" w:lineRule="exact"/>
        <w:rPr>
          <w:rFonts w:ascii="Arial" w:cs="Arial" w:eastAsia="Arial" w:hAnsi="Arial"/>
          <w:sz w:val="17"/>
          <w:szCs w:val="17"/>
          <w:color w:val="auto"/>
        </w:rPr>
      </w:pPr>
    </w:p>
    <w:p>
      <w:pPr>
        <w:ind w:left="760" w:right="20" w:hanging="302"/>
        <w:spacing w:after="0" w:line="283" w:lineRule="auto"/>
        <w:tabs>
          <w:tab w:leader="none" w:pos="7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capital costs have increased due to higher interest rates and credit spreads, and private market debt financing, both for construction and existing assets, is significantly more challenging to arrange; and</w:t>
      </w:r>
    </w:p>
    <w:p>
      <w:pPr>
        <w:spacing w:after="0" w:line="33" w:lineRule="exact"/>
        <w:rPr>
          <w:rFonts w:ascii="Arial" w:cs="Arial" w:eastAsia="Arial" w:hAnsi="Arial"/>
          <w:sz w:val="17"/>
          <w:szCs w:val="17"/>
          <w:color w:val="auto"/>
        </w:rPr>
      </w:pPr>
    </w:p>
    <w:p>
      <w:pPr>
        <w:ind w:left="760" w:right="500" w:hanging="302"/>
        <w:spacing w:after="0" w:line="283" w:lineRule="auto"/>
        <w:tabs>
          <w:tab w:leader="none" w:pos="7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construction costs have increased for new development and, although the costs for our active development pipeline are, at this stage, relatively fixed, the cost of potential future developments continues to increase.</w:t>
      </w:r>
    </w:p>
    <w:p>
      <w:pPr>
        <w:spacing w:after="0" w:line="97" w:lineRule="exact"/>
        <w:rPr>
          <w:sz w:val="20"/>
          <w:szCs w:val="20"/>
          <w:color w:val="auto"/>
        </w:rPr>
      </w:pPr>
    </w:p>
    <w:p>
      <w:pPr>
        <w:ind w:right="580" w:firstLine="381"/>
        <w:spacing w:after="0" w:line="289" w:lineRule="auto"/>
        <w:rPr>
          <w:sz w:val="20"/>
          <w:szCs w:val="20"/>
          <w:color w:val="auto"/>
        </w:rPr>
      </w:pPr>
      <w:r>
        <w:rPr>
          <w:rFonts w:ascii="Arial" w:cs="Arial" w:eastAsia="Arial" w:hAnsi="Arial"/>
          <w:sz w:val="16"/>
          <w:szCs w:val="16"/>
          <w:color w:val="auto"/>
        </w:rPr>
        <w:t>In light of the foregoing, we believe we are positioning ourself for success, notwithstanding the uncertain trajectory of the U.S. and global economy, by managing our leverage while continuing to selectively invest (including both acquisitions and developments) in premier workplace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opportunities. We remain focused on the following priorities:</w:t>
      </w:r>
    </w:p>
    <w:p>
      <w:pPr>
        <w:spacing w:after="0" w:line="96" w:lineRule="exact"/>
        <w:rPr>
          <w:sz w:val="20"/>
          <w:szCs w:val="20"/>
          <w:color w:val="auto"/>
        </w:rPr>
      </w:pPr>
    </w:p>
    <w:p>
      <w:pPr>
        <w:ind w:left="760" w:hanging="302"/>
        <w:spacing w:after="0" w:line="260" w:lineRule="auto"/>
        <w:tabs>
          <w:tab w:leader="none" w:pos="7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continuing to embrace our leadership position in the premier workplace industry and leveraging our strength in portfolio quality, client relationships, development skills, market penetration and sustainability to profitably build market share. Premier workplaces, the preferred choice for our current and prospective clients, are gaining market share and demonstrating the highest occupancy, net absorption levels and rental rates in the central business district (“CBD”) markets where we operate;</w:t>
      </w:r>
    </w:p>
    <w:p>
      <w:pPr>
        <w:spacing w:after="0" w:line="41" w:lineRule="exact"/>
        <w:rPr>
          <w:rFonts w:ascii="Arial" w:cs="Arial" w:eastAsia="Arial" w:hAnsi="Arial"/>
          <w:sz w:val="17"/>
          <w:szCs w:val="17"/>
          <w:color w:val="auto"/>
        </w:rPr>
      </w:pPr>
    </w:p>
    <w:p>
      <w:pPr>
        <w:ind w:left="760" w:hanging="302"/>
        <w:spacing w:after="0"/>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leasing available space in our in-service and development properties, as well as proactively focusing on future lease expirations;</w:t>
      </w:r>
    </w:p>
    <w:p>
      <w:pPr>
        <w:spacing w:after="0" w:line="96" w:lineRule="exact"/>
        <w:rPr>
          <w:rFonts w:ascii="Arial" w:cs="Arial" w:eastAsia="Arial" w:hAnsi="Arial"/>
          <w:sz w:val="17"/>
          <w:szCs w:val="17"/>
          <w:color w:val="auto"/>
        </w:rPr>
      </w:pPr>
    </w:p>
    <w:p>
      <w:pPr>
        <w:ind w:left="760" w:hanging="302"/>
        <w:spacing w:after="0"/>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completing the construction and leasing of our development properties;</w:t>
      </w:r>
    </w:p>
    <w:p>
      <w:pPr>
        <w:spacing w:after="0" w:line="96" w:lineRule="exact"/>
        <w:rPr>
          <w:rFonts w:ascii="Arial" w:cs="Arial" w:eastAsia="Arial" w:hAnsi="Arial"/>
          <w:sz w:val="17"/>
          <w:szCs w:val="17"/>
          <w:color w:val="auto"/>
        </w:rPr>
      </w:pPr>
    </w:p>
    <w:p>
      <w:pPr>
        <w:ind w:left="760" w:hanging="302"/>
        <w:spacing w:after="0"/>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pursuing attractive asset class adjacencies where we have a track record of success, such as life sciences and multi-family development;</w:t>
      </w:r>
    </w:p>
    <w:p>
      <w:pPr>
        <w:spacing w:after="0" w:line="83" w:lineRule="exact"/>
        <w:rPr>
          <w:rFonts w:ascii="Arial" w:cs="Arial" w:eastAsia="Arial" w:hAnsi="Arial"/>
          <w:sz w:val="17"/>
          <w:szCs w:val="17"/>
          <w:color w:val="auto"/>
        </w:rPr>
      </w:pPr>
    </w:p>
    <w:p>
      <w:pPr>
        <w:ind w:left="760" w:hanging="302"/>
        <w:spacing w:after="0"/>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continuing to raise the bar in the quality of our portfolio and actively recycle capital by selling assets, subject to market condition;</w:t>
      </w:r>
    </w:p>
    <w:p>
      <w:pPr>
        <w:spacing w:after="0" w:line="96" w:lineRule="exact"/>
        <w:rPr>
          <w:rFonts w:ascii="Arial" w:cs="Arial" w:eastAsia="Arial" w:hAnsi="Arial"/>
          <w:sz w:val="17"/>
          <w:szCs w:val="17"/>
          <w:color w:val="auto"/>
        </w:rPr>
      </w:pPr>
    </w:p>
    <w:p>
      <w:pPr>
        <w:ind w:left="760" w:hanging="302"/>
        <w:spacing w:after="0"/>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actively managing our operations in a sustainable and responsible manner; and</w:t>
      </w:r>
    </w:p>
    <w:p>
      <w:pPr>
        <w:spacing w:after="0" w:line="96" w:lineRule="exact"/>
        <w:rPr>
          <w:rFonts w:ascii="Arial" w:cs="Arial" w:eastAsia="Arial" w:hAnsi="Arial"/>
          <w:sz w:val="17"/>
          <w:szCs w:val="17"/>
          <w:color w:val="auto"/>
        </w:rPr>
      </w:pPr>
    </w:p>
    <w:p>
      <w:pPr>
        <w:ind w:left="760" w:right="40" w:hanging="302"/>
        <w:spacing w:after="0" w:line="283" w:lineRule="auto"/>
        <w:tabs>
          <w:tab w:leader="none" w:pos="7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prioritizing risk management by actively managing liquidity, investing more extensively with joint venture partners to manage our debt levels, and being highly selective in new investment commitments.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is an overview of leasing and investment activity in the third quarter of 2022.</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Leasing Activity and Occupancy</w:t>
      </w:r>
    </w:p>
    <w:p>
      <w:pPr>
        <w:spacing w:after="0" w:line="94" w:lineRule="exact"/>
        <w:rPr>
          <w:sz w:val="20"/>
          <w:szCs w:val="20"/>
          <w:color w:val="auto"/>
        </w:rPr>
      </w:pPr>
    </w:p>
    <w:p>
      <w:pPr>
        <w:jc w:val="both"/>
        <w:ind w:right="400" w:firstLine="381"/>
        <w:spacing w:after="0" w:line="290" w:lineRule="auto"/>
        <w:rPr>
          <w:sz w:val="20"/>
          <w:szCs w:val="20"/>
          <w:color w:val="auto"/>
        </w:rPr>
      </w:pPr>
      <w:r>
        <w:rPr>
          <w:rFonts w:ascii="Arial" w:cs="Arial" w:eastAsia="Arial" w:hAnsi="Arial"/>
          <w:sz w:val="16"/>
          <w:szCs w:val="16"/>
          <w:color w:val="auto"/>
        </w:rPr>
        <w:t>In the third quarter of 2022, we signed approximately 1.4 million square feet of new leases and renewals, our strongest third quarter leasing volume since 2019. These leases have a weighted-average lease term of approximately 9.8 years, indicating that many new and existing clients continue to commit to the long-term use of space and view our properties as their preferred choice for a premier workplace environment.</w:t>
      </w:r>
    </w:p>
    <w:p>
      <w:pPr>
        <w:spacing w:after="0" w:line="95" w:lineRule="exact"/>
        <w:rPr>
          <w:sz w:val="20"/>
          <w:szCs w:val="20"/>
          <w:color w:val="auto"/>
        </w:rPr>
      </w:pPr>
    </w:p>
    <w:p>
      <w:pPr>
        <w:jc w:val="both"/>
        <w:ind w:right="100" w:firstLine="381"/>
        <w:spacing w:after="0" w:line="260" w:lineRule="auto"/>
        <w:rPr>
          <w:sz w:val="20"/>
          <w:szCs w:val="20"/>
          <w:color w:val="auto"/>
        </w:rPr>
      </w:pPr>
      <w:r>
        <w:rPr>
          <w:rFonts w:ascii="Arial" w:cs="Arial" w:eastAsia="Arial" w:hAnsi="Arial"/>
          <w:sz w:val="17"/>
          <w:szCs w:val="17"/>
          <w:color w:val="auto"/>
        </w:rPr>
        <w:t>The overall occupancy of our in-service office and retail properties was 88.9% at September 30, 2022, a decrease of 60 basis points from June 30, 2022. We experienced a slight decline in occupancy as we wait for recently signed leases to commence. We also removed three assets from our in-service portfolio: 601 Massachusetts Avenue, which was approximately 98% leased prior to its sale, 140 Kendrick Street Building A, which is now under redevelopment and 100% pre-leased, and 760 Boylston Street which is in redevelopment and 100% pre-leased.</w:t>
      </w:r>
    </w:p>
    <w:p>
      <w:pPr>
        <w:spacing w:after="0" w:line="118" w:lineRule="exact"/>
        <w:rPr>
          <w:sz w:val="20"/>
          <w:szCs w:val="20"/>
          <w:color w:val="auto"/>
        </w:rPr>
      </w:pPr>
    </w:p>
    <w:p>
      <w:pPr>
        <w:ind w:right="40" w:firstLine="381"/>
        <w:spacing w:after="0" w:line="257" w:lineRule="auto"/>
        <w:rPr>
          <w:sz w:val="20"/>
          <w:szCs w:val="20"/>
          <w:color w:val="auto"/>
        </w:rPr>
      </w:pPr>
      <w:r>
        <w:rPr>
          <w:rFonts w:ascii="Arial" w:cs="Arial" w:eastAsia="Arial" w:hAnsi="Arial"/>
          <w:sz w:val="17"/>
          <w:szCs w:val="17"/>
          <w:color w:val="auto"/>
        </w:rPr>
        <w:t>The macroeconomic environment has resulted in softening demand in all of our markets. While tours continue and leases under negotiation move forward, there is less urgency from clients to make new commitments. Potential clients touring space acknowledge that economic uncertainty is impacting space decisions. As we consider our expectations for leasing in 2023, we are factoring in the impacts of a slower economy, softer business performance, and reduced demand for space. We expect the bulk of our leasing will continue to come from small and medium-sized professional and financial services firms.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Investment Activity</w:t>
      </w:r>
    </w:p>
    <w:p>
      <w:pPr>
        <w:spacing w:after="0" w:line="82" w:lineRule="exact"/>
        <w:rPr>
          <w:sz w:val="20"/>
          <w:szCs w:val="20"/>
          <w:color w:val="auto"/>
        </w:rPr>
      </w:pPr>
    </w:p>
    <w:p>
      <w:pPr>
        <w:ind w:right="320" w:firstLine="381"/>
        <w:spacing w:after="0" w:line="260" w:lineRule="auto"/>
        <w:rPr>
          <w:sz w:val="20"/>
          <w:szCs w:val="20"/>
          <w:color w:val="auto"/>
        </w:rPr>
      </w:pPr>
      <w:r>
        <w:rPr>
          <w:rFonts w:ascii="Arial" w:cs="Arial" w:eastAsia="Arial" w:hAnsi="Arial"/>
          <w:sz w:val="17"/>
          <w:szCs w:val="17"/>
          <w:color w:val="auto"/>
        </w:rPr>
        <w:t>We remain committed to developing and acquiring assets to enhance our long-term growth and to meet client demand for high-quality office, residential, and life sciences space. We continually evaluate current and prospective markets for possible acquisitions of “value-add” assets that require lease-up or repositioning, and acquisitions that are otherwise consistent with our long-term strategy of owning, managing, developing, and improving premier workplaces in each of our chosen markets.</w:t>
      </w:r>
    </w:p>
    <w:p>
      <w:pPr>
        <w:spacing w:after="0" w:line="118" w:lineRule="exact"/>
        <w:rPr>
          <w:sz w:val="20"/>
          <w:szCs w:val="20"/>
          <w:color w:val="auto"/>
        </w:rPr>
      </w:pPr>
    </w:p>
    <w:p>
      <w:pPr>
        <w:ind w:firstLine="381"/>
        <w:spacing w:after="0" w:line="257" w:lineRule="auto"/>
        <w:rPr>
          <w:sz w:val="20"/>
          <w:szCs w:val="20"/>
          <w:color w:val="auto"/>
        </w:rPr>
      </w:pPr>
      <w:r>
        <w:rPr>
          <w:rFonts w:ascii="Arial" w:cs="Arial" w:eastAsia="Arial" w:hAnsi="Arial"/>
          <w:sz w:val="17"/>
          <w:szCs w:val="17"/>
          <w:color w:val="auto"/>
        </w:rPr>
        <w:t>Consistent with this strategy, in September 2022, we further expanded our life sciences portfolio in Kendall Square in Cambridge, Massachusetts by completing the acquisition of 125 Broadway for a purchase price, including transaction costs, of approximately $592.4 million. 125 Broadway is a six-story, 271,000 square foot laboratory/life sciences property adjacent to our existing 2.2 million square foot portfolio in the heart of Kendall Square. Kendall Square is considered to be among the largest and most important cluster of life sciences companies and research space in the United States. This property is 100% leased.</w:t>
      </w:r>
    </w:p>
    <w:p>
      <w:pPr>
        <w:spacing w:after="0" w:line="121" w:lineRule="exact"/>
        <w:rPr>
          <w:sz w:val="20"/>
          <w:szCs w:val="20"/>
          <w:color w:val="auto"/>
        </w:rPr>
      </w:pPr>
    </w:p>
    <w:p>
      <w:pPr>
        <w:ind w:right="80" w:firstLine="381"/>
        <w:spacing w:after="0" w:line="254" w:lineRule="auto"/>
        <w:rPr>
          <w:sz w:val="20"/>
          <w:szCs w:val="20"/>
          <w:color w:val="auto"/>
        </w:rPr>
      </w:pPr>
      <w:r>
        <w:rPr>
          <w:rFonts w:ascii="Arial" w:cs="Arial" w:eastAsia="Arial" w:hAnsi="Arial"/>
          <w:sz w:val="17"/>
          <w:szCs w:val="17"/>
          <w:color w:val="auto"/>
        </w:rPr>
        <w:t>In October of 2022, we entered into an agreement to acquire an approximate 27% interest in the joint venture that owns 200 Fifth Avenue, a 14-story, approximately 870,000 square-foot, LEED Gold certified, premier workplace located in New York City that is approximately 93% leased. The acquisition of the joint venture interest will be our second investment in the vibrant Midtown South neighborhood in the past twelve months. We will serve as the managing member and provide customary leasing and property management services for the joint venture. We expect to close the acquisition in the fourth quarter of 2022 for a gross purchase price of approximately $280.2 million, which includes $120.1 million of cash and our pro rata share of the outstanding loan secured by the property of $160.1 million. The mortgage loan bears interest at 4.34% per annum and matures in November 2028. There can be no assurance that we will complete the acquisition on the terms currently contemplated or at all.</w:t>
      </w:r>
    </w:p>
    <w:p>
      <w:pPr>
        <w:spacing w:after="0" w:line="126" w:lineRule="exact"/>
        <w:rPr>
          <w:sz w:val="20"/>
          <w:szCs w:val="20"/>
          <w:color w:val="auto"/>
        </w:rPr>
      </w:pPr>
    </w:p>
    <w:p>
      <w:pPr>
        <w:ind w:right="340" w:firstLine="381"/>
        <w:spacing w:after="0" w:line="260" w:lineRule="auto"/>
        <w:rPr>
          <w:sz w:val="20"/>
          <w:szCs w:val="20"/>
          <w:color w:val="auto"/>
        </w:rPr>
      </w:pPr>
      <w:r>
        <w:rPr>
          <w:rFonts w:ascii="Arial" w:cs="Arial" w:eastAsia="Arial" w:hAnsi="Arial"/>
          <w:sz w:val="17"/>
          <w:szCs w:val="17"/>
          <w:color w:val="auto"/>
        </w:rPr>
        <w:t>As of September 30, 2022, our development/redevelopment pipeline consists of 14 properties that, when completed, we expect will total approximately 4.4 million square feet. Our share of the estimated total cost for these projects is approximately $2.7 billion, of which approximately $948.2 million remained to be invested. The total development pipeline, inclusive of both office and laboratory/life sciences developments, but excluding the View Boston Observatory at the Prudential Center and Reston Next Residential, is 52% pre-leased.</w:t>
      </w:r>
    </w:p>
    <w:p>
      <w:pPr>
        <w:spacing w:after="0" w:line="118" w:lineRule="exact"/>
        <w:rPr>
          <w:sz w:val="20"/>
          <w:szCs w:val="20"/>
          <w:color w:val="auto"/>
        </w:rPr>
      </w:pPr>
    </w:p>
    <w:p>
      <w:pPr>
        <w:ind w:right="160" w:firstLine="381"/>
        <w:spacing w:after="0" w:line="297" w:lineRule="auto"/>
        <w:rPr>
          <w:sz w:val="20"/>
          <w:szCs w:val="20"/>
          <w:color w:val="auto"/>
        </w:rPr>
      </w:pPr>
      <w:r>
        <w:rPr>
          <w:rFonts w:ascii="Arial" w:cs="Arial" w:eastAsia="Arial" w:hAnsi="Arial"/>
          <w:sz w:val="17"/>
          <w:szCs w:val="17"/>
          <w:color w:val="auto"/>
        </w:rPr>
        <w:t>As we continue to focus on new investments to drive future growth, we regularly review our portfolio to identify properties as potential sales candidates that either no longer fit within our portfolio strategy or could attract premium pricing in the current market. In the third quarter of 2022, we completed the disposition of:</w:t>
      </w:r>
    </w:p>
    <w:p>
      <w:pPr>
        <w:spacing w:after="0" w:line="87" w:lineRule="exact"/>
        <w:rPr>
          <w:sz w:val="20"/>
          <w:szCs w:val="20"/>
          <w:color w:val="auto"/>
        </w:rPr>
      </w:pPr>
    </w:p>
    <w:p>
      <w:pPr>
        <w:ind w:left="760" w:right="260" w:hanging="302"/>
        <w:spacing w:after="0" w:line="266" w:lineRule="auto"/>
        <w:tabs>
          <w:tab w:leader="none" w:pos="756" w:val="left"/>
        </w:tabs>
        <w:numPr>
          <w:ilvl w:val="0"/>
          <w:numId w:val="26"/>
        </w:numPr>
        <w:rPr>
          <w:rFonts w:ascii="Arial" w:cs="Arial" w:eastAsia="Arial" w:hAnsi="Arial"/>
          <w:sz w:val="17"/>
          <w:szCs w:val="17"/>
          <w:color w:val="auto"/>
        </w:rPr>
      </w:pPr>
      <w:r>
        <w:rPr>
          <w:rFonts w:ascii="Arial" w:cs="Arial" w:eastAsia="Arial" w:hAnsi="Arial"/>
          <w:sz w:val="17"/>
          <w:szCs w:val="17"/>
          <w:color w:val="auto"/>
        </w:rPr>
        <w:t>601 Massachusetts Avenue located in Washington, DC for a gross sale price of $531.0 million. Net cash proceeds totaled approximately $512.3 million resulting in a gain on sale of real estate totaling approximately $237.4 million for BXP and $237.5 million for BPLP. 601 Massachusetts Avenue is an 11-</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275" w:right="37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60" w:right="600"/>
        <w:spacing w:after="0" w:line="283" w:lineRule="auto"/>
        <w:rPr>
          <w:sz w:val="20"/>
          <w:szCs w:val="20"/>
          <w:color w:val="auto"/>
        </w:rPr>
      </w:pPr>
      <w:r>
        <w:rPr>
          <w:rFonts w:ascii="Arial" w:cs="Arial" w:eastAsia="Arial" w:hAnsi="Arial"/>
          <w:sz w:val="17"/>
          <w:szCs w:val="17"/>
          <w:color w:val="auto"/>
        </w:rPr>
        <w:t>story, approximately 479,000 square foot premier workplace originally developed by us in 2013. We will continue to provide property management services to the new owner.</w:t>
      </w:r>
    </w:p>
    <w:p>
      <w:pPr>
        <w:spacing w:after="0" w:line="34" w:lineRule="exact"/>
        <w:rPr>
          <w:sz w:val="20"/>
          <w:szCs w:val="20"/>
          <w:color w:val="auto"/>
        </w:rPr>
      </w:pPr>
    </w:p>
    <w:p>
      <w:pPr>
        <w:ind w:left="760" w:right="360" w:hanging="302"/>
        <w:spacing w:after="0" w:line="283" w:lineRule="auto"/>
        <w:tabs>
          <w:tab w:leader="none" w:pos="756" w:val="left"/>
        </w:tabs>
        <w:numPr>
          <w:ilvl w:val="0"/>
          <w:numId w:val="27"/>
        </w:numPr>
        <w:rPr>
          <w:rFonts w:ascii="Arial" w:cs="Arial" w:eastAsia="Arial" w:hAnsi="Arial"/>
          <w:sz w:val="17"/>
          <w:szCs w:val="17"/>
          <w:color w:val="auto"/>
        </w:rPr>
      </w:pPr>
      <w:r>
        <w:rPr>
          <w:rFonts w:ascii="Arial" w:cs="Arial" w:eastAsia="Arial" w:hAnsi="Arial"/>
          <w:sz w:val="17"/>
          <w:szCs w:val="17"/>
          <w:color w:val="auto"/>
        </w:rPr>
        <w:t>Land parcels located in Loudoun County, Virginia for a gross sale price of $27.0 million. Net cash proceeds totaled approximately $25.6 million resulting in a gain on sale of real estate totaling approximately $24.4 million.</w:t>
      </w:r>
    </w:p>
    <w:p>
      <w:pPr>
        <w:spacing w:after="0" w:line="97" w:lineRule="exact"/>
        <w:rPr>
          <w:sz w:val="20"/>
          <w:szCs w:val="20"/>
          <w:color w:val="auto"/>
        </w:rPr>
      </w:pPr>
    </w:p>
    <w:p>
      <w:pPr>
        <w:ind w:right="80" w:firstLine="381"/>
        <w:spacing w:after="0" w:line="257" w:lineRule="auto"/>
        <w:rPr>
          <w:sz w:val="20"/>
          <w:szCs w:val="20"/>
          <w:color w:val="auto"/>
        </w:rPr>
      </w:pPr>
      <w:r>
        <w:rPr>
          <w:rFonts w:ascii="Arial" w:cs="Arial" w:eastAsia="Arial" w:hAnsi="Arial"/>
          <w:sz w:val="17"/>
          <w:szCs w:val="17"/>
          <w:color w:val="auto"/>
        </w:rPr>
        <w:t>In October of 2022, we entered into an agreement to sell the residential component of The Avant at Reston Town Center located in Reston, Virginia. The Avant is a 15-story, approximately 329,000 square foot, excluding retail space, 359-unit, luxury multifamily building that was 95% occupied, as of September 30, 2022. We will retain ownership of the approximately 26,000 square foot ground-level retail space. We expect to complete the transaction in the fourth quarter of 2022 for a gross sale price of $141 million. There can be no assurance that we will complete the sale on the terms currently contemplated or at all.</w:t>
      </w:r>
    </w:p>
    <w:p>
      <w:pPr>
        <w:spacing w:after="0" w:line="121" w:lineRule="exact"/>
        <w:rPr>
          <w:sz w:val="20"/>
          <w:szCs w:val="20"/>
          <w:color w:val="auto"/>
        </w:rPr>
      </w:pPr>
    </w:p>
    <w:p>
      <w:pPr>
        <w:ind w:right="680" w:firstLine="381"/>
        <w:spacing w:after="0" w:line="283" w:lineRule="auto"/>
        <w:rPr>
          <w:sz w:val="20"/>
          <w:szCs w:val="20"/>
          <w:color w:val="auto"/>
        </w:rPr>
      </w:pPr>
      <w:r>
        <w:rPr>
          <w:rFonts w:ascii="Arial" w:cs="Arial" w:eastAsia="Arial" w:hAnsi="Arial"/>
          <w:sz w:val="17"/>
          <w:szCs w:val="17"/>
          <w:color w:val="auto"/>
        </w:rPr>
        <w:t>We do not anticipate any further dispositions in 2022. Assuming the completion of the sale of The Avant, our total dispositions in 2022 is projected to be approximately $864 million.</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 brief overview of each of our markets follows.</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Boston</w:t>
      </w:r>
    </w:p>
    <w:p>
      <w:pPr>
        <w:spacing w:after="0" w:line="82" w:lineRule="exact"/>
        <w:rPr>
          <w:sz w:val="20"/>
          <w:szCs w:val="20"/>
          <w:color w:val="auto"/>
        </w:rPr>
      </w:pPr>
    </w:p>
    <w:p>
      <w:pPr>
        <w:ind w:right="420" w:firstLine="381"/>
        <w:spacing w:after="0" w:line="266" w:lineRule="auto"/>
        <w:rPr>
          <w:sz w:val="20"/>
          <w:szCs w:val="20"/>
          <w:color w:val="auto"/>
        </w:rPr>
      </w:pPr>
      <w:r>
        <w:rPr>
          <w:rFonts w:ascii="Arial" w:cs="Arial" w:eastAsia="Arial" w:hAnsi="Arial"/>
          <w:sz w:val="17"/>
          <w:szCs w:val="17"/>
          <w:color w:val="auto"/>
        </w:rPr>
        <w:t>During the third quarter of 2022, we signed approximately 800,000 square feet of leases and approximately 238,000 square feet of leases commenced in the Boston region. Approximately 180,000 square feet of the leases that commenced had been vacant for less than one year and represent an increase in net rental obligations of approximately 28% over the prior leases.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Boston CBD in-service portfolio was approximately 95% leased as of September 30, 2022.</w:t>
      </w:r>
    </w:p>
    <w:p>
      <w:pPr>
        <w:spacing w:after="0" w:line="160" w:lineRule="exact"/>
        <w:rPr>
          <w:sz w:val="20"/>
          <w:szCs w:val="20"/>
          <w:color w:val="auto"/>
        </w:rPr>
      </w:pPr>
    </w:p>
    <w:p>
      <w:pPr>
        <w:ind w:right="120" w:firstLine="381"/>
        <w:spacing w:after="0" w:line="256" w:lineRule="auto"/>
        <w:rPr>
          <w:sz w:val="20"/>
          <w:szCs w:val="20"/>
          <w:color w:val="auto"/>
        </w:rPr>
      </w:pPr>
      <w:r>
        <w:rPr>
          <w:rFonts w:ascii="Arial" w:cs="Arial" w:eastAsia="Arial" w:hAnsi="Arial"/>
          <w:sz w:val="17"/>
          <w:szCs w:val="17"/>
          <w:color w:val="auto"/>
        </w:rPr>
        <w:t>Our approximately 2.7 million square foot in-service office portfolio in Cambridge was approximately 96% leased as of September 30, 2022. We and Biogen Inc. terminated Biogen’s lease at 300 Binney Street in Kendall Square to facilitate the conversion and expansion of the property, which is expected to begin in early 2023. Biogen will be vacating the property in phases through early 2023. 300 Binney Street is currently an approximately 195,000 net rentable square foot property that will be redeveloped into an approximately 240,000 net rentable square foot laboratory/life sciences space for The Broad Institute who has signed a lease for 100% of the laboratory/life sciences space. There can be no assurance that we will commence the redevelopment on the terms and schedule currently contemplated or at all.</w:t>
      </w:r>
    </w:p>
    <w:p>
      <w:pPr>
        <w:spacing w:after="0" w:line="120" w:lineRule="exact"/>
        <w:rPr>
          <w:sz w:val="20"/>
          <w:szCs w:val="20"/>
          <w:color w:val="auto"/>
        </w:rPr>
      </w:pPr>
    </w:p>
    <w:p>
      <w:pPr>
        <w:ind w:firstLine="381"/>
        <w:spacing w:after="0" w:line="266" w:lineRule="auto"/>
        <w:rPr>
          <w:sz w:val="20"/>
          <w:szCs w:val="20"/>
          <w:color w:val="auto"/>
        </w:rPr>
      </w:pPr>
      <w:r>
        <w:rPr>
          <w:rFonts w:ascii="Arial" w:cs="Arial" w:eastAsia="Arial" w:hAnsi="Arial"/>
          <w:sz w:val="17"/>
          <w:szCs w:val="17"/>
          <w:color w:val="auto"/>
        </w:rPr>
        <w:t>Our Route 128-Mass Turnpike portfolio is comprised of approximately 4.7 million square feet and was approximately 83% leased as of September 30, 2022. We partially placed in-service 880 Winter Street, an approximately 244,000 square foot laboratory/life sciences project located in Waltham, Massachusetts. The project is 97% pre-leased, as of November 1, 2022.</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Los Angeles</w:t>
      </w:r>
    </w:p>
    <w:p>
      <w:pPr>
        <w:spacing w:after="0" w:line="94" w:lineRule="exact"/>
        <w:rPr>
          <w:sz w:val="20"/>
          <w:szCs w:val="20"/>
          <w:color w:val="auto"/>
        </w:rPr>
      </w:pPr>
    </w:p>
    <w:p>
      <w:pPr>
        <w:ind w:firstLine="381"/>
        <w:spacing w:after="0" w:line="266" w:lineRule="auto"/>
        <w:rPr>
          <w:sz w:val="20"/>
          <w:szCs w:val="20"/>
          <w:color w:val="auto"/>
        </w:rPr>
      </w:pPr>
      <w:r>
        <w:rPr>
          <w:rFonts w:ascii="Arial" w:cs="Arial" w:eastAsia="Arial" w:hAnsi="Arial"/>
          <w:sz w:val="17"/>
          <w:szCs w:val="17"/>
          <w:color w:val="auto"/>
        </w:rPr>
        <w:t>Our Los Angeles (“LA”) in-service portfolio of approximately 2.3 million square feet is currently focused in West LA and includes Colorado Center, an approximately 1.1 million square foot property of which we own 50%, and Santa Monica Business Park, a 21-building, approximately 1.2 million square foot property of which we own 55%. As of September 30, 2022, our LA in-service properties were approximately 90% leased.</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New York</w:t>
      </w:r>
    </w:p>
    <w:p>
      <w:pPr>
        <w:spacing w:after="0" w:line="94" w:lineRule="exact"/>
        <w:rPr>
          <w:sz w:val="20"/>
          <w:szCs w:val="20"/>
          <w:color w:val="auto"/>
        </w:rPr>
      </w:pPr>
    </w:p>
    <w:p>
      <w:pPr>
        <w:ind w:right="120" w:firstLine="381"/>
        <w:spacing w:after="0" w:line="260" w:lineRule="auto"/>
        <w:rPr>
          <w:sz w:val="20"/>
          <w:szCs w:val="20"/>
          <w:color w:val="auto"/>
        </w:rPr>
      </w:pPr>
      <w:r>
        <w:rPr>
          <w:rFonts w:ascii="Arial" w:cs="Arial" w:eastAsia="Arial" w:hAnsi="Arial"/>
          <w:sz w:val="17"/>
          <w:szCs w:val="17"/>
          <w:color w:val="auto"/>
        </w:rPr>
        <w:t>During the third quarter of 2022, we executed approximately 290,000 square feet of leases in the New York region and approximately 704,000 square feet of leases commenced. Approximately 578,000 square feet of the leases that commenced in the third quarter had been vacant for less than one year and they represent a decrease in net rental obligations of approximately 4% over the prior leases. As of September 30, 2022, our New York CBD in-service portfolio was approximately 89% leased.</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San Francisco</w:t>
      </w:r>
    </w:p>
    <w:p>
      <w:pPr>
        <w:spacing w:after="0" w:line="82" w:lineRule="exact"/>
        <w:rPr>
          <w:sz w:val="20"/>
          <w:szCs w:val="20"/>
          <w:color w:val="auto"/>
        </w:rPr>
      </w:pPr>
    </w:p>
    <w:p>
      <w:pPr>
        <w:ind w:right="160" w:firstLine="381"/>
        <w:spacing w:after="0" w:line="266" w:lineRule="auto"/>
        <w:rPr>
          <w:sz w:val="20"/>
          <w:szCs w:val="20"/>
          <w:color w:val="auto"/>
        </w:rPr>
      </w:pPr>
      <w:r>
        <w:rPr>
          <w:rFonts w:ascii="Arial" w:cs="Arial" w:eastAsia="Arial" w:hAnsi="Arial"/>
          <w:sz w:val="17"/>
          <w:szCs w:val="17"/>
          <w:color w:val="auto"/>
        </w:rPr>
        <w:t>During the third quarter of 2022, we executed approximately 165,000 square feet of leases and approximately 271,000 square feet of leases commenced in the San Francisco region. Approximately 169,000 square feet of leases that commenced had been vacant for less than one year and represent an increase in net rental obligations of approximately 3% over the prior leases.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San Francisco CBD in-service properties were approximately 89% leased as of September 30, 2022.</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Seattle</w:t>
      </w:r>
    </w:p>
    <w:p>
      <w:pPr>
        <w:spacing w:after="0" w:line="94" w:lineRule="exact"/>
        <w:rPr>
          <w:sz w:val="20"/>
          <w:szCs w:val="20"/>
          <w:color w:val="auto"/>
        </w:rPr>
      </w:pPr>
    </w:p>
    <w:p>
      <w:pPr>
        <w:ind w:right="100" w:firstLine="381"/>
        <w:spacing w:after="0" w:line="315" w:lineRule="auto"/>
        <w:rPr>
          <w:sz w:val="20"/>
          <w:szCs w:val="20"/>
          <w:color w:val="auto"/>
        </w:rPr>
      </w:pPr>
      <w:r>
        <w:rPr>
          <w:rFonts w:ascii="Arial" w:cs="Arial" w:eastAsia="Arial" w:hAnsi="Arial"/>
          <w:sz w:val="16"/>
          <w:szCs w:val="16"/>
          <w:color w:val="auto"/>
        </w:rPr>
        <w:t>Our Seattle in-service portfolio includes Safeco Plaza, an approximately 778,000 square foot property of which we own 33.67%, and Madison Centre, an approximately 755,000 square foot property. As of September 30, 2022, our Seattle in-service properties were approximately 89% leased.</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Washington, DC</w:t>
      </w:r>
    </w:p>
    <w:p>
      <w:pPr>
        <w:spacing w:after="0" w:line="82" w:lineRule="exact"/>
        <w:rPr>
          <w:sz w:val="20"/>
          <w:szCs w:val="20"/>
          <w:color w:val="auto"/>
        </w:rPr>
      </w:pPr>
    </w:p>
    <w:p>
      <w:pPr>
        <w:ind w:right="80" w:firstLine="381"/>
        <w:spacing w:after="0" w:line="260" w:lineRule="auto"/>
        <w:rPr>
          <w:sz w:val="20"/>
          <w:szCs w:val="20"/>
          <w:color w:val="auto"/>
        </w:rPr>
      </w:pPr>
      <w:r>
        <w:rPr>
          <w:rFonts w:ascii="Arial" w:cs="Arial" w:eastAsia="Arial" w:hAnsi="Arial"/>
          <w:sz w:val="17"/>
          <w:szCs w:val="17"/>
          <w:color w:val="auto"/>
        </w:rPr>
        <w:t>During the third quarter of 2022, we executed approximately 163,000 square feet of leases and approximately 526,000 square feet of leases commenced in the Washington, DC region. Approximately 455,000 square feet of the leases that commenced had been vacant for less than one year and represent a decrease in net rental obligations of approximately 9% over the prior leases. Our Washington, DC CBD in-service properties were approximately 84% leased as of September 30, 2022.</w:t>
      </w:r>
    </w:p>
    <w:p>
      <w:pPr>
        <w:spacing w:after="0" w:line="118" w:lineRule="exact"/>
        <w:rPr>
          <w:sz w:val="20"/>
          <w:szCs w:val="20"/>
          <w:color w:val="auto"/>
        </w:rPr>
      </w:pPr>
    </w:p>
    <w:p>
      <w:pPr>
        <w:ind w:firstLine="381"/>
        <w:spacing w:after="0" w:line="266" w:lineRule="auto"/>
        <w:rPr>
          <w:sz w:val="20"/>
          <w:szCs w:val="20"/>
          <w:color w:val="auto"/>
        </w:rPr>
      </w:pPr>
      <w:r>
        <w:rPr>
          <w:rFonts w:ascii="Arial" w:cs="Arial" w:eastAsia="Arial" w:hAnsi="Arial"/>
          <w:sz w:val="17"/>
          <w:szCs w:val="17"/>
          <w:color w:val="auto"/>
        </w:rPr>
        <w:t>A significant component of our Washington DC regional portfolio is in Reston Town Center, an award-winning mixed-use development in Northern Virginia. Reston is a hub for technology, cloud services, cybersecurity and defense intelligence companies. Our Reston, Virginia properties were approximately 92% leased as of September 30, 2022.</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Leasing Statistics</w:t>
      </w:r>
    </w:p>
    <w:p>
      <w:pPr>
        <w:spacing w:after="0" w:line="82" w:lineRule="exact"/>
        <w:rPr>
          <w:sz w:val="20"/>
          <w:szCs w:val="20"/>
          <w:color w:val="auto"/>
        </w:rPr>
      </w:pPr>
    </w:p>
    <w:p>
      <w:pPr>
        <w:ind w:right="480" w:firstLine="381"/>
        <w:spacing w:after="0" w:line="283" w:lineRule="auto"/>
        <w:rPr>
          <w:sz w:val="20"/>
          <w:szCs w:val="20"/>
          <w:color w:val="auto"/>
        </w:rPr>
      </w:pPr>
      <w:r>
        <w:rPr>
          <w:rFonts w:ascii="Arial" w:cs="Arial" w:eastAsia="Arial" w:hAnsi="Arial"/>
          <w:sz w:val="17"/>
          <w:szCs w:val="17"/>
          <w:color w:val="auto"/>
        </w:rPr>
        <w:t>The table below details the leasing activity, including 100% of the unconsolidated joint ventures, that commenced during the three and nine months ended September 30, 2022:</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20" w:type="dxa"/>
            <w:vAlign w:val="bottom"/>
          </w:tcPr>
          <w:p>
            <w:pPr>
              <w:spacing w:after="0"/>
              <w:rPr>
                <w:sz w:val="14"/>
                <w:szCs w:val="14"/>
                <w:color w:val="auto"/>
              </w:rPr>
            </w:pPr>
          </w:p>
        </w:tc>
        <w:tc>
          <w:tcPr>
            <w:tcW w:w="2880" w:type="dxa"/>
            <w:vAlign w:val="bottom"/>
            <w:gridSpan w:val="3"/>
          </w:tcPr>
          <w:p>
            <w:pPr>
              <w:jc w:val="center"/>
              <w:ind w:right="660"/>
              <w:spacing w:after="0"/>
              <w:rPr>
                <w:sz w:val="20"/>
                <w:szCs w:val="20"/>
                <w:color w:val="auto"/>
              </w:rPr>
            </w:pPr>
            <w:r>
              <w:rPr>
                <w:rFonts w:ascii="Arial" w:cs="Arial" w:eastAsia="Arial" w:hAnsi="Arial"/>
                <w:sz w:val="15"/>
                <w:szCs w:val="15"/>
                <w:b w:val="1"/>
                <w:bCs w:val="1"/>
                <w:color w:val="auto"/>
              </w:rPr>
              <w:t>Three months ended</w:t>
            </w:r>
          </w:p>
        </w:tc>
        <w:tc>
          <w:tcPr>
            <w:tcW w:w="1840" w:type="dxa"/>
            <w:vAlign w:val="bottom"/>
          </w:tcPr>
          <w:p>
            <w:pPr>
              <w:jc w:val="right"/>
              <w:ind w:right="316"/>
              <w:spacing w:after="0"/>
              <w:rPr>
                <w:sz w:val="20"/>
                <w:szCs w:val="20"/>
                <w:color w:val="auto"/>
              </w:rPr>
            </w:pPr>
            <w:r>
              <w:rPr>
                <w:rFonts w:ascii="Arial" w:cs="Arial" w:eastAsia="Arial" w:hAnsi="Arial"/>
                <w:sz w:val="15"/>
                <w:szCs w:val="15"/>
                <w:b w:val="1"/>
                <w:bCs w:val="1"/>
                <w:color w:val="auto"/>
              </w:rPr>
              <w:t>Nine months ended</w:t>
            </w:r>
          </w:p>
        </w:tc>
      </w:tr>
      <w:tr>
        <w:trPr>
          <w:trHeight w:val="203"/>
        </w:trPr>
        <w:tc>
          <w:tcPr>
            <w:tcW w:w="6520" w:type="dxa"/>
            <w:vAlign w:val="bottom"/>
          </w:tcPr>
          <w:p>
            <w:pPr>
              <w:spacing w:after="0"/>
              <w:rPr>
                <w:sz w:val="17"/>
                <w:szCs w:val="17"/>
                <w:color w:val="auto"/>
              </w:rPr>
            </w:pPr>
          </w:p>
        </w:tc>
        <w:tc>
          <w:tcPr>
            <w:tcW w:w="288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5"/>
                <w:szCs w:val="15"/>
                <w:b w:val="1"/>
                <w:bCs w:val="1"/>
                <w:color w:val="auto"/>
              </w:rPr>
              <w:t>September 30, 2022</w:t>
            </w:r>
          </w:p>
        </w:tc>
        <w:tc>
          <w:tcPr>
            <w:tcW w:w="184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September 30, 2022</w:t>
            </w:r>
          </w:p>
        </w:tc>
      </w:tr>
      <w:tr>
        <w:trPr>
          <w:trHeight w:val="196"/>
        </w:trPr>
        <w:tc>
          <w:tcPr>
            <w:tcW w:w="6520" w:type="dxa"/>
            <w:vAlign w:val="bottom"/>
          </w:tcPr>
          <w:p>
            <w:pPr>
              <w:spacing w:after="0"/>
              <w:rPr>
                <w:sz w:val="17"/>
                <w:szCs w:val="17"/>
                <w:color w:val="auto"/>
              </w:rPr>
            </w:pPr>
          </w:p>
        </w:tc>
        <w:tc>
          <w:tcPr>
            <w:tcW w:w="2880" w:type="dxa"/>
            <w:vAlign w:val="bottom"/>
            <w:gridSpan w:val="3"/>
          </w:tcPr>
          <w:p>
            <w:pPr>
              <w:ind w:left="1880"/>
              <w:spacing w:after="0"/>
              <w:rPr>
                <w:sz w:val="20"/>
                <w:szCs w:val="20"/>
                <w:color w:val="auto"/>
              </w:rPr>
            </w:pPr>
            <w:r>
              <w:rPr>
                <w:rFonts w:ascii="Arial" w:cs="Arial" w:eastAsia="Arial" w:hAnsi="Arial"/>
                <w:sz w:val="15"/>
                <w:szCs w:val="15"/>
                <w:b w:val="1"/>
                <w:bCs w:val="1"/>
                <w:color w:val="auto"/>
              </w:rPr>
              <w:t>(Square Feet)</w:t>
            </w:r>
          </w:p>
        </w:tc>
        <w:tc>
          <w:tcPr>
            <w:tcW w:w="1840" w:type="dxa"/>
            <w:vAlign w:val="bottom"/>
          </w:tcPr>
          <w:p>
            <w:pPr>
              <w:spacing w:after="0"/>
              <w:rPr>
                <w:sz w:val="17"/>
                <w:szCs w:val="17"/>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Vacant space available at the beginning of the period</w:t>
            </w:r>
          </w:p>
        </w:tc>
        <w:tc>
          <w:tcPr>
            <w:tcW w:w="222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5,019,936</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5,340,029</w:t>
            </w:r>
          </w:p>
        </w:tc>
      </w:tr>
      <w:tr>
        <w:trPr>
          <w:trHeight w:val="216"/>
        </w:trPr>
        <w:tc>
          <w:tcPr>
            <w:tcW w:w="6520" w:type="dxa"/>
            <w:vAlign w:val="bottom"/>
          </w:tcPr>
          <w:p>
            <w:pPr>
              <w:ind w:left="20"/>
              <w:spacing w:after="0"/>
              <w:rPr>
                <w:sz w:val="20"/>
                <w:szCs w:val="20"/>
                <w:color w:val="auto"/>
              </w:rPr>
            </w:pPr>
            <w:r>
              <w:rPr>
                <w:rFonts w:ascii="Arial" w:cs="Arial" w:eastAsia="Arial" w:hAnsi="Arial"/>
                <w:sz w:val="17"/>
                <w:szCs w:val="17"/>
                <w:color w:val="auto"/>
              </w:rPr>
              <w:t>Property dispositions/properties taken out of service (1)</w:t>
            </w:r>
          </w:p>
        </w:tc>
        <w:tc>
          <w:tcPr>
            <w:tcW w:w="2220" w:type="dxa"/>
            <w:vAlign w:val="bottom"/>
          </w:tcPr>
          <w:p>
            <w:pPr>
              <w:jc w:val="right"/>
              <w:ind w:right="97"/>
              <w:spacing w:after="0"/>
              <w:rPr>
                <w:sz w:val="20"/>
                <w:szCs w:val="20"/>
                <w:color w:val="auto"/>
              </w:rPr>
            </w:pPr>
            <w:r>
              <w:rPr>
                <w:rFonts w:ascii="Arial" w:cs="Arial" w:eastAsia="Arial" w:hAnsi="Arial"/>
                <w:sz w:val="17"/>
                <w:szCs w:val="17"/>
                <w:color w:val="auto"/>
              </w:rPr>
              <w:t>(123,177)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jc w:val="right"/>
              <w:ind w:right="96"/>
              <w:spacing w:after="0"/>
              <w:rPr>
                <w:sz w:val="20"/>
                <w:szCs w:val="20"/>
                <w:color w:val="auto"/>
              </w:rPr>
            </w:pPr>
            <w:r>
              <w:rPr>
                <w:rFonts w:ascii="Arial" w:cs="Arial" w:eastAsia="Arial" w:hAnsi="Arial"/>
                <w:sz w:val="17"/>
                <w:szCs w:val="17"/>
                <w:color w:val="auto"/>
              </w:rPr>
              <w:t>(403,655)</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Vacant space in properties acquired (2)</w:t>
            </w:r>
          </w:p>
        </w:tc>
        <w:tc>
          <w:tcPr>
            <w:tcW w:w="2880" w:type="dxa"/>
            <w:vAlign w:val="bottom"/>
            <w:gridSpan w:val="3"/>
            <w:shd w:val="clear" w:color="auto" w:fill="CCEEFF"/>
          </w:tcPr>
          <w:p>
            <w:pPr>
              <w:jc w:val="right"/>
              <w:ind w:right="900"/>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77,581</w:t>
            </w:r>
          </w:p>
        </w:tc>
      </w:tr>
      <w:tr>
        <w:trPr>
          <w:trHeight w:val="216"/>
        </w:trPr>
        <w:tc>
          <w:tcPr>
            <w:tcW w:w="6520" w:type="dxa"/>
            <w:vAlign w:val="bottom"/>
          </w:tcPr>
          <w:p>
            <w:pPr>
              <w:ind w:left="20"/>
              <w:spacing w:after="0"/>
              <w:rPr>
                <w:sz w:val="20"/>
                <w:szCs w:val="20"/>
                <w:color w:val="auto"/>
              </w:rPr>
            </w:pPr>
            <w:r>
              <w:rPr>
                <w:rFonts w:ascii="Arial" w:cs="Arial" w:eastAsia="Arial" w:hAnsi="Arial"/>
                <w:sz w:val="17"/>
                <w:szCs w:val="17"/>
                <w:color w:val="auto"/>
              </w:rPr>
              <w:t>Properties placed (and partially placed) in-service (3)</w:t>
            </w:r>
          </w:p>
        </w:tc>
        <w:tc>
          <w:tcPr>
            <w:tcW w:w="2220" w:type="dxa"/>
            <w:vAlign w:val="bottom"/>
          </w:tcPr>
          <w:p>
            <w:pPr>
              <w:jc w:val="right"/>
              <w:ind w:right="157"/>
              <w:spacing w:after="0"/>
              <w:rPr>
                <w:sz w:val="20"/>
                <w:szCs w:val="20"/>
                <w:color w:val="auto"/>
              </w:rPr>
            </w:pPr>
            <w:r>
              <w:rPr>
                <w:rFonts w:ascii="Arial" w:cs="Arial" w:eastAsia="Arial" w:hAnsi="Arial"/>
                <w:sz w:val="17"/>
                <w:szCs w:val="17"/>
                <w:color w:val="auto"/>
              </w:rPr>
              <w:t>62,933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jc w:val="right"/>
              <w:ind w:right="136"/>
              <w:spacing w:after="0"/>
              <w:rPr>
                <w:sz w:val="20"/>
                <w:szCs w:val="20"/>
                <w:color w:val="auto"/>
              </w:rPr>
            </w:pPr>
            <w:r>
              <w:rPr>
                <w:rFonts w:ascii="Arial" w:cs="Arial" w:eastAsia="Arial" w:hAnsi="Arial"/>
                <w:sz w:val="17"/>
                <w:szCs w:val="17"/>
                <w:color w:val="auto"/>
              </w:rPr>
              <w:t>894,176</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Leases expiring or terminated during the period</w:t>
            </w:r>
          </w:p>
        </w:tc>
        <w:tc>
          <w:tcPr>
            <w:tcW w:w="22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2,038,565</w:t>
            </w:r>
          </w:p>
        </w:tc>
        <w:tc>
          <w:tcPr>
            <w:tcW w:w="2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5,055,329</w:t>
            </w:r>
          </w:p>
        </w:tc>
      </w:tr>
      <w:tr>
        <w:trPr>
          <w:trHeight w:val="208"/>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space available for lease</w:t>
            </w:r>
          </w:p>
        </w:tc>
        <w:tc>
          <w:tcPr>
            <w:tcW w:w="22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6,998,257</w:t>
            </w:r>
          </w:p>
        </w:tc>
        <w:tc>
          <w:tcPr>
            <w:tcW w:w="2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10,963,460</w:t>
            </w:r>
          </w:p>
        </w:tc>
      </w:tr>
      <w:tr>
        <w:trPr>
          <w:trHeight w:val="208"/>
        </w:trPr>
        <w:tc>
          <w:tcPr>
            <w:tcW w:w="6520" w:type="dxa"/>
            <w:vAlign w:val="bottom"/>
            <w:shd w:val="clear" w:color="auto" w:fill="CCEEFF"/>
          </w:tcPr>
          <w:p>
            <w:pPr>
              <w:ind w:left="20"/>
              <w:spacing w:after="0" w:line="209" w:lineRule="exact"/>
              <w:rPr>
                <w:sz w:val="20"/>
                <w:szCs w:val="20"/>
                <w:color w:val="auto"/>
              </w:rPr>
            </w:pPr>
            <w:r>
              <w:rPr>
                <w:rFonts w:ascii="Arial" w:cs="Arial" w:eastAsia="Arial" w:hAnsi="Arial"/>
                <w:sz w:val="17"/>
                <w:szCs w:val="17"/>
                <w:color w:val="auto"/>
              </w:rPr>
              <w:t>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generation leases</w:t>
            </w:r>
          </w:p>
        </w:tc>
        <w:tc>
          <w:tcPr>
            <w:tcW w:w="222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67,007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1,042,887</w:t>
            </w:r>
          </w:p>
        </w:tc>
      </w:tr>
      <w:tr>
        <w:trPr>
          <w:trHeight w:val="216"/>
        </w:trPr>
        <w:tc>
          <w:tcPr>
            <w:tcW w:w="6520" w:type="dxa"/>
            <w:vAlign w:val="bottom"/>
          </w:tcPr>
          <w:p>
            <w:pPr>
              <w:ind w:left="20"/>
              <w:spacing w:after="0" w:line="216" w:lineRule="exact"/>
              <w:rPr>
                <w:sz w:val="20"/>
                <w:szCs w:val="20"/>
                <w:color w:val="auto"/>
              </w:rPr>
            </w:pPr>
            <w:r>
              <w:rPr>
                <w:rFonts w:ascii="Arial" w:cs="Arial" w:eastAsia="Arial" w:hAnsi="Arial"/>
                <w:sz w:val="17"/>
                <w:szCs w:val="17"/>
                <w:color w:val="auto"/>
              </w:rPr>
              <w:t>2</w:t>
            </w:r>
            <w:r>
              <w:rPr>
                <w:rFonts w:ascii="Arial" w:cs="Arial" w:eastAsia="Arial" w:hAnsi="Arial"/>
                <w:sz w:val="21"/>
                <w:szCs w:val="21"/>
                <w:color w:val="auto"/>
                <w:vertAlign w:val="superscript"/>
              </w:rPr>
              <w:t>nd</w:t>
            </w:r>
            <w:r>
              <w:rPr>
                <w:rFonts w:ascii="Arial" w:cs="Arial" w:eastAsia="Arial" w:hAnsi="Arial"/>
                <w:sz w:val="17"/>
                <w:szCs w:val="17"/>
                <w:color w:val="auto"/>
              </w:rPr>
              <w:t xml:space="preserve"> generation leases with new clients</w:t>
            </w:r>
          </w:p>
        </w:tc>
        <w:tc>
          <w:tcPr>
            <w:tcW w:w="2220" w:type="dxa"/>
            <w:vAlign w:val="bottom"/>
          </w:tcPr>
          <w:p>
            <w:pPr>
              <w:jc w:val="right"/>
              <w:ind w:right="157"/>
              <w:spacing w:after="0"/>
              <w:rPr>
                <w:sz w:val="20"/>
                <w:szCs w:val="20"/>
                <w:color w:val="auto"/>
              </w:rPr>
            </w:pPr>
            <w:r>
              <w:rPr>
                <w:rFonts w:ascii="Arial" w:cs="Arial" w:eastAsia="Arial" w:hAnsi="Arial"/>
                <w:sz w:val="17"/>
                <w:szCs w:val="17"/>
                <w:color w:val="auto"/>
              </w:rPr>
              <w:t>595,133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jc w:val="right"/>
              <w:ind w:right="136"/>
              <w:spacing w:after="0"/>
              <w:rPr>
                <w:sz w:val="20"/>
                <w:szCs w:val="20"/>
                <w:color w:val="auto"/>
              </w:rPr>
            </w:pPr>
            <w:r>
              <w:rPr>
                <w:rFonts w:ascii="Arial" w:cs="Arial" w:eastAsia="Arial" w:hAnsi="Arial"/>
                <w:sz w:val="17"/>
                <w:szCs w:val="17"/>
                <w:color w:val="auto"/>
              </w:rPr>
              <w:t>2,170,648</w:t>
            </w:r>
          </w:p>
        </w:tc>
      </w:tr>
      <w:tr>
        <w:trPr>
          <w:trHeight w:val="216"/>
        </w:trPr>
        <w:tc>
          <w:tcPr>
            <w:tcW w:w="652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2</w:t>
            </w:r>
            <w:r>
              <w:rPr>
                <w:rFonts w:ascii="Arial" w:cs="Arial" w:eastAsia="Arial" w:hAnsi="Arial"/>
                <w:sz w:val="21"/>
                <w:szCs w:val="21"/>
                <w:color w:val="auto"/>
                <w:vertAlign w:val="superscript"/>
              </w:rPr>
              <w:t>nd</w:t>
            </w:r>
            <w:r>
              <w:rPr>
                <w:rFonts w:ascii="Arial" w:cs="Arial" w:eastAsia="Arial" w:hAnsi="Arial"/>
                <w:sz w:val="17"/>
                <w:szCs w:val="17"/>
                <w:color w:val="auto"/>
              </w:rPr>
              <w:t xml:space="preserve"> generation lease renewals</w:t>
            </w:r>
          </w:p>
        </w:tc>
        <w:tc>
          <w:tcPr>
            <w:tcW w:w="22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1,085,208</w:t>
            </w:r>
          </w:p>
        </w:tc>
        <w:tc>
          <w:tcPr>
            <w:tcW w:w="2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2,499,016</w:t>
            </w:r>
          </w:p>
        </w:tc>
      </w:tr>
      <w:tr>
        <w:trPr>
          <w:trHeight w:val="208"/>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space leased (4)</w:t>
            </w:r>
          </w:p>
        </w:tc>
        <w:tc>
          <w:tcPr>
            <w:tcW w:w="22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1,747,348</w:t>
            </w:r>
          </w:p>
        </w:tc>
        <w:tc>
          <w:tcPr>
            <w:tcW w:w="2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5,712,551</w:t>
            </w:r>
          </w:p>
        </w:tc>
      </w:tr>
      <w:tr>
        <w:trPr>
          <w:trHeight w:val="23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Vacant space available for lease at the end of the period</w:t>
            </w:r>
          </w:p>
        </w:tc>
        <w:tc>
          <w:tcPr>
            <w:tcW w:w="22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5,250,909</w:t>
            </w:r>
          </w:p>
        </w:tc>
        <w:tc>
          <w:tcPr>
            <w:tcW w:w="2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5,250,909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65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Leases executed during the period, in square feet (5)</w:t>
            </w:r>
          </w:p>
        </w:tc>
        <w:tc>
          <w:tcPr>
            <w:tcW w:w="222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1,446,284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4,558,755</w:t>
            </w:r>
          </w:p>
        </w:tc>
      </w:tr>
      <w:tr>
        <w:trPr>
          <w:trHeight w:val="241"/>
        </w:trPr>
        <w:tc>
          <w:tcPr>
            <w:tcW w:w="6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Second generation leasing information</w:t>
            </w:r>
            <w:r>
              <w:rPr>
                <w:rFonts w:ascii="Arial" w:cs="Arial" w:eastAsia="Arial" w:hAnsi="Arial"/>
                <w:sz w:val="17"/>
                <w:szCs w:val="17"/>
                <w:color w:val="auto"/>
              </w:rPr>
              <w:t>: (6)</w:t>
            </w:r>
          </w:p>
        </w:tc>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7"/>
                <w:szCs w:val="17"/>
                <w:color w:val="auto"/>
              </w:rPr>
              <w:t>Leases commencing during the period, in square feet</w:t>
            </w:r>
          </w:p>
        </w:tc>
        <w:tc>
          <w:tcPr>
            <w:tcW w:w="2220" w:type="dxa"/>
            <w:vAlign w:val="bottom"/>
          </w:tcPr>
          <w:p>
            <w:pPr>
              <w:jc w:val="right"/>
              <w:ind w:right="157"/>
              <w:spacing w:after="0"/>
              <w:rPr>
                <w:sz w:val="20"/>
                <w:szCs w:val="20"/>
                <w:color w:val="auto"/>
              </w:rPr>
            </w:pPr>
            <w:r>
              <w:rPr>
                <w:rFonts w:ascii="Arial" w:cs="Arial" w:eastAsia="Arial" w:hAnsi="Arial"/>
                <w:sz w:val="17"/>
                <w:szCs w:val="17"/>
                <w:color w:val="auto"/>
              </w:rPr>
              <w:t>1,680,341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jc w:val="right"/>
              <w:ind w:right="136"/>
              <w:spacing w:after="0"/>
              <w:rPr>
                <w:sz w:val="20"/>
                <w:szCs w:val="20"/>
                <w:color w:val="auto"/>
              </w:rPr>
            </w:pPr>
            <w:r>
              <w:rPr>
                <w:rFonts w:ascii="Arial" w:cs="Arial" w:eastAsia="Arial" w:hAnsi="Arial"/>
                <w:sz w:val="17"/>
                <w:szCs w:val="17"/>
                <w:color w:val="auto"/>
              </w:rPr>
              <w:t>4,669,664</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Lease Term</w:t>
            </w:r>
          </w:p>
        </w:tc>
        <w:tc>
          <w:tcPr>
            <w:tcW w:w="2880" w:type="dxa"/>
            <w:vAlign w:val="bottom"/>
            <w:gridSpan w:val="3"/>
            <w:shd w:val="clear" w:color="auto" w:fill="CCEEFF"/>
          </w:tcPr>
          <w:p>
            <w:pPr>
              <w:jc w:val="right"/>
              <w:ind w:right="680"/>
              <w:spacing w:after="0"/>
              <w:rPr>
                <w:sz w:val="20"/>
                <w:szCs w:val="20"/>
                <w:color w:val="auto"/>
              </w:rPr>
            </w:pPr>
            <w:r>
              <w:rPr>
                <w:rFonts w:ascii="Arial" w:cs="Arial" w:eastAsia="Arial" w:hAnsi="Arial"/>
                <w:sz w:val="17"/>
                <w:szCs w:val="17"/>
                <w:color w:val="auto"/>
              </w:rPr>
              <w:t>114 Months</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 Months</w:t>
            </w:r>
          </w:p>
        </w:tc>
      </w:tr>
      <w:tr>
        <w:trPr>
          <w:trHeight w:val="216"/>
        </w:trPr>
        <w:tc>
          <w:tcPr>
            <w:tcW w:w="6520" w:type="dxa"/>
            <w:vAlign w:val="bottom"/>
          </w:tcPr>
          <w:p>
            <w:pPr>
              <w:ind w:left="20"/>
              <w:spacing w:after="0"/>
              <w:rPr>
                <w:sz w:val="20"/>
                <w:szCs w:val="20"/>
                <w:color w:val="auto"/>
              </w:rPr>
            </w:pPr>
            <w:r>
              <w:rPr>
                <w:rFonts w:ascii="Arial" w:cs="Arial" w:eastAsia="Arial" w:hAnsi="Arial"/>
                <w:sz w:val="17"/>
                <w:szCs w:val="17"/>
                <w:color w:val="auto"/>
              </w:rPr>
              <w:t>Weighted Average Free Rent Period</w:t>
            </w:r>
          </w:p>
        </w:tc>
        <w:tc>
          <w:tcPr>
            <w:tcW w:w="2880" w:type="dxa"/>
            <w:vAlign w:val="bottom"/>
            <w:gridSpan w:val="3"/>
          </w:tcPr>
          <w:p>
            <w:pPr>
              <w:jc w:val="right"/>
              <w:ind w:right="680"/>
              <w:spacing w:after="0"/>
              <w:rPr>
                <w:sz w:val="20"/>
                <w:szCs w:val="20"/>
                <w:color w:val="auto"/>
              </w:rPr>
            </w:pPr>
            <w:r>
              <w:rPr>
                <w:rFonts w:ascii="Arial" w:cs="Arial" w:eastAsia="Arial" w:hAnsi="Arial"/>
                <w:sz w:val="17"/>
                <w:szCs w:val="17"/>
                <w:color w:val="auto"/>
              </w:rPr>
              <w:t>77 Days</w:t>
            </w:r>
          </w:p>
        </w:tc>
        <w:tc>
          <w:tcPr>
            <w:tcW w:w="1840" w:type="dxa"/>
            <w:vAlign w:val="bottom"/>
          </w:tcPr>
          <w:p>
            <w:pPr>
              <w:jc w:val="right"/>
              <w:spacing w:after="0"/>
              <w:rPr>
                <w:sz w:val="20"/>
                <w:szCs w:val="20"/>
                <w:color w:val="auto"/>
              </w:rPr>
            </w:pPr>
            <w:r>
              <w:rPr>
                <w:rFonts w:ascii="Arial" w:cs="Arial" w:eastAsia="Arial" w:hAnsi="Arial"/>
                <w:sz w:val="17"/>
                <w:szCs w:val="17"/>
                <w:color w:val="auto"/>
              </w:rPr>
              <w:t>97 Days</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Transaction Costs Per Square Foot (7)</w:t>
            </w:r>
          </w:p>
        </w:tc>
        <w:tc>
          <w:tcPr>
            <w:tcW w:w="222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$116.42</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$84.02</w:t>
            </w:r>
          </w:p>
        </w:tc>
      </w:tr>
      <w:tr>
        <w:trPr>
          <w:trHeight w:val="216"/>
        </w:trPr>
        <w:tc>
          <w:tcPr>
            <w:tcW w:w="6520" w:type="dxa"/>
            <w:vAlign w:val="bottom"/>
          </w:tcPr>
          <w:p>
            <w:pPr>
              <w:ind w:left="20"/>
              <w:spacing w:after="0"/>
              <w:rPr>
                <w:sz w:val="20"/>
                <w:szCs w:val="20"/>
                <w:color w:val="auto"/>
              </w:rPr>
            </w:pPr>
            <w:r>
              <w:rPr>
                <w:rFonts w:ascii="Arial" w:cs="Arial" w:eastAsia="Arial" w:hAnsi="Arial"/>
                <w:sz w:val="17"/>
                <w:szCs w:val="17"/>
                <w:color w:val="auto"/>
              </w:rPr>
              <w:t>Increase in Gross Rents (8)</w:t>
            </w:r>
          </w:p>
        </w:tc>
        <w:tc>
          <w:tcPr>
            <w:tcW w:w="2220" w:type="dxa"/>
            <w:vAlign w:val="bottom"/>
          </w:tcPr>
          <w:p>
            <w:pPr>
              <w:jc w:val="right"/>
              <w:spacing w:after="0"/>
              <w:rPr>
                <w:sz w:val="20"/>
                <w:szCs w:val="20"/>
                <w:color w:val="auto"/>
              </w:rPr>
            </w:pPr>
            <w:r>
              <w:rPr>
                <w:rFonts w:ascii="Arial" w:cs="Arial" w:eastAsia="Arial" w:hAnsi="Arial"/>
                <w:sz w:val="17"/>
                <w:szCs w:val="17"/>
                <w:color w:val="auto"/>
              </w:rPr>
              <w:t>1.41 %</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3.93 %</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 in Net Rents (9)</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0.21 %</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5.15 %</w:t>
            </w:r>
          </w:p>
        </w:tc>
      </w:tr>
    </w:tbl>
    <w:p>
      <w:pPr>
        <w:spacing w:after="0" w:line="7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__________________</w:t>
      </w:r>
    </w:p>
    <w:p>
      <w:pPr>
        <w:spacing w:after="0" w:line="19" w:lineRule="exact"/>
        <w:rPr>
          <w:sz w:val="20"/>
          <w:szCs w:val="20"/>
          <w:color w:val="auto"/>
        </w:rPr>
      </w:pPr>
    </w:p>
    <w:p>
      <w:pPr>
        <w:ind w:left="620" w:right="720" w:hanging="314"/>
        <w:spacing w:after="0" w:line="265" w:lineRule="auto"/>
        <w:tabs>
          <w:tab w:leader="none" w:pos="616" w:val="left"/>
        </w:tabs>
        <w:numPr>
          <w:ilvl w:val="0"/>
          <w:numId w:val="28"/>
        </w:numPr>
        <w:rPr>
          <w:rFonts w:ascii="Arial" w:cs="Arial" w:eastAsia="Arial" w:hAnsi="Arial"/>
          <w:sz w:val="15"/>
          <w:szCs w:val="15"/>
          <w:color w:val="auto"/>
        </w:rPr>
      </w:pPr>
      <w:r>
        <w:rPr>
          <w:rFonts w:ascii="Arial" w:cs="Arial" w:eastAsia="Arial" w:hAnsi="Arial"/>
          <w:sz w:val="15"/>
          <w:szCs w:val="15"/>
          <w:color w:val="auto"/>
        </w:rPr>
        <w:t>Total vacant square feet of properties taken out of service and property disposition during the three months ended September 30, 2022 consists of 117,907 square feet at 760 Boylston Street and 5,270 square feet at 601 Massachusetts Avenue. Total vacant square feet of properties taken out of service and property dispositions during the nine months ended September 30, 2022 consists of 117,907 square feet at 760</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left="620" w:right="940"/>
        <w:spacing w:after="0" w:line="262" w:lineRule="auto"/>
        <w:rPr>
          <w:sz w:val="20"/>
          <w:szCs w:val="20"/>
          <w:color w:val="auto"/>
        </w:rPr>
      </w:pPr>
      <w:r>
        <w:rPr>
          <w:rFonts w:ascii="Arial" w:cs="Arial" w:eastAsia="Arial" w:hAnsi="Arial"/>
          <w:sz w:val="15"/>
          <w:szCs w:val="15"/>
          <w:color w:val="auto"/>
        </w:rPr>
        <w:t>Boylston Street, 95,180 square feet at 651 Gateway, 185,298 square feet at Virginia 95 Office Park and 5,270 square feet at 601 Massachusetts Avenue.</w:t>
      </w:r>
    </w:p>
    <w:p>
      <w:pPr>
        <w:spacing w:after="0" w:line="1" w:lineRule="exact"/>
        <w:rPr>
          <w:sz w:val="20"/>
          <w:szCs w:val="20"/>
          <w:color w:val="auto"/>
        </w:rPr>
      </w:pPr>
    </w:p>
    <w:p>
      <w:pPr>
        <w:ind w:left="600" w:hanging="294"/>
        <w:spacing w:after="0"/>
        <w:tabs>
          <w:tab w:leader="none" w:pos="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Total vacant square feet of properties acquired during the nine months ended September 30, 2022 consists of 77,581 square feet at Madison Centre.</w:t>
      </w:r>
    </w:p>
    <w:p>
      <w:pPr>
        <w:spacing w:after="0" w:line="9" w:lineRule="exact"/>
        <w:rPr>
          <w:rFonts w:ascii="Arial" w:cs="Arial" w:eastAsia="Arial" w:hAnsi="Arial"/>
          <w:sz w:val="15"/>
          <w:szCs w:val="15"/>
          <w:color w:val="auto"/>
        </w:rPr>
      </w:pPr>
    </w:p>
    <w:p>
      <w:pPr>
        <w:ind w:left="620" w:right="760" w:hanging="314"/>
        <w:spacing w:after="0" w:line="254" w:lineRule="auto"/>
        <w:tabs>
          <w:tab w:leader="none" w:pos="616" w:val="left"/>
        </w:tabs>
        <w:numPr>
          <w:ilvl w:val="0"/>
          <w:numId w:val="29"/>
        </w:numPr>
        <w:rPr>
          <w:rFonts w:ascii="Arial" w:cs="Arial" w:eastAsia="Arial" w:hAnsi="Arial"/>
          <w:sz w:val="15"/>
          <w:szCs w:val="15"/>
          <w:color w:val="auto"/>
        </w:rPr>
      </w:pPr>
      <w:r>
        <w:rPr>
          <w:rFonts w:ascii="Arial" w:cs="Arial" w:eastAsia="Arial" w:hAnsi="Arial"/>
          <w:sz w:val="15"/>
          <w:szCs w:val="15"/>
          <w:color w:val="auto"/>
        </w:rPr>
        <w:t>Total vacant square feet of properties placed (and partially placed) in-service during the three months ended September 30, 2022 consists of 4,207 square feet at 2100 Pennsylvania Avenue, 7,531 square feet at Reston Next and 51,195 square feet at 880 Winter Street. Total square feet of properties placed (and partially placed) in-service during the nine months ended September 30, 2022 consists of 51,195 square feet at 880 Winter Street, 418,221 square feet at Reston Next, 10,752 square feet at 2100 Pennsylvania Avenue and 414,008 square feet at 325 Main Street.</w:t>
      </w:r>
    </w:p>
    <w:p>
      <w:pPr>
        <w:spacing w:after="0" w:line="1" w:lineRule="exact"/>
        <w:rPr>
          <w:rFonts w:ascii="Arial" w:cs="Arial" w:eastAsia="Arial" w:hAnsi="Arial"/>
          <w:sz w:val="15"/>
          <w:szCs w:val="15"/>
          <w:color w:val="auto"/>
        </w:rPr>
      </w:pPr>
    </w:p>
    <w:p>
      <w:pPr>
        <w:ind w:left="620" w:right="1260" w:hanging="314"/>
        <w:spacing w:after="0" w:line="256" w:lineRule="auto"/>
        <w:tabs>
          <w:tab w:leader="none" w:pos="616"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Represents leases for which lease revenue recognition has commenced in accordance with GAAP during the three and nine months ended September 30, 2022.</w:t>
      </w:r>
    </w:p>
    <w:p>
      <w:pPr>
        <w:ind w:left="620" w:right="740" w:hanging="314"/>
        <w:spacing w:after="0" w:line="253" w:lineRule="auto"/>
        <w:tabs>
          <w:tab w:leader="none" w:pos="616"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Represents leases executed during the three and nine months ended September 30, 2022 for which we either (1) commenced lease revenue recognition in such period or (2) will commence lease revenue recognition in subsequent periods, in accordance with GAAP, and includes leases at properties currently under development. The total square feet of leases executed and recognized during the three and nine months ended September 30, 2022 is 193,318 and 758,239 square feet, respectively.</w:t>
      </w:r>
    </w:p>
    <w:p>
      <w:pPr>
        <w:jc w:val="both"/>
        <w:ind w:left="620" w:right="900" w:hanging="314"/>
        <w:spacing w:after="0" w:line="253" w:lineRule="auto"/>
        <w:tabs>
          <w:tab w:leader="none" w:pos="616" w:val="left"/>
        </w:tabs>
        <w:numPr>
          <w:ilvl w:val="0"/>
          <w:numId w:val="29"/>
        </w:numPr>
        <w:rPr>
          <w:rFonts w:ascii="Arial" w:cs="Arial" w:eastAsia="Arial" w:hAnsi="Arial"/>
          <w:sz w:val="15"/>
          <w:szCs w:val="15"/>
          <w:color w:val="auto"/>
        </w:rPr>
      </w:pPr>
      <w:r>
        <w:rPr>
          <w:rFonts w:ascii="Arial" w:cs="Arial" w:eastAsia="Arial" w:hAnsi="Arial"/>
          <w:sz w:val="15"/>
          <w:szCs w:val="15"/>
          <w:color w:val="auto"/>
        </w:rPr>
        <w:t>Second generation leases are defined as leases for space that had previously been leased by us. Of the 1,680,341 and 4,669,664 square feet of second generation leases that commenced during the three and nine months ended September 30, 2022, respectively, leases for 1,498,628 and 3,923,030 square feet, respectively, were signed in prior periods.</w:t>
      </w:r>
    </w:p>
    <w:p>
      <w:pPr>
        <w:ind w:left="620" w:right="1340" w:hanging="314"/>
        <w:spacing w:after="0" w:line="256" w:lineRule="auto"/>
        <w:tabs>
          <w:tab w:leader="none" w:pos="616" w:val="left"/>
        </w:tabs>
        <w:numPr>
          <w:ilvl w:val="0"/>
          <w:numId w:val="29"/>
        </w:numPr>
        <w:rPr>
          <w:rFonts w:ascii="Arial" w:cs="Arial" w:eastAsia="Arial" w:hAnsi="Arial"/>
          <w:sz w:val="15"/>
          <w:szCs w:val="15"/>
          <w:color w:val="auto"/>
        </w:rPr>
      </w:pPr>
      <w:r>
        <w:rPr>
          <w:rFonts w:ascii="Arial" w:cs="Arial" w:eastAsia="Arial" w:hAnsi="Arial"/>
          <w:sz w:val="15"/>
          <w:szCs w:val="15"/>
          <w:color w:val="auto"/>
        </w:rPr>
        <w:t>Total transaction costs include tenant improvements and leasing commissions but exclude free rent concessions and other inducements in accordance with GAAP.</w:t>
      </w:r>
    </w:p>
    <w:p>
      <w:pPr>
        <w:ind w:left="620" w:right="740" w:hanging="314"/>
        <w:spacing w:after="0" w:line="254" w:lineRule="auto"/>
        <w:tabs>
          <w:tab w:leader="none" w:pos="616"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Represents the increase in gross rent (base rent plus expense reimbursements) on the new versus expired leases on the 1,382,469 and 3,681,677 square feet of second generation leases that had been occupied within the prior 12 months for the three and nine months ended September 30, 2022, respectively; excludes leases that management considers temporary because the client is not expected to occupy the space on a long-term basis.</w:t>
      </w:r>
    </w:p>
    <w:p>
      <w:pPr>
        <w:spacing w:after="0" w:line="1" w:lineRule="exact"/>
        <w:rPr>
          <w:rFonts w:ascii="Arial" w:cs="Arial" w:eastAsia="Arial" w:hAnsi="Arial"/>
          <w:sz w:val="15"/>
          <w:szCs w:val="15"/>
          <w:color w:val="auto"/>
        </w:rPr>
      </w:pPr>
    </w:p>
    <w:p>
      <w:pPr>
        <w:ind w:left="620" w:right="740" w:hanging="314"/>
        <w:spacing w:after="0" w:line="259" w:lineRule="auto"/>
        <w:tabs>
          <w:tab w:leader="none" w:pos="616"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Represents the increase in net rent (gross rent less operating expenses) on the new versus expired leases on the 1,382,469 and 3,681,677 square feet of second generation leases that had been occupied within the prior 12 months for the three and nine months ended September 30, 2022,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Transactions during the three months ended September 30, 2022 included the following:</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Acquisition activity</w:t>
      </w:r>
    </w:p>
    <w:p>
      <w:pPr>
        <w:spacing w:after="0" w:line="94" w:lineRule="exact"/>
        <w:rPr>
          <w:sz w:val="20"/>
          <w:szCs w:val="20"/>
          <w:color w:val="auto"/>
        </w:rPr>
      </w:pPr>
    </w:p>
    <w:p>
      <w:pPr>
        <w:ind w:left="920" w:right="160" w:hanging="309"/>
        <w:spacing w:after="0" w:line="290" w:lineRule="auto"/>
        <w:tabs>
          <w:tab w:leader="none" w:pos="916"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September 16, 2022, we acquired 125 Broadway in Cambridge, Massachusetts for a net purchase price, including transaction costs, of approximately $592.4 million. The acquisition was completed with available cash and borrowings under BPLP’s unsecured credit facility. 125 Broadway is a 271,000 net rentable square foot, six-story, laboratory/life sciences property. The property is 100% leased.</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Disposition activities</w:t>
      </w:r>
    </w:p>
    <w:p>
      <w:pPr>
        <w:spacing w:after="0" w:line="94" w:lineRule="exact"/>
        <w:rPr>
          <w:sz w:val="20"/>
          <w:szCs w:val="20"/>
          <w:color w:val="auto"/>
        </w:rPr>
      </w:pPr>
    </w:p>
    <w:p>
      <w:pPr>
        <w:ind w:left="920" w:right="700" w:hanging="309"/>
        <w:spacing w:after="0" w:line="275" w:lineRule="auto"/>
        <w:tabs>
          <w:tab w:leader="none" w:pos="916" w:val="left"/>
        </w:tabs>
        <w:numPr>
          <w:ilvl w:val="0"/>
          <w:numId w:val="31"/>
        </w:numPr>
        <w:rPr>
          <w:rFonts w:ascii="Arial" w:cs="Arial" w:eastAsia="Arial" w:hAnsi="Arial"/>
          <w:sz w:val="16"/>
          <w:szCs w:val="16"/>
          <w:i w:val="1"/>
          <w:iCs w:val="1"/>
          <w:color w:val="auto"/>
        </w:rPr>
      </w:pPr>
      <w:r>
        <w:rPr>
          <w:rFonts w:ascii="Arial" w:cs="Arial" w:eastAsia="Arial" w:hAnsi="Arial"/>
          <w:sz w:val="16"/>
          <w:szCs w:val="16"/>
          <w:color w:val="auto"/>
        </w:rPr>
        <w:t>On August 30, 2022, we completed the sale of 601 Massachusetts Avenue located in Washington, DC for a gross sale price of $531.0 million. Net cash proceeds totaled approximately $512.3 million, resulting in a gain on sale of real estate of approximately</w:t>
      </w:r>
    </w:p>
    <w:p>
      <w:pPr>
        <w:ind w:left="920" w:right="160"/>
        <w:spacing w:after="0" w:line="263" w:lineRule="auto"/>
        <w:rPr>
          <w:rFonts w:ascii="Arial" w:cs="Arial" w:eastAsia="Arial" w:hAnsi="Arial"/>
          <w:sz w:val="16"/>
          <w:szCs w:val="16"/>
          <w:i w:val="1"/>
          <w:iCs w:val="1"/>
          <w:color w:val="auto"/>
        </w:rPr>
      </w:pPr>
      <w:r>
        <w:rPr>
          <w:rFonts w:ascii="Arial" w:cs="Arial" w:eastAsia="Arial" w:hAnsi="Arial"/>
          <w:sz w:val="17"/>
          <w:szCs w:val="17"/>
          <w:color w:val="auto"/>
        </w:rPr>
        <w:t>$237.4 million for BXP and approximately $237.5 million for BPLP. 601 Massachusetts Avenue is an approximately 479,000 net rentable square foot premier workplace.</w:t>
      </w:r>
    </w:p>
    <w:p>
      <w:pPr>
        <w:spacing w:after="0" w:line="114" w:lineRule="exact"/>
        <w:rPr>
          <w:rFonts w:ascii="Arial" w:cs="Arial" w:eastAsia="Arial" w:hAnsi="Arial"/>
          <w:sz w:val="16"/>
          <w:szCs w:val="16"/>
          <w:i w:val="1"/>
          <w:iCs w:val="1"/>
          <w:color w:val="auto"/>
        </w:rPr>
      </w:pPr>
    </w:p>
    <w:p>
      <w:pPr>
        <w:ind w:left="920" w:right="300" w:hanging="309"/>
        <w:spacing w:after="0" w:line="266" w:lineRule="auto"/>
        <w:tabs>
          <w:tab w:leader="none" w:pos="916" w:val="left"/>
        </w:tabs>
        <w:numPr>
          <w:ilvl w:val="0"/>
          <w:numId w:val="31"/>
        </w:numPr>
        <w:rPr>
          <w:rFonts w:ascii="Arial" w:cs="Arial" w:eastAsia="Arial" w:hAnsi="Arial"/>
          <w:sz w:val="17"/>
          <w:szCs w:val="17"/>
          <w:i w:val="1"/>
          <w:iCs w:val="1"/>
          <w:color w:val="auto"/>
        </w:rPr>
      </w:pPr>
      <w:r>
        <w:rPr>
          <w:rFonts w:ascii="Arial" w:cs="Arial" w:eastAsia="Arial" w:hAnsi="Arial"/>
          <w:sz w:val="17"/>
          <w:szCs w:val="17"/>
          <w:color w:val="auto"/>
        </w:rPr>
        <w:t>On September 15, 2022, we completed the sale of two parcels of land located in Loudoun County, Virginia for an aggregate gross sale price of $27.0 million. Net cash proceeds totaled approximately $25.6 million, resulting in a gain on sale of real estate totaling approximately $24.4 million for BXP and BPLP.</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Development activities</w:t>
      </w:r>
    </w:p>
    <w:p>
      <w:pPr>
        <w:spacing w:after="0" w:line="82" w:lineRule="exact"/>
        <w:rPr>
          <w:sz w:val="20"/>
          <w:szCs w:val="20"/>
          <w:color w:val="auto"/>
        </w:rPr>
      </w:pPr>
    </w:p>
    <w:p>
      <w:pPr>
        <w:ind w:left="920" w:hanging="309"/>
        <w:spacing w:after="0" w:line="257" w:lineRule="auto"/>
        <w:tabs>
          <w:tab w:leader="none" w:pos="9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July 1, 2022, we commenced the redevelopment of 140 Kendrick Street, a premier workplace that consists of three buildings aggregating approximately 388,000 net rentable square feet located in Needham, Massachusetts. The redevelopment is a repositioning of one building consisting of approximately 90,000 net rentable square feet into a net zero, carbon neutral premier workplace building, as defined by the LEED Zero Carbon Certification. When completed, the building will consist of approximately 104,000 net rentable square feet. This project is 100% pre-leased.</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20" w:right="500" w:hanging="309"/>
        <w:spacing w:after="0" w:line="283" w:lineRule="auto"/>
        <w:tabs>
          <w:tab w:leader="none" w:pos="9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July 15, 2022, we partially placed in-service 880 Winter Street, an approximately 244,000 net rentable square foot laboratory/life sciences project located in Waltham, Massachusetts. This project is 97% pre-leased.</w:t>
      </w:r>
    </w:p>
    <w:p>
      <w:pPr>
        <w:spacing w:after="0" w:line="97" w:lineRule="exact"/>
        <w:rPr>
          <w:rFonts w:ascii="Arial" w:cs="Arial" w:eastAsia="Arial" w:hAnsi="Arial"/>
          <w:sz w:val="17"/>
          <w:szCs w:val="17"/>
          <w:color w:val="auto"/>
        </w:rPr>
      </w:pPr>
    </w:p>
    <w:p>
      <w:pPr>
        <w:ind w:left="920" w:right="140" w:hanging="309"/>
        <w:spacing w:after="0" w:line="277" w:lineRule="auto"/>
        <w:tabs>
          <w:tab w:leader="none" w:pos="916"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September 8, 2022, we terminated our existing lease agreement with our client at 300 Binney Street to facilitate the conversion and expansion of the property. 300 Binney Street is a premier workplace with approximately 195,000 net rentable square feet at Kendall Center in Cambridge, Massachusetts that will be redeveloped into approximately 240,000 net rentable square feet of laboratory/life sciences space. The commencement of construction is subject to various conditions. There can be no assurance that we will commence the redevelopment on the terms and schedule currently contemplated or at all. This property is 100% pre-leased to a single client.</w:t>
      </w:r>
    </w:p>
    <w:p>
      <w:pPr>
        <w:spacing w:after="0" w:line="105" w:lineRule="exact"/>
        <w:rPr>
          <w:rFonts w:ascii="Arial" w:cs="Arial" w:eastAsia="Arial" w:hAnsi="Arial"/>
          <w:sz w:val="16"/>
          <w:szCs w:val="16"/>
          <w:color w:val="auto"/>
        </w:rPr>
      </w:pPr>
    </w:p>
    <w:p>
      <w:pPr>
        <w:ind w:left="920" w:right="20" w:hanging="309"/>
        <w:spacing w:after="0" w:line="266" w:lineRule="auto"/>
        <w:tabs>
          <w:tab w:leader="none" w:pos="9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September 12, 2022, we commenced the redevelopment of 760 Boylston Street, a retail project at the Prudential Center located in Boston, Massachusetts. The redevelopment is a modernization of the space consisting of approximately 118,000 net rentable square feet. This project is 100% pre-leased to a single client.</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Unconsolidated joint venture activities</w:t>
      </w:r>
    </w:p>
    <w:p>
      <w:pPr>
        <w:spacing w:after="0" w:line="94" w:lineRule="exact"/>
        <w:rPr>
          <w:sz w:val="20"/>
          <w:szCs w:val="20"/>
          <w:color w:val="auto"/>
        </w:rPr>
      </w:pPr>
    </w:p>
    <w:p>
      <w:pPr>
        <w:ind w:left="920" w:right="100" w:hanging="309"/>
        <w:spacing w:after="0" w:line="270" w:lineRule="auto"/>
        <w:tabs>
          <w:tab w:leader="none" w:pos="916"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August 8, 2022, a joint venture in which we have a 50% interest modified the construction loan collateralized by its Dock 72 property located in Brooklyn, New York. At the time of the modification, the loan had an outstanding balance totaling approximately $198.4 million, a total commitment amount of $250.0 million, bore interest at a variable rate equal to LIBOR plus 3.35% per annum, and was scheduled to mature on December 18, 2023. The modified construction loan bears interest at a variable rate equal to (1) the greater of (x) SOFR or</w:t>
      </w:r>
    </w:p>
    <w:p>
      <w:pPr>
        <w:ind w:left="920" w:right="640"/>
        <w:spacing w:after="0" w:line="263" w:lineRule="auto"/>
        <w:rPr>
          <w:rFonts w:ascii="Arial" w:cs="Arial" w:eastAsia="Arial" w:hAnsi="Arial"/>
          <w:sz w:val="16"/>
          <w:szCs w:val="16"/>
          <w:color w:val="auto"/>
        </w:rPr>
      </w:pPr>
      <w:r>
        <w:rPr>
          <w:rFonts w:ascii="Arial" w:cs="Arial" w:eastAsia="Arial" w:hAnsi="Arial"/>
          <w:sz w:val="17"/>
          <w:szCs w:val="17"/>
          <w:color w:val="auto"/>
        </w:rPr>
        <w:t>(y) 0.25% plus (2) 3.10% per annum, has a total commitment amount of approximately $198.4 million, and continues to mature on December 18, 2023. Dock 72 is a premier workplace with approximately 669,000 net rentable square feet.</w:t>
      </w:r>
    </w:p>
    <w:p>
      <w:pPr>
        <w:spacing w:after="0" w:line="114" w:lineRule="exact"/>
        <w:rPr>
          <w:rFonts w:ascii="Arial" w:cs="Arial" w:eastAsia="Arial" w:hAnsi="Arial"/>
          <w:sz w:val="16"/>
          <w:szCs w:val="16"/>
          <w:color w:val="auto"/>
        </w:rPr>
      </w:pPr>
    </w:p>
    <w:p>
      <w:pPr>
        <w:ind w:left="920" w:right="40" w:hanging="309"/>
        <w:spacing w:after="0" w:line="257" w:lineRule="auto"/>
        <w:tabs>
          <w:tab w:leader="none" w:pos="9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September 1, 2022, a joint venture in which we have a 20% interest entered into an interest rate cap agreement to cap the variable rate debt secured by its Metropolitan Square property located in Washington, DC. The mortgage and mezzanine loans have an aggregate principal balance of $420.0 million and bear interest at a weighted average variable rate equal to SOFR plus 2.75% per annum. The interest rate cap agreement capped SOFR at 4.50% per annum on a notional amount of $420.0 million through April 15, 2024. Metropolitan Square is a premier workplace with approximately 657,000 net rentable square feet located in Washington, DC.</w:t>
      </w:r>
    </w:p>
    <w:p>
      <w:pPr>
        <w:spacing w:after="0" w:line="121" w:lineRule="exact"/>
        <w:rPr>
          <w:rFonts w:ascii="Arial" w:cs="Arial" w:eastAsia="Arial" w:hAnsi="Arial"/>
          <w:sz w:val="17"/>
          <w:szCs w:val="17"/>
          <w:color w:val="auto"/>
        </w:rPr>
      </w:pPr>
    </w:p>
    <w:p>
      <w:pPr>
        <w:ind w:left="920" w:right="120" w:hanging="309"/>
        <w:spacing w:after="0" w:line="259" w:lineRule="auto"/>
        <w:tabs>
          <w:tab w:leader="none" w:pos="9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September 9, 2022, a joint venture in which we have an approximate 33.67% interest modified the mortgage loan collateralized by its Safeco Plaza property located in Seattle, Washington. At the time of the modification, the loan’s outstanding balance totaled</w:t>
      </w:r>
    </w:p>
    <w:p>
      <w:pPr>
        <w:ind w:left="920"/>
        <w:spacing w:after="0" w:line="252" w:lineRule="auto"/>
        <w:rPr>
          <w:rFonts w:ascii="Arial" w:cs="Arial" w:eastAsia="Arial" w:hAnsi="Arial"/>
          <w:sz w:val="17"/>
          <w:szCs w:val="17"/>
          <w:color w:val="auto"/>
        </w:rPr>
      </w:pPr>
      <w:r>
        <w:rPr>
          <w:rFonts w:ascii="Arial" w:cs="Arial" w:eastAsia="Arial" w:hAnsi="Arial"/>
          <w:sz w:val="17"/>
          <w:szCs w:val="17"/>
          <w:color w:val="auto"/>
        </w:rPr>
        <w:t>$250.0 million, bore interest at a variable rate equal to the greater of (x) 2.35% or (y) LIBOR plus 2.20% per annum, and was scheduled to mature on September 1, 2026. The modified mortgage loan bears interest at a variable rate equal to the greater of (x) 2.35% or (y) SOFR plus 2.32% per annum and continues to mature on September 1, 2026. In conjunction with the loan modification, the joint venture entered into an interest rate cap agreement that capped SOFR at 2.50% per annum on a notional amount of $250.0 million through September 1, 2023. Safeco Plaza is a premier workplace with approximately 765,000 net rentable square feet.</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Transactions completed subsequent to September 30, 2022 included the following:</w:t>
      </w:r>
    </w:p>
    <w:p>
      <w:pPr>
        <w:spacing w:after="0" w:line="96" w:lineRule="exact"/>
        <w:rPr>
          <w:sz w:val="20"/>
          <w:szCs w:val="20"/>
          <w:color w:val="auto"/>
        </w:rPr>
      </w:pPr>
    </w:p>
    <w:p>
      <w:pPr>
        <w:ind w:left="920" w:hanging="309"/>
        <w:spacing w:after="0" w:line="260" w:lineRule="auto"/>
        <w:tabs>
          <w:tab w:leader="none" w:pos="9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 October 6, 2022, we entered into an agreement to sell the residential component of The Avant at Reston Town Center, located in Reston, Virginia, for a gross sale price of $141 million. The Avant is a 15-story, approximately 329,000 square foot, excluding retail space, 359-unit, luxury multifamily building. We will retain ownership of the approximately 26,000 square foot ground-level retail space. There can be no assurance that we will complete the sale on the terms currently contemplated or at all.</w:t>
      </w:r>
    </w:p>
    <w:p>
      <w:pPr>
        <w:spacing w:after="0" w:line="117" w:lineRule="exact"/>
        <w:rPr>
          <w:rFonts w:ascii="Arial" w:cs="Arial" w:eastAsia="Arial" w:hAnsi="Arial"/>
          <w:sz w:val="17"/>
          <w:szCs w:val="17"/>
          <w:color w:val="auto"/>
        </w:rPr>
      </w:pPr>
    </w:p>
    <w:p>
      <w:pPr>
        <w:ind w:left="920" w:right="120" w:hanging="309"/>
        <w:spacing w:after="0" w:line="256" w:lineRule="auto"/>
        <w:tabs>
          <w:tab w:leader="none" w:pos="9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 October 25, 2022, we entered into an agreement to acquire an approximate 27% interest in the joint venture that owns 200 Fifth Avenue located in New York City, for a gross purchase price of approximately $280.2 million, which includes $120.1 million of cash and our pro rata share of the outstanding loan secured by the property of $160.1 million. The mortgage loan bears interest at 4.34% per annum and matures in November 2028. 200 Fifth Avenue is a 14-story, approximately 870,000 square-foot, LEED Gold certified, premier workplace located in the Midtown South submarket. There can be no assurance that we will complete the acquisition on the terms currently contemplated or at all.</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84" w:lineRule="exact"/>
        <w:rPr>
          <w:sz w:val="20"/>
          <w:szCs w:val="20"/>
          <w:color w:val="auto"/>
        </w:rPr>
      </w:pPr>
    </w:p>
    <w:p>
      <w:pPr>
        <w:ind w:right="80" w:firstLine="419"/>
        <w:spacing w:after="0" w:line="257" w:lineRule="auto"/>
        <w:rPr>
          <w:sz w:val="20"/>
          <w:szCs w:val="20"/>
          <w:color w:val="auto"/>
        </w:rPr>
      </w:pPr>
      <w:r>
        <w:rPr>
          <w:rFonts w:ascii="Arial" w:cs="Arial" w:eastAsia="Arial" w:hAnsi="Arial"/>
          <w:sz w:val="17"/>
          <w:szCs w:val="17"/>
          <w:color w:val="auto"/>
        </w:rPr>
        <w:t>Management’s Discussion and Analysis of Financial Condition and Results of Operations discuss our Consolidated Financial Statements, which have been prepared in accordance with generally accepted accounting principles (“GAAP”). The preparation of these financial statements in conformity with GAAP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 and assumptions.</w:t>
      </w:r>
    </w:p>
    <w:p>
      <w:pPr>
        <w:spacing w:after="0" w:line="121" w:lineRule="exact"/>
        <w:rPr>
          <w:sz w:val="20"/>
          <w:szCs w:val="20"/>
          <w:color w:val="auto"/>
        </w:rPr>
      </w:pPr>
    </w:p>
    <w:p>
      <w:pPr>
        <w:ind w:right="120" w:firstLine="419"/>
        <w:spacing w:after="0" w:line="283" w:lineRule="auto"/>
        <w:rPr>
          <w:sz w:val="20"/>
          <w:szCs w:val="20"/>
          <w:color w:val="auto"/>
        </w:rPr>
      </w:pPr>
      <w:r>
        <w:rPr>
          <w:rFonts w:ascii="Arial" w:cs="Arial" w:eastAsia="Arial" w:hAnsi="Arial"/>
          <w:sz w:val="17"/>
          <w:szCs w:val="17"/>
          <w:color w:val="auto"/>
        </w:rPr>
        <w:t>Our Annual Report on Form 10-K for the year ended December 31, 2021 contains a discussion of our critical accounting estimates. There have been no significant changes in our critical accounting estimates since the year ended December 31, 2021.</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the Nine Months Ended September 30, 2022 and 2021</w:t>
      </w:r>
    </w:p>
    <w:p>
      <w:pPr>
        <w:spacing w:after="0" w:line="96" w:lineRule="exact"/>
        <w:rPr>
          <w:sz w:val="20"/>
          <w:szCs w:val="20"/>
          <w:color w:val="auto"/>
        </w:rPr>
      </w:pPr>
    </w:p>
    <w:p>
      <w:pPr>
        <w:ind w:right="40" w:firstLine="419"/>
        <w:spacing w:after="0" w:line="257" w:lineRule="auto"/>
        <w:rPr>
          <w:sz w:val="20"/>
          <w:szCs w:val="20"/>
          <w:color w:val="auto"/>
        </w:rPr>
      </w:pPr>
      <w:r>
        <w:rPr>
          <w:rFonts w:ascii="Arial" w:cs="Arial" w:eastAsia="Arial" w:hAnsi="Arial"/>
          <w:sz w:val="17"/>
          <w:szCs w:val="17"/>
          <w:color w:val="auto"/>
        </w:rPr>
        <w:t>Net income attributable to Boston Properties, Inc. common shareholders and net income attributable to Boston Properties Limited Partnership common unitholders increased by approximately $415.5 million and $465.6 million for the nine months ended September 30, 2022 compared to 2021, respectively, as set forth in the following tables and for the reasons discussed below under the heading “</w:t>
      </w:r>
      <w:r>
        <w:rPr>
          <w:rFonts w:ascii="Arial" w:cs="Arial" w:eastAsia="Arial" w:hAnsi="Arial"/>
          <w:sz w:val="17"/>
          <w:szCs w:val="17"/>
          <w:i w:val="1"/>
          <w:iCs w:val="1"/>
          <w:color w:val="auto"/>
        </w:rPr>
        <w:t>Comparison of the nine months ended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September 30, 2022 to the nine months ended September 30, 2021” </w:t>
      </w:r>
      <w:r>
        <w:rPr>
          <w:rFonts w:ascii="Arial" w:cs="Arial" w:eastAsia="Arial" w:hAnsi="Arial"/>
          <w:sz w:val="17"/>
          <w:szCs w:val="17"/>
          <w:color w:val="auto"/>
        </w:rPr>
        <w:t>within “</w:t>
      </w:r>
      <w:r>
        <w:rPr>
          <w:rFonts w:ascii="Arial" w:cs="Arial" w:eastAsia="Arial" w:hAnsi="Arial"/>
          <w:sz w:val="17"/>
          <w:szCs w:val="17"/>
          <w:i w:val="1"/>
          <w:iCs w:val="1"/>
          <w:color w:val="auto"/>
        </w:rPr>
        <w:t>Item 2—Management’s Discussion and Analysis of Financial Condition and Results of Operations</w:t>
      </w:r>
      <w:r>
        <w:rPr>
          <w:rFonts w:ascii="Arial" w:cs="Arial" w:eastAsia="Arial" w:hAnsi="Arial"/>
          <w:sz w:val="17"/>
          <w:szCs w:val="17"/>
          <w:color w:val="auto"/>
        </w:rPr>
        <w:t>.”</w:t>
      </w:r>
    </w:p>
    <w:p>
      <w:pPr>
        <w:spacing w:after="0" w:line="121" w:lineRule="exact"/>
        <w:rPr>
          <w:sz w:val="20"/>
          <w:szCs w:val="20"/>
          <w:color w:val="auto"/>
        </w:rPr>
      </w:pPr>
    </w:p>
    <w:p>
      <w:pPr>
        <w:ind w:firstLine="419"/>
        <w:spacing w:after="0" w:line="260" w:lineRule="auto"/>
        <w:rPr>
          <w:sz w:val="20"/>
          <w:szCs w:val="20"/>
          <w:color w:val="auto"/>
        </w:rPr>
      </w:pPr>
      <w:r>
        <w:rPr>
          <w:rFonts w:ascii="Arial" w:cs="Arial" w:eastAsia="Arial" w:hAnsi="Arial"/>
          <w:sz w:val="17"/>
          <w:szCs w:val="17"/>
          <w:color w:val="auto"/>
        </w:rPr>
        <w:t>The following are reconciliations of Net Income Attributable to Boston Properties, Inc. Common Shareholders to Net Operating Income and Net Income Attributable to Boston Properties Limited Partnership Common Unitholders to Net Operating Income for the nine months ended September 30, 2022 and 2021. For a detailed discussion of Net Operating Income (“NOI”), including the reasons management believes NOI is useful to investors, see page 56</w:t>
      </w:r>
      <w:r>
        <w:rPr>
          <w:rFonts w:ascii="Arial" w:cs="Arial" w:eastAsia="Arial" w:hAnsi="Arial"/>
          <w:sz w:val="13"/>
          <w:szCs w:val="13"/>
          <w:color w:val="auto"/>
        </w:rPr>
        <w: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BXP</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5"/>
                <w:szCs w:val="15"/>
                <w:b w:val="1"/>
                <w:bCs w:val="1"/>
                <w:color w:val="auto"/>
              </w:rPr>
              <w:t>Nine months ended September 30,</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6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500"/>
              <w:spacing w:after="0" w:line="146" w:lineRule="exact"/>
              <w:rPr>
                <w:sz w:val="20"/>
                <w:szCs w:val="20"/>
                <w:color w:val="auto"/>
              </w:rPr>
            </w:pPr>
            <w:r>
              <w:rPr>
                <w:rFonts w:ascii="Arial" w:cs="Arial" w:eastAsia="Arial" w:hAnsi="Arial"/>
                <w:sz w:val="15"/>
                <w:szCs w:val="15"/>
                <w:b w:val="1"/>
                <w:bCs w:val="1"/>
                <w:color w:val="auto"/>
              </w:rPr>
              <w:t>Increase/</w:t>
            </w:r>
          </w:p>
        </w:tc>
        <w:tc>
          <w:tcPr>
            <w:tcW w:w="1140" w:type="dxa"/>
            <w:vAlign w:val="bottom"/>
          </w:tcPr>
          <w:p>
            <w:pPr>
              <w:jc w:val="right"/>
              <w:ind w:right="564"/>
              <w:spacing w:after="0" w:line="146"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5"/>
                <w:szCs w:val="15"/>
                <w:b w:val="1"/>
                <w:bCs w:val="1"/>
                <w:color w:val="auto"/>
              </w:rPr>
              <w:t>(Decrease)</w:t>
            </w:r>
          </w:p>
        </w:tc>
        <w:tc>
          <w:tcPr>
            <w:tcW w:w="11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96"/>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6"/>
          </w:tcPr>
          <w:p>
            <w:pPr>
              <w:jc w:val="center"/>
              <w:ind w:right="340"/>
              <w:spacing w:after="0"/>
              <w:rPr>
                <w:sz w:val="20"/>
                <w:szCs w:val="20"/>
                <w:color w:val="auto"/>
              </w:rPr>
            </w:pPr>
            <w:r>
              <w:rPr>
                <w:rFonts w:ascii="Arial" w:cs="Arial" w:eastAsia="Arial" w:hAnsi="Arial"/>
                <w:sz w:val="15"/>
                <w:szCs w:val="15"/>
                <w:b w:val="1"/>
                <w:bCs w:val="1"/>
                <w:color w:val="auto"/>
              </w:rPr>
              <w:t>(in thousands)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Attributable to Boston Properties, Inc. Common Shareholders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727,144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311,680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415,464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133.30 %</w:t>
            </w:r>
          </w:p>
        </w:tc>
        <w:tc>
          <w:tcPr>
            <w:tcW w:w="0" w:type="dxa"/>
            <w:vAlign w:val="bottom"/>
          </w:tcPr>
          <w:p>
            <w:pPr>
              <w:spacing w:after="0"/>
              <w:rPr>
                <w:sz w:val="1"/>
                <w:szCs w:val="1"/>
                <w:color w:val="auto"/>
              </w:rPr>
            </w:pPr>
          </w:p>
        </w:tc>
      </w:tr>
      <w:tr>
        <w:trPr>
          <w:trHeight w:val="202"/>
        </w:trPr>
        <w:tc>
          <w:tcPr>
            <w:tcW w:w="6100" w:type="dxa"/>
            <w:vAlign w:val="bottom"/>
          </w:tcPr>
          <w:p>
            <w:pPr>
              <w:ind w:left="320"/>
              <w:spacing w:after="0"/>
              <w:rPr>
                <w:sz w:val="20"/>
                <w:szCs w:val="20"/>
                <w:color w:val="auto"/>
              </w:rPr>
            </w:pPr>
            <w:r>
              <w:rPr>
                <w:rFonts w:ascii="Arial" w:cs="Arial" w:eastAsia="Arial" w:hAnsi="Arial"/>
                <w:sz w:val="15"/>
                <w:szCs w:val="15"/>
                <w:color w:val="auto"/>
              </w:rPr>
              <w:t>Preferred stock redemption charge</w:t>
            </w:r>
          </w:p>
        </w:tc>
        <w:tc>
          <w:tcPr>
            <w:tcW w:w="2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6,412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(6,412)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(100.00)%</w:t>
            </w:r>
          </w:p>
        </w:tc>
        <w:tc>
          <w:tcPr>
            <w:tcW w:w="0" w:type="dxa"/>
            <w:vAlign w:val="bottom"/>
          </w:tcPr>
          <w:p>
            <w:pPr>
              <w:spacing w:after="0"/>
              <w:rPr>
                <w:sz w:val="1"/>
                <w:szCs w:val="1"/>
                <w:color w:val="auto"/>
              </w:rPr>
            </w:pPr>
          </w:p>
        </w:tc>
      </w:tr>
      <w:tr>
        <w:trPr>
          <w:trHeight w:val="204"/>
        </w:trPr>
        <w:tc>
          <w:tcPr>
            <w:tcW w:w="61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Preferred dividends</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0" w:type="dxa"/>
            <w:vAlign w:val="bottom"/>
          </w:tcPr>
          <w:p>
            <w:pPr>
              <w:spacing w:after="0"/>
              <w:rPr>
                <w:sz w:val="1"/>
                <w:szCs w:val="1"/>
                <w:color w:val="auto"/>
              </w:rPr>
            </w:pPr>
          </w:p>
        </w:tc>
      </w:tr>
      <w:tr>
        <w:trPr>
          <w:trHeight w:val="194"/>
        </w:trPr>
        <w:tc>
          <w:tcPr>
            <w:tcW w:w="6100" w:type="dxa"/>
            <w:vAlign w:val="bottom"/>
          </w:tcPr>
          <w:p>
            <w:pPr>
              <w:ind w:left="20"/>
              <w:spacing w:after="0"/>
              <w:rPr>
                <w:sz w:val="20"/>
                <w:szCs w:val="20"/>
                <w:color w:val="auto"/>
              </w:rPr>
            </w:pPr>
            <w:r>
              <w:rPr>
                <w:rFonts w:ascii="Arial" w:cs="Arial" w:eastAsia="Arial" w:hAnsi="Arial"/>
                <w:sz w:val="15"/>
                <w:szCs w:val="15"/>
                <w:color w:val="auto"/>
              </w:rPr>
              <w:t>Net Income Attributable to Boston Properties, Inc.</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727,144</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320,652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406,492</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126.77 %</w:t>
            </w:r>
          </w:p>
        </w:tc>
        <w:tc>
          <w:tcPr>
            <w:tcW w:w="0" w:type="dxa"/>
            <w:vAlign w:val="bottom"/>
          </w:tcPr>
          <w:p>
            <w:pPr>
              <w:spacing w:after="0"/>
              <w:rPr>
                <w:sz w:val="1"/>
                <w:szCs w:val="1"/>
                <w:color w:val="auto"/>
              </w:rPr>
            </w:pPr>
          </w:p>
        </w:tc>
      </w:tr>
      <w:tr>
        <w:trPr>
          <w:trHeight w:val="204"/>
        </w:trPr>
        <w:tc>
          <w:tcPr>
            <w:tcW w:w="6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Attributable to Noncontrolling Interests: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00" w:type="dxa"/>
            <w:vAlign w:val="bottom"/>
          </w:tcPr>
          <w:p>
            <w:pPr>
              <w:ind w:left="320"/>
              <w:spacing w:after="0"/>
              <w:rPr>
                <w:sz w:val="20"/>
                <w:szCs w:val="20"/>
                <w:color w:val="auto"/>
              </w:rPr>
            </w:pPr>
            <w:r>
              <w:rPr>
                <w:rFonts w:ascii="Arial" w:cs="Arial" w:eastAsia="Arial" w:hAnsi="Arial"/>
                <w:sz w:val="15"/>
                <w:szCs w:val="15"/>
                <w:color w:val="auto"/>
              </w:rPr>
              <w:t>Noncontrolling interest—common units of the Operating Partnership</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82,821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35,393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47,428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134.00 %</w:t>
            </w:r>
          </w:p>
        </w:tc>
        <w:tc>
          <w:tcPr>
            <w:tcW w:w="0" w:type="dxa"/>
            <w:vAlign w:val="bottom"/>
          </w:tcPr>
          <w:p>
            <w:pPr>
              <w:spacing w:after="0"/>
              <w:rPr>
                <w:sz w:val="1"/>
                <w:szCs w:val="1"/>
                <w:color w:val="auto"/>
              </w:rPr>
            </w:pPr>
          </w:p>
        </w:tc>
      </w:tr>
      <w:tr>
        <w:trPr>
          <w:trHeight w:val="204"/>
        </w:trPr>
        <w:tc>
          <w:tcPr>
            <w:tcW w:w="61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Noncontrolling interests in property partnerships</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54,896</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52,602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2,294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4.36 %</w:t>
            </w:r>
          </w:p>
        </w:tc>
        <w:tc>
          <w:tcPr>
            <w:tcW w:w="0" w:type="dxa"/>
            <w:vAlign w:val="bottom"/>
          </w:tcPr>
          <w:p>
            <w:pPr>
              <w:spacing w:after="0"/>
              <w:rPr>
                <w:sz w:val="1"/>
                <w:szCs w:val="1"/>
                <w:color w:val="auto"/>
              </w:rPr>
            </w:pPr>
          </w:p>
        </w:tc>
      </w:tr>
      <w:tr>
        <w:trPr>
          <w:trHeight w:val="194"/>
        </w:trPr>
        <w:tc>
          <w:tcPr>
            <w:tcW w:w="610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864,861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408,647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456,214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111.64 %</w:t>
            </w:r>
          </w:p>
        </w:tc>
        <w:tc>
          <w:tcPr>
            <w:tcW w:w="0" w:type="dxa"/>
            <w:vAlign w:val="bottom"/>
          </w:tcPr>
          <w:p>
            <w:pPr>
              <w:spacing w:after="0"/>
              <w:rPr>
                <w:sz w:val="1"/>
                <w:szCs w:val="1"/>
                <w:color w:val="auto"/>
              </w:rPr>
            </w:pPr>
          </w:p>
        </w:tc>
      </w:tr>
      <w:tr>
        <w:trPr>
          <w:trHeight w:val="204"/>
        </w:trPr>
        <w:tc>
          <w:tcPr>
            <w:tcW w:w="6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Expenses: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00" w:type="dxa"/>
            <w:vAlign w:val="bottom"/>
          </w:tcPr>
          <w:p>
            <w:pPr>
              <w:ind w:left="20"/>
              <w:spacing w:after="0"/>
              <w:rPr>
                <w:sz w:val="20"/>
                <w:szCs w:val="20"/>
                <w:color w:val="auto"/>
              </w:rPr>
            </w:pPr>
            <w:r>
              <w:rPr>
                <w:rFonts w:ascii="Arial" w:cs="Arial" w:eastAsia="Arial" w:hAnsi="Arial"/>
                <w:sz w:val="15"/>
                <w:szCs w:val="15"/>
                <w:color w:val="auto"/>
              </w:rPr>
              <w:t>Add: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Interest expense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317,216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320,015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(0.87)%</w:t>
            </w:r>
          </w:p>
        </w:tc>
        <w:tc>
          <w:tcPr>
            <w:tcW w:w="0" w:type="dxa"/>
            <w:vAlign w:val="bottom"/>
          </w:tcPr>
          <w:p>
            <w:pPr>
              <w:spacing w:after="0"/>
              <w:rPr>
                <w:sz w:val="1"/>
                <w:szCs w:val="1"/>
                <w:color w:val="auto"/>
              </w:rPr>
            </w:pPr>
          </w:p>
        </w:tc>
      </w:tr>
      <w:tr>
        <w:trPr>
          <w:trHeight w:val="202"/>
        </w:trPr>
        <w:tc>
          <w:tcPr>
            <w:tcW w:w="6100" w:type="dxa"/>
            <w:vAlign w:val="bottom"/>
          </w:tcPr>
          <w:p>
            <w:pPr>
              <w:ind w:left="320"/>
              <w:spacing w:after="0"/>
              <w:rPr>
                <w:sz w:val="20"/>
                <w:szCs w:val="20"/>
                <w:color w:val="auto"/>
              </w:rPr>
            </w:pPr>
            <w:r>
              <w:rPr>
                <w:rFonts w:ascii="Arial" w:cs="Arial" w:eastAsia="Arial" w:hAnsi="Arial"/>
                <w:sz w:val="15"/>
                <w:szCs w:val="15"/>
                <w:color w:val="auto"/>
              </w:rPr>
              <w:t>Losses from early extinguishment of debt</w:t>
            </w:r>
          </w:p>
        </w:tc>
        <w:tc>
          <w:tcPr>
            <w:tcW w:w="2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898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(898)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(100.00)%</w:t>
            </w:r>
          </w:p>
        </w:tc>
        <w:tc>
          <w:tcPr>
            <w:tcW w:w="0" w:type="dxa"/>
            <w:vAlign w:val="bottom"/>
          </w:tcPr>
          <w:p>
            <w:pPr>
              <w:spacing w:after="0"/>
              <w:rPr>
                <w:sz w:val="1"/>
                <w:szCs w:val="1"/>
                <w:color w:val="auto"/>
              </w:rPr>
            </w:pPr>
          </w:p>
        </w:tc>
      </w:tr>
      <w:tr>
        <w:trPr>
          <w:trHeight w:val="204"/>
        </w:trPr>
        <w:tc>
          <w:tcPr>
            <w:tcW w:w="61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Loss from unconsolidated joint ventures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(20.40)%</w:t>
            </w:r>
          </w:p>
        </w:tc>
        <w:tc>
          <w:tcPr>
            <w:tcW w:w="0" w:type="dxa"/>
            <w:vAlign w:val="bottom"/>
          </w:tcPr>
          <w:p>
            <w:pPr>
              <w:spacing w:after="0"/>
              <w:rPr>
                <w:sz w:val="1"/>
                <w:szCs w:val="1"/>
                <w:color w:val="auto"/>
              </w:rPr>
            </w:pPr>
          </w:p>
        </w:tc>
      </w:tr>
      <w:tr>
        <w:trPr>
          <w:trHeight w:val="202"/>
        </w:trPr>
        <w:tc>
          <w:tcPr>
            <w:tcW w:w="6100" w:type="dxa"/>
            <w:vAlign w:val="bottom"/>
          </w:tcPr>
          <w:p>
            <w:pPr>
              <w:ind w:left="20"/>
              <w:spacing w:after="0"/>
              <w:rPr>
                <w:sz w:val="20"/>
                <w:szCs w:val="20"/>
                <w:color w:val="auto"/>
              </w:rPr>
            </w:pPr>
            <w:r>
              <w:rPr>
                <w:rFonts w:ascii="Arial" w:cs="Arial" w:eastAsia="Arial" w:hAnsi="Arial"/>
                <w:sz w:val="15"/>
                <w:szCs w:val="15"/>
                <w:color w:val="auto"/>
              </w:rPr>
              <w:t>Other Income: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00" w:type="dxa"/>
            <w:vAlign w:val="bottom"/>
          </w:tcPr>
          <w:p>
            <w:pPr>
              <w:ind w:left="320"/>
              <w:spacing w:after="0"/>
              <w:rPr>
                <w:sz w:val="20"/>
                <w:szCs w:val="20"/>
                <w:color w:val="auto"/>
              </w:rPr>
            </w:pPr>
            <w:r>
              <w:rPr>
                <w:rFonts w:ascii="Arial" w:cs="Arial" w:eastAsia="Arial" w:hAnsi="Arial"/>
                <w:sz w:val="15"/>
                <w:szCs w:val="15"/>
                <w:color w:val="auto"/>
              </w:rPr>
              <w:t>Gains (losses) from investments in securities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(8,549)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3,744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(12,293)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(328.34)%</w:t>
            </w:r>
          </w:p>
        </w:tc>
        <w:tc>
          <w:tcPr>
            <w:tcW w:w="0" w:type="dxa"/>
            <w:vAlign w:val="bottom"/>
          </w:tcPr>
          <w:p>
            <w:pPr>
              <w:spacing w:after="0"/>
              <w:rPr>
                <w:sz w:val="1"/>
                <w:szCs w:val="1"/>
                <w:color w:val="auto"/>
              </w:rPr>
            </w:pPr>
          </w:p>
        </w:tc>
      </w:tr>
      <w:tr>
        <w:trPr>
          <w:trHeight w:val="204"/>
        </w:trPr>
        <w:tc>
          <w:tcPr>
            <w:tcW w:w="61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income - assignment fee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6,624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6,624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100.00 %</w:t>
            </w:r>
          </w:p>
        </w:tc>
        <w:tc>
          <w:tcPr>
            <w:tcW w:w="0" w:type="dxa"/>
            <w:vAlign w:val="bottom"/>
          </w:tcPr>
          <w:p>
            <w:pPr>
              <w:spacing w:after="0"/>
              <w:rPr>
                <w:sz w:val="1"/>
                <w:szCs w:val="1"/>
                <w:color w:val="auto"/>
              </w:rPr>
            </w:pPr>
          </w:p>
        </w:tc>
      </w:tr>
      <w:tr>
        <w:trPr>
          <w:trHeight w:val="202"/>
        </w:trPr>
        <w:tc>
          <w:tcPr>
            <w:tcW w:w="6100" w:type="dxa"/>
            <w:vAlign w:val="bottom"/>
          </w:tcPr>
          <w:p>
            <w:pPr>
              <w:ind w:left="320"/>
              <w:spacing w:after="0"/>
              <w:rPr>
                <w:sz w:val="20"/>
                <w:szCs w:val="20"/>
                <w:color w:val="auto"/>
              </w:rPr>
            </w:pPr>
            <w:r>
              <w:rPr>
                <w:rFonts w:ascii="Arial" w:cs="Arial" w:eastAsia="Arial" w:hAnsi="Arial"/>
                <w:sz w:val="15"/>
                <w:szCs w:val="15"/>
                <w:color w:val="auto"/>
              </w:rPr>
              <w:t>Interest and other income (loss)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6,151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4,140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2,011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48.57 %</w:t>
            </w:r>
          </w:p>
        </w:tc>
        <w:tc>
          <w:tcPr>
            <w:tcW w:w="0" w:type="dxa"/>
            <w:vAlign w:val="bottom"/>
          </w:tcPr>
          <w:p>
            <w:pPr>
              <w:spacing w:after="0"/>
              <w:rPr>
                <w:sz w:val="1"/>
                <w:szCs w:val="1"/>
                <w:color w:val="auto"/>
              </w:rPr>
            </w:pPr>
          </w:p>
        </w:tc>
      </w:tr>
      <w:tr>
        <w:trPr>
          <w:trHeight w:val="204"/>
        </w:trPr>
        <w:tc>
          <w:tcPr>
            <w:tcW w:w="61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Gains on sales of real estate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381,293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373,189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4,605.00 %</w:t>
            </w:r>
          </w:p>
        </w:tc>
        <w:tc>
          <w:tcPr>
            <w:tcW w:w="0" w:type="dxa"/>
            <w:vAlign w:val="bottom"/>
          </w:tcPr>
          <w:p>
            <w:pPr>
              <w:spacing w:after="0"/>
              <w:rPr>
                <w:sz w:val="1"/>
                <w:szCs w:val="1"/>
                <w:color w:val="auto"/>
              </w:rPr>
            </w:pPr>
          </w:p>
        </w:tc>
      </w:tr>
      <w:tr>
        <w:trPr>
          <w:trHeight w:val="202"/>
        </w:trPr>
        <w:tc>
          <w:tcPr>
            <w:tcW w:w="6100" w:type="dxa"/>
            <w:vAlign w:val="bottom"/>
          </w:tcPr>
          <w:p>
            <w:pPr>
              <w:ind w:left="20"/>
              <w:spacing w:after="0"/>
              <w:rPr>
                <w:sz w:val="20"/>
                <w:szCs w:val="20"/>
                <w:color w:val="auto"/>
              </w:rPr>
            </w:pPr>
            <w:r>
              <w:rPr>
                <w:rFonts w:ascii="Arial" w:cs="Arial" w:eastAsia="Arial" w:hAnsi="Arial"/>
                <w:sz w:val="15"/>
                <w:szCs w:val="15"/>
                <w:color w:val="auto"/>
              </w:rPr>
              <w:t>Other Expenses: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00" w:type="dxa"/>
            <w:vAlign w:val="bottom"/>
          </w:tcPr>
          <w:p>
            <w:pPr>
              <w:ind w:left="320"/>
              <w:spacing w:after="0"/>
              <w:rPr>
                <w:sz w:val="20"/>
                <w:szCs w:val="20"/>
                <w:color w:val="auto"/>
              </w:rPr>
            </w:pPr>
            <w:r>
              <w:rPr>
                <w:rFonts w:ascii="Arial" w:cs="Arial" w:eastAsia="Arial" w:hAnsi="Arial"/>
                <w:sz w:val="15"/>
                <w:szCs w:val="15"/>
                <w:color w:val="auto"/>
              </w:rPr>
              <w:t>Depreciation and amortization expense</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551,445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539,815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11,630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2.15 %</w:t>
            </w:r>
          </w:p>
        </w:tc>
        <w:tc>
          <w:tcPr>
            <w:tcW w:w="0" w:type="dxa"/>
            <w:vAlign w:val="bottom"/>
          </w:tcPr>
          <w:p>
            <w:pPr>
              <w:spacing w:after="0"/>
              <w:rPr>
                <w:sz w:val="1"/>
                <w:szCs w:val="1"/>
                <w:color w:val="auto"/>
              </w:rPr>
            </w:pPr>
          </w:p>
        </w:tc>
      </w:tr>
      <w:tr>
        <w:trPr>
          <w:trHeight w:val="204"/>
        </w:trPr>
        <w:tc>
          <w:tcPr>
            <w:tcW w:w="61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Transaction costs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(27.74)%</w:t>
            </w:r>
          </w:p>
        </w:tc>
        <w:tc>
          <w:tcPr>
            <w:tcW w:w="0" w:type="dxa"/>
            <w:vAlign w:val="bottom"/>
          </w:tcPr>
          <w:p>
            <w:pPr>
              <w:spacing w:after="0"/>
              <w:rPr>
                <w:sz w:val="1"/>
                <w:szCs w:val="1"/>
                <w:color w:val="auto"/>
              </w:rPr>
            </w:pPr>
          </w:p>
        </w:tc>
      </w:tr>
      <w:tr>
        <w:trPr>
          <w:trHeight w:val="202"/>
        </w:trPr>
        <w:tc>
          <w:tcPr>
            <w:tcW w:w="6100" w:type="dxa"/>
            <w:vAlign w:val="bottom"/>
          </w:tcPr>
          <w:p>
            <w:pPr>
              <w:ind w:left="320"/>
              <w:spacing w:after="0"/>
              <w:rPr>
                <w:sz w:val="20"/>
                <w:szCs w:val="20"/>
                <w:color w:val="auto"/>
              </w:rPr>
            </w:pPr>
            <w:r>
              <w:rPr>
                <w:rFonts w:ascii="Arial" w:cs="Arial" w:eastAsia="Arial" w:hAnsi="Arial"/>
                <w:sz w:val="15"/>
                <w:szCs w:val="15"/>
                <w:color w:val="auto"/>
              </w:rPr>
              <w:t>Payroll and related costs from management services contracts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11,204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9,166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2,038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22.23 %</w:t>
            </w:r>
          </w:p>
        </w:tc>
        <w:tc>
          <w:tcPr>
            <w:tcW w:w="0" w:type="dxa"/>
            <w:vAlign w:val="bottom"/>
          </w:tcPr>
          <w:p>
            <w:pPr>
              <w:spacing w:after="0"/>
              <w:rPr>
                <w:sz w:val="1"/>
                <w:szCs w:val="1"/>
                <w:color w:val="auto"/>
              </w:rPr>
            </w:pPr>
          </w:p>
        </w:tc>
      </w:tr>
      <w:tr>
        <w:trPr>
          <w:trHeight w:val="204"/>
        </w:trPr>
        <w:tc>
          <w:tcPr>
            <w:tcW w:w="61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General and administrative expense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110,378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117,924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(7,546)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w:t>
            </w:r>
          </w:p>
        </w:tc>
        <w:tc>
          <w:tcPr>
            <w:tcW w:w="0" w:type="dxa"/>
            <w:vAlign w:val="bottom"/>
          </w:tcPr>
          <w:p>
            <w:pPr>
              <w:spacing w:after="0"/>
              <w:rPr>
                <w:sz w:val="1"/>
                <w:szCs w:val="1"/>
                <w:color w:val="auto"/>
              </w:rPr>
            </w:pPr>
          </w:p>
        </w:tc>
      </w:tr>
      <w:tr>
        <w:trPr>
          <w:trHeight w:val="202"/>
        </w:trPr>
        <w:tc>
          <w:tcPr>
            <w:tcW w:w="6100" w:type="dxa"/>
            <w:vAlign w:val="bottom"/>
          </w:tcPr>
          <w:p>
            <w:pPr>
              <w:ind w:left="20"/>
              <w:spacing w:after="0"/>
              <w:rPr>
                <w:sz w:val="20"/>
                <w:szCs w:val="20"/>
                <w:color w:val="auto"/>
              </w:rPr>
            </w:pPr>
            <w:r>
              <w:rPr>
                <w:rFonts w:ascii="Arial" w:cs="Arial" w:eastAsia="Arial" w:hAnsi="Arial"/>
                <w:sz w:val="15"/>
                <w:szCs w:val="15"/>
                <w:color w:val="auto"/>
              </w:rPr>
              <w:t>Other Revenue: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100" w:type="dxa"/>
            <w:vAlign w:val="bottom"/>
          </w:tcPr>
          <w:p>
            <w:pPr>
              <w:ind w:left="320"/>
              <w:spacing w:after="0" w:line="153" w:lineRule="exact"/>
              <w:rPr>
                <w:sz w:val="20"/>
                <w:szCs w:val="20"/>
                <w:color w:val="auto"/>
              </w:rPr>
            </w:pPr>
            <w:r>
              <w:rPr>
                <w:rFonts w:ascii="Arial" w:cs="Arial" w:eastAsia="Arial" w:hAnsi="Arial"/>
                <w:sz w:val="15"/>
                <w:szCs w:val="15"/>
                <w:color w:val="auto"/>
              </w:rPr>
              <w:t>Direct reimbursements of payroll and related costs from management services</w:t>
            </w:r>
          </w:p>
        </w:tc>
        <w:tc>
          <w:tcPr>
            <w:tcW w:w="2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11,204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4"/>
              <w:spacing w:after="0"/>
              <w:rPr>
                <w:sz w:val="20"/>
                <w:szCs w:val="20"/>
                <w:color w:val="auto"/>
              </w:rPr>
            </w:pPr>
            <w:r>
              <w:rPr>
                <w:rFonts w:ascii="Arial" w:cs="Arial" w:eastAsia="Arial" w:hAnsi="Arial"/>
                <w:sz w:val="15"/>
                <w:szCs w:val="15"/>
                <w:color w:val="auto"/>
              </w:rPr>
              <w:t>9,166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4"/>
              <w:spacing w:after="0"/>
              <w:rPr>
                <w:sz w:val="20"/>
                <w:szCs w:val="20"/>
                <w:color w:val="auto"/>
              </w:rPr>
            </w:pPr>
            <w:r>
              <w:rPr>
                <w:rFonts w:ascii="Arial" w:cs="Arial" w:eastAsia="Arial" w:hAnsi="Arial"/>
                <w:sz w:val="15"/>
                <w:szCs w:val="15"/>
                <w:color w:val="auto"/>
              </w:rPr>
              <w:t>2,038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22.23 %</w:t>
            </w:r>
          </w:p>
        </w:tc>
        <w:tc>
          <w:tcPr>
            <w:tcW w:w="0" w:type="dxa"/>
            <w:vAlign w:val="bottom"/>
          </w:tcPr>
          <w:p>
            <w:pPr>
              <w:spacing w:after="0"/>
              <w:rPr>
                <w:sz w:val="1"/>
                <w:szCs w:val="1"/>
                <w:color w:val="auto"/>
              </w:rPr>
            </w:pPr>
          </w:p>
        </w:tc>
      </w:tr>
      <w:tr>
        <w:trPr>
          <w:trHeight w:val="201"/>
        </w:trPr>
        <w:tc>
          <w:tcPr>
            <w:tcW w:w="6100" w:type="dxa"/>
            <w:vAlign w:val="bottom"/>
          </w:tcPr>
          <w:p>
            <w:pPr>
              <w:ind w:left="480"/>
              <w:spacing w:after="0"/>
              <w:rPr>
                <w:sz w:val="20"/>
                <w:szCs w:val="20"/>
                <w:color w:val="auto"/>
              </w:rPr>
            </w:pPr>
            <w:r>
              <w:rPr>
                <w:rFonts w:ascii="Arial" w:cs="Arial" w:eastAsia="Arial" w:hAnsi="Arial"/>
                <w:sz w:val="15"/>
                <w:szCs w:val="15"/>
                <w:color w:val="auto"/>
              </w:rPr>
              <w:t>contracts</w:t>
            </w: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Development and management services revenue</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19,650</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20,181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(2.63)%</w:t>
            </w:r>
          </w:p>
        </w:tc>
        <w:tc>
          <w:tcPr>
            <w:tcW w:w="0" w:type="dxa"/>
            <w:vAlign w:val="bottom"/>
          </w:tcPr>
          <w:p>
            <w:pPr>
              <w:spacing w:after="0"/>
              <w:rPr>
                <w:sz w:val="1"/>
                <w:szCs w:val="1"/>
                <w:color w:val="auto"/>
              </w:rPr>
            </w:pPr>
          </w:p>
        </w:tc>
      </w:tr>
      <w:tr>
        <w:trPr>
          <w:trHeight w:val="197"/>
        </w:trPr>
        <w:tc>
          <w:tcPr>
            <w:tcW w:w="6100" w:type="dxa"/>
            <w:vAlign w:val="bottom"/>
          </w:tcPr>
          <w:p>
            <w:pPr>
              <w:ind w:left="20"/>
              <w:spacing w:after="0"/>
              <w:rPr>
                <w:sz w:val="20"/>
                <w:szCs w:val="20"/>
                <w:color w:val="auto"/>
              </w:rPr>
            </w:pPr>
            <w:r>
              <w:rPr>
                <w:rFonts w:ascii="Arial" w:cs="Arial" w:eastAsia="Arial" w:hAnsi="Arial"/>
                <w:sz w:val="15"/>
                <w:szCs w:val="15"/>
                <w:color w:val="auto"/>
              </w:rPr>
              <w:t>Net Operating Income</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1,442,266</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1,355,845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86,421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6.37 %</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BPLP</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5"/>
                <w:szCs w:val="15"/>
                <w:b w:val="1"/>
                <w:bCs w:val="1"/>
                <w:color w:val="auto"/>
              </w:rPr>
              <w:t>Nine months ended September 30,</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44"/>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460"/>
              <w:spacing w:after="0" w:line="146" w:lineRule="exact"/>
              <w:rPr>
                <w:sz w:val="20"/>
                <w:szCs w:val="20"/>
                <w:color w:val="auto"/>
              </w:rPr>
            </w:pPr>
            <w:r>
              <w:rPr>
                <w:rFonts w:ascii="Arial" w:cs="Arial" w:eastAsia="Arial" w:hAnsi="Arial"/>
                <w:sz w:val="15"/>
                <w:szCs w:val="15"/>
                <w:b w:val="1"/>
                <w:bCs w:val="1"/>
                <w:color w:val="auto"/>
              </w:rPr>
              <w:t>Increase/</w:t>
            </w:r>
          </w:p>
        </w:tc>
        <w:tc>
          <w:tcPr>
            <w:tcW w:w="1140" w:type="dxa"/>
            <w:vAlign w:val="bottom"/>
          </w:tcPr>
          <w:p>
            <w:pPr>
              <w:jc w:val="right"/>
              <w:ind w:right="544"/>
              <w:spacing w:after="0" w:line="146"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5"/>
                <w:szCs w:val="15"/>
                <w:b w:val="1"/>
                <w:bCs w:val="1"/>
                <w:color w:val="auto"/>
              </w:rPr>
              <w:t>(Decrease)</w:t>
            </w:r>
          </w:p>
        </w:tc>
        <w:tc>
          <w:tcPr>
            <w:tcW w:w="114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6"/>
          </w:tcPr>
          <w:p>
            <w:pPr>
              <w:jc w:val="center"/>
              <w:ind w:right="360"/>
              <w:spacing w:after="0"/>
              <w:rPr>
                <w:sz w:val="20"/>
                <w:szCs w:val="20"/>
                <w:color w:val="auto"/>
              </w:rPr>
            </w:pPr>
            <w:r>
              <w:rPr>
                <w:rFonts w:ascii="Arial" w:cs="Arial" w:eastAsia="Arial" w:hAnsi="Arial"/>
                <w:sz w:val="15"/>
                <w:szCs w:val="15"/>
                <w:b w:val="1"/>
                <w:bCs w:val="1"/>
                <w:color w:val="auto"/>
              </w:rPr>
              <w:t>(in thousands)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Attributable to Boston Properties Limited Partnership Common Unitholders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819,195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353,633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465,562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131.65 %</w:t>
            </w:r>
          </w:p>
        </w:tc>
        <w:tc>
          <w:tcPr>
            <w:tcW w:w="0" w:type="dxa"/>
            <w:vAlign w:val="bottom"/>
          </w:tcPr>
          <w:p>
            <w:pPr>
              <w:spacing w:after="0"/>
              <w:rPr>
                <w:sz w:val="1"/>
                <w:szCs w:val="1"/>
                <w:color w:val="auto"/>
              </w:rPr>
            </w:pPr>
          </w:p>
        </w:tc>
      </w:tr>
      <w:tr>
        <w:trPr>
          <w:trHeight w:val="202"/>
        </w:trPr>
        <w:tc>
          <w:tcPr>
            <w:tcW w:w="6060" w:type="dxa"/>
            <w:vAlign w:val="bottom"/>
          </w:tcPr>
          <w:p>
            <w:pPr>
              <w:ind w:left="320"/>
              <w:spacing w:after="0"/>
              <w:rPr>
                <w:sz w:val="20"/>
                <w:szCs w:val="20"/>
                <w:color w:val="auto"/>
              </w:rPr>
            </w:pPr>
            <w:r>
              <w:rPr>
                <w:rFonts w:ascii="Arial" w:cs="Arial" w:eastAsia="Arial" w:hAnsi="Arial"/>
                <w:sz w:val="15"/>
                <w:szCs w:val="15"/>
                <w:color w:val="auto"/>
              </w:rPr>
              <w:t>Preferred unit redemption charge</w:t>
            </w:r>
          </w:p>
        </w:tc>
        <w:tc>
          <w:tcPr>
            <w:tcW w:w="2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6,412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(6,412)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(100.00)%</w:t>
            </w: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Preferred distributions</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0" w:type="dxa"/>
            <w:vAlign w:val="bottom"/>
          </w:tcPr>
          <w:p>
            <w:pPr>
              <w:spacing w:after="0"/>
              <w:rPr>
                <w:sz w:val="1"/>
                <w:szCs w:val="1"/>
                <w:color w:val="auto"/>
              </w:rPr>
            </w:pPr>
          </w:p>
        </w:tc>
      </w:tr>
      <w:tr>
        <w:trPr>
          <w:trHeight w:val="194"/>
        </w:trPr>
        <w:tc>
          <w:tcPr>
            <w:tcW w:w="6060" w:type="dxa"/>
            <w:vAlign w:val="bottom"/>
          </w:tcPr>
          <w:p>
            <w:pPr>
              <w:ind w:left="20"/>
              <w:spacing w:after="0"/>
              <w:rPr>
                <w:sz w:val="20"/>
                <w:szCs w:val="20"/>
                <w:color w:val="auto"/>
              </w:rPr>
            </w:pPr>
            <w:r>
              <w:rPr>
                <w:rFonts w:ascii="Arial" w:cs="Arial" w:eastAsia="Arial" w:hAnsi="Arial"/>
                <w:sz w:val="15"/>
                <w:szCs w:val="15"/>
                <w:color w:val="auto"/>
              </w:rPr>
              <w:t>Net Income Attributable to Boston Properties Limited Partnership</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819,195</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362,605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456,590</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125.92 %</w:t>
            </w: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Attributable to Noncontrolling Interests: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Noncontrolling interests in property partnerships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54,896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52,602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2,294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4.36 %</w:t>
            </w: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874,091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415,207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458,884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110.52 %</w:t>
            </w:r>
          </w:p>
        </w:tc>
        <w:tc>
          <w:tcPr>
            <w:tcW w:w="0" w:type="dxa"/>
            <w:vAlign w:val="bottom"/>
          </w:tcPr>
          <w:p>
            <w:pPr>
              <w:spacing w:after="0"/>
              <w:rPr>
                <w:sz w:val="1"/>
                <w:szCs w:val="1"/>
                <w:color w:val="auto"/>
              </w:rPr>
            </w:pPr>
          </w:p>
        </w:tc>
      </w:tr>
      <w:tr>
        <w:trPr>
          <w:trHeight w:val="202"/>
        </w:trPr>
        <w:tc>
          <w:tcPr>
            <w:tcW w:w="6060" w:type="dxa"/>
            <w:vAlign w:val="bottom"/>
          </w:tcPr>
          <w:p>
            <w:pPr>
              <w:ind w:left="20"/>
              <w:spacing w:after="0"/>
              <w:rPr>
                <w:sz w:val="20"/>
                <w:szCs w:val="20"/>
                <w:color w:val="auto"/>
              </w:rPr>
            </w:pPr>
            <w:r>
              <w:rPr>
                <w:rFonts w:ascii="Arial" w:cs="Arial" w:eastAsia="Arial" w:hAnsi="Arial"/>
                <w:sz w:val="15"/>
                <w:szCs w:val="15"/>
                <w:color w:val="auto"/>
              </w:rPr>
              <w:t>Other Expenses: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60" w:type="dxa"/>
            <w:vAlign w:val="bottom"/>
          </w:tcPr>
          <w:p>
            <w:pPr>
              <w:ind w:left="320"/>
              <w:spacing w:after="0"/>
              <w:rPr>
                <w:sz w:val="20"/>
                <w:szCs w:val="20"/>
                <w:color w:val="auto"/>
              </w:rPr>
            </w:pPr>
            <w:r>
              <w:rPr>
                <w:rFonts w:ascii="Arial" w:cs="Arial" w:eastAsia="Arial" w:hAnsi="Arial"/>
                <w:sz w:val="15"/>
                <w:szCs w:val="15"/>
                <w:color w:val="auto"/>
              </w:rPr>
              <w:t>Interest expense</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317,216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320,015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(2,799)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(0.87)%</w:t>
            </w: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Losses from early extinguishment of debt</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0" w:type="dxa"/>
            <w:vAlign w:val="bottom"/>
          </w:tcPr>
          <w:p>
            <w:pPr>
              <w:spacing w:after="0"/>
              <w:rPr>
                <w:sz w:val="1"/>
                <w:szCs w:val="1"/>
                <w:color w:val="auto"/>
              </w:rPr>
            </w:pPr>
          </w:p>
        </w:tc>
      </w:tr>
      <w:tr>
        <w:trPr>
          <w:trHeight w:val="202"/>
        </w:trPr>
        <w:tc>
          <w:tcPr>
            <w:tcW w:w="6060" w:type="dxa"/>
            <w:vAlign w:val="bottom"/>
          </w:tcPr>
          <w:p>
            <w:pPr>
              <w:ind w:left="320"/>
              <w:spacing w:after="0"/>
              <w:rPr>
                <w:sz w:val="20"/>
                <w:szCs w:val="20"/>
                <w:color w:val="auto"/>
              </w:rPr>
            </w:pPr>
            <w:r>
              <w:rPr>
                <w:rFonts w:ascii="Arial" w:cs="Arial" w:eastAsia="Arial" w:hAnsi="Arial"/>
                <w:sz w:val="15"/>
                <w:szCs w:val="15"/>
                <w:color w:val="auto"/>
              </w:rPr>
              <w:t>Loss from unconsolidated joint ventures</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1,389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1,745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(20.40)%</w:t>
            </w: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60" w:type="dxa"/>
            <w:vAlign w:val="bottom"/>
          </w:tcPr>
          <w:p>
            <w:pPr>
              <w:ind w:left="20"/>
              <w:spacing w:after="0"/>
              <w:rPr>
                <w:sz w:val="20"/>
                <w:szCs w:val="20"/>
                <w:color w:val="auto"/>
              </w:rPr>
            </w:pPr>
            <w:r>
              <w:rPr>
                <w:rFonts w:ascii="Arial" w:cs="Arial" w:eastAsia="Arial" w:hAnsi="Arial"/>
                <w:sz w:val="15"/>
                <w:szCs w:val="15"/>
                <w:color w:val="auto"/>
              </w:rPr>
              <w:t>Less: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Gains (losses) from investments in securities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(328.34)%</w:t>
            </w:r>
          </w:p>
        </w:tc>
        <w:tc>
          <w:tcPr>
            <w:tcW w:w="0" w:type="dxa"/>
            <w:vAlign w:val="bottom"/>
          </w:tcPr>
          <w:p>
            <w:pPr>
              <w:spacing w:after="0"/>
              <w:rPr>
                <w:sz w:val="1"/>
                <w:szCs w:val="1"/>
                <w:color w:val="auto"/>
              </w:rPr>
            </w:pPr>
          </w:p>
        </w:tc>
      </w:tr>
      <w:tr>
        <w:trPr>
          <w:trHeight w:val="202"/>
        </w:trPr>
        <w:tc>
          <w:tcPr>
            <w:tcW w:w="6060" w:type="dxa"/>
            <w:vAlign w:val="bottom"/>
          </w:tcPr>
          <w:p>
            <w:pPr>
              <w:ind w:left="320"/>
              <w:spacing w:after="0"/>
              <w:rPr>
                <w:sz w:val="20"/>
                <w:szCs w:val="20"/>
                <w:color w:val="auto"/>
              </w:rPr>
            </w:pPr>
            <w:r>
              <w:rPr>
                <w:rFonts w:ascii="Arial" w:cs="Arial" w:eastAsia="Arial" w:hAnsi="Arial"/>
                <w:sz w:val="15"/>
                <w:szCs w:val="15"/>
                <w:color w:val="auto"/>
              </w:rPr>
              <w:t>Other income - assignment fee</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6,624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6,624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100.00 %</w:t>
            </w: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Interest and other income (loss)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6,151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48.57 %</w:t>
            </w:r>
          </w:p>
        </w:tc>
        <w:tc>
          <w:tcPr>
            <w:tcW w:w="0" w:type="dxa"/>
            <w:vAlign w:val="bottom"/>
          </w:tcPr>
          <w:p>
            <w:pPr>
              <w:spacing w:after="0"/>
              <w:rPr>
                <w:sz w:val="1"/>
                <w:szCs w:val="1"/>
                <w:color w:val="auto"/>
              </w:rPr>
            </w:pPr>
          </w:p>
        </w:tc>
      </w:tr>
      <w:tr>
        <w:trPr>
          <w:trHeight w:val="202"/>
        </w:trPr>
        <w:tc>
          <w:tcPr>
            <w:tcW w:w="6060" w:type="dxa"/>
            <w:vAlign w:val="bottom"/>
          </w:tcPr>
          <w:p>
            <w:pPr>
              <w:ind w:left="320"/>
              <w:spacing w:after="0"/>
              <w:rPr>
                <w:sz w:val="20"/>
                <w:szCs w:val="20"/>
                <w:color w:val="auto"/>
              </w:rPr>
            </w:pPr>
            <w:r>
              <w:rPr>
                <w:rFonts w:ascii="Arial" w:cs="Arial" w:eastAsia="Arial" w:hAnsi="Arial"/>
                <w:sz w:val="15"/>
                <w:szCs w:val="15"/>
                <w:color w:val="auto"/>
              </w:rPr>
              <w:t>Gains on sales of real estate</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385,349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8,104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377,245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4,655.05 %</w:t>
            </w: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Expenses: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60" w:type="dxa"/>
            <w:vAlign w:val="bottom"/>
          </w:tcPr>
          <w:p>
            <w:pPr>
              <w:ind w:left="20"/>
              <w:spacing w:after="0"/>
              <w:rPr>
                <w:sz w:val="20"/>
                <w:szCs w:val="20"/>
                <w:color w:val="auto"/>
              </w:rPr>
            </w:pPr>
            <w:r>
              <w:rPr>
                <w:rFonts w:ascii="Arial" w:cs="Arial" w:eastAsia="Arial" w:hAnsi="Arial"/>
                <w:sz w:val="15"/>
                <w:szCs w:val="15"/>
                <w:color w:val="auto"/>
              </w:rPr>
              <w:t>Add: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Depreciation and amortization expense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546,271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533,255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13,016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2.44 %</w:t>
            </w:r>
          </w:p>
        </w:tc>
        <w:tc>
          <w:tcPr>
            <w:tcW w:w="0" w:type="dxa"/>
            <w:vAlign w:val="bottom"/>
          </w:tcPr>
          <w:p>
            <w:pPr>
              <w:spacing w:after="0"/>
              <w:rPr>
                <w:sz w:val="1"/>
                <w:szCs w:val="1"/>
                <w:color w:val="auto"/>
              </w:rPr>
            </w:pPr>
          </w:p>
        </w:tc>
      </w:tr>
      <w:tr>
        <w:trPr>
          <w:trHeight w:val="202"/>
        </w:trPr>
        <w:tc>
          <w:tcPr>
            <w:tcW w:w="6060" w:type="dxa"/>
            <w:vAlign w:val="bottom"/>
          </w:tcPr>
          <w:p>
            <w:pPr>
              <w:ind w:left="320"/>
              <w:spacing w:after="0"/>
              <w:rPr>
                <w:sz w:val="20"/>
                <w:szCs w:val="20"/>
                <w:color w:val="auto"/>
              </w:rPr>
            </w:pPr>
            <w:r>
              <w:rPr>
                <w:rFonts w:ascii="Arial" w:cs="Arial" w:eastAsia="Arial" w:hAnsi="Arial"/>
                <w:sz w:val="15"/>
                <w:szCs w:val="15"/>
                <w:color w:val="auto"/>
              </w:rPr>
              <w:t>Transaction costs</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2,146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2,970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(27.74)%</w:t>
            </w: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Payroll and related costs from management services contracts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11,204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9,166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2,038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22.23 %</w:t>
            </w:r>
          </w:p>
        </w:tc>
        <w:tc>
          <w:tcPr>
            <w:tcW w:w="0" w:type="dxa"/>
            <w:vAlign w:val="bottom"/>
          </w:tcPr>
          <w:p>
            <w:pPr>
              <w:spacing w:after="0"/>
              <w:rPr>
                <w:sz w:val="1"/>
                <w:szCs w:val="1"/>
                <w:color w:val="auto"/>
              </w:rPr>
            </w:pPr>
          </w:p>
        </w:tc>
      </w:tr>
      <w:tr>
        <w:trPr>
          <w:trHeight w:val="202"/>
        </w:trPr>
        <w:tc>
          <w:tcPr>
            <w:tcW w:w="6060" w:type="dxa"/>
            <w:vAlign w:val="bottom"/>
          </w:tcPr>
          <w:p>
            <w:pPr>
              <w:ind w:left="320"/>
              <w:spacing w:after="0"/>
              <w:rPr>
                <w:sz w:val="20"/>
                <w:szCs w:val="20"/>
                <w:color w:val="auto"/>
              </w:rPr>
            </w:pPr>
            <w:r>
              <w:rPr>
                <w:rFonts w:ascii="Arial" w:cs="Arial" w:eastAsia="Arial" w:hAnsi="Arial"/>
                <w:sz w:val="15"/>
                <w:szCs w:val="15"/>
                <w:color w:val="auto"/>
              </w:rPr>
              <w:t>General and administrative expense</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110,378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117,924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(7,546)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(6.40)%</w:t>
            </w:r>
          </w:p>
        </w:tc>
        <w:tc>
          <w:tcPr>
            <w:tcW w:w="0" w:type="dxa"/>
            <w:vAlign w:val="bottom"/>
          </w:tcPr>
          <w:p>
            <w:pPr>
              <w:spacing w:after="0"/>
              <w:rPr>
                <w:sz w:val="1"/>
                <w:szCs w:val="1"/>
                <w:color w:val="auto"/>
              </w:rPr>
            </w:pPr>
          </w:p>
        </w:tc>
      </w:tr>
      <w:tr>
        <w:trPr>
          <w:trHeight w:val="204"/>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Revenue: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60" w:type="dxa"/>
            <w:vAlign w:val="bottom"/>
          </w:tcPr>
          <w:p>
            <w:pPr>
              <w:ind w:left="20"/>
              <w:spacing w:after="0"/>
              <w:rPr>
                <w:sz w:val="20"/>
                <w:szCs w:val="20"/>
                <w:color w:val="auto"/>
              </w:rPr>
            </w:pPr>
            <w:r>
              <w:rPr>
                <w:rFonts w:ascii="Arial" w:cs="Arial" w:eastAsia="Arial" w:hAnsi="Arial"/>
                <w:sz w:val="15"/>
                <w:szCs w:val="15"/>
                <w:color w:val="auto"/>
              </w:rPr>
              <w:t>Less: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6060" w:type="dxa"/>
            <w:vAlign w:val="bottom"/>
            <w:shd w:val="clear" w:color="auto" w:fill="CCEEFF"/>
          </w:tcPr>
          <w:p>
            <w:pPr>
              <w:ind w:left="320"/>
              <w:spacing w:after="0" w:line="154" w:lineRule="exact"/>
              <w:rPr>
                <w:sz w:val="20"/>
                <w:szCs w:val="20"/>
                <w:color w:val="auto"/>
              </w:rPr>
            </w:pPr>
            <w:r>
              <w:rPr>
                <w:rFonts w:ascii="Arial" w:cs="Arial" w:eastAsia="Arial" w:hAnsi="Arial"/>
                <w:sz w:val="15"/>
                <w:szCs w:val="15"/>
                <w:color w:val="auto"/>
              </w:rPr>
              <w:t>Direct reimbursements of payroll and related costs from management services</w:t>
            </w:r>
          </w:p>
        </w:tc>
        <w:tc>
          <w:tcPr>
            <w:tcW w:w="2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11,204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9,166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2,038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22.23 %</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480"/>
              <w:spacing w:after="0"/>
              <w:rPr>
                <w:sz w:val="20"/>
                <w:szCs w:val="20"/>
                <w:color w:val="auto"/>
              </w:rPr>
            </w:pPr>
            <w:r>
              <w:rPr>
                <w:rFonts w:ascii="Arial" w:cs="Arial" w:eastAsia="Arial" w:hAnsi="Arial"/>
                <w:sz w:val="15"/>
                <w:szCs w:val="15"/>
                <w:color w:val="auto"/>
              </w:rPr>
              <w:t>contracts</w:t>
            </w:r>
          </w:p>
        </w:tc>
        <w:tc>
          <w:tcPr>
            <w:tcW w:w="2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Development and management services revenue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19,650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20,181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(2.63)%</w:t>
            </w:r>
          </w:p>
        </w:tc>
        <w:tc>
          <w:tcPr>
            <w:tcW w:w="0" w:type="dxa"/>
            <w:vAlign w:val="bottom"/>
          </w:tcPr>
          <w:p>
            <w:pPr>
              <w:spacing w:after="0"/>
              <w:rPr>
                <w:sz w:val="1"/>
                <w:szCs w:val="1"/>
                <w:color w:val="auto"/>
              </w:rPr>
            </w:pPr>
          </w:p>
        </w:tc>
      </w:tr>
      <w:tr>
        <w:trPr>
          <w:trHeight w:val="222"/>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Operating Income</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1,442,266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1,355,845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86,421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6.37 %</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ind w:right="40" w:firstLine="419"/>
        <w:spacing w:after="0" w:line="254" w:lineRule="auto"/>
        <w:rPr>
          <w:sz w:val="20"/>
          <w:szCs w:val="20"/>
          <w:color w:val="auto"/>
        </w:rPr>
      </w:pPr>
      <w:r>
        <w:rPr>
          <w:rFonts w:ascii="Arial" w:cs="Arial" w:eastAsia="Arial" w:hAnsi="Arial"/>
          <w:sz w:val="17"/>
          <w:szCs w:val="17"/>
          <w:color w:val="auto"/>
        </w:rPr>
        <w:t>At September 30, 2022 and 2021, we owned or had joint venture interests in a portfolio of 193 and 202 commercial real estate properties, respectively (in each case, the “Total Property Portfolio”). As a result of changes within our Total Property Portfolio, the financial data presented below shows significant changes in revenue and expenses from period-to-period. Accordingly, we do not believe that our period-to-period financial data with respect to the Total Property Portfolio provides a complete understanding of our operating results. Therefore, the comparison of operating results for the three and nine months ended September 30, 2022 and 2021 show separately the changes attributable to the properties that were owned by us and in-service throughout each period compared (the “Same Property Portfolio”) and the changes attributable to the properties included in the Acquired, Placed In-Service, Development or Redevelopment or Sold Portfolios.</w:t>
      </w:r>
    </w:p>
    <w:p>
      <w:pPr>
        <w:spacing w:after="0" w:line="126" w:lineRule="exact"/>
        <w:rPr>
          <w:sz w:val="20"/>
          <w:szCs w:val="20"/>
          <w:color w:val="auto"/>
        </w:rPr>
      </w:pPr>
    </w:p>
    <w:p>
      <w:pPr>
        <w:ind w:right="20" w:firstLine="419"/>
        <w:spacing w:after="0" w:line="260" w:lineRule="auto"/>
        <w:rPr>
          <w:sz w:val="20"/>
          <w:szCs w:val="20"/>
          <w:color w:val="auto"/>
        </w:rPr>
      </w:pPr>
      <w:r>
        <w:rPr>
          <w:rFonts w:ascii="Arial" w:cs="Arial" w:eastAsia="Arial" w:hAnsi="Arial"/>
          <w:sz w:val="17"/>
          <w:szCs w:val="17"/>
          <w:color w:val="auto"/>
        </w:rPr>
        <w:t>In our analysis of operating results, particularly to make comparisons of net operating income between periods more meaningful, it is important to provide information for properties that were in-service and owned by us throughout each period presented. We refer to properties acquired or placed in-service prior to the beginning of the earliest period presented and owned by us and in-service through the end of the latest period presented as our Same Property Portfolio. The Same Property Portfolio therefore excludes properties acquired, placed in-service or</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275" w:right="37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in development or redevelopment after the beginning of the earliest period presented or disposed of prior to the end of the latest period presented.</w:t>
      </w:r>
    </w:p>
    <w:p>
      <w:pPr>
        <w:spacing w:after="0" w:line="173" w:lineRule="exact"/>
        <w:rPr>
          <w:sz w:val="20"/>
          <w:szCs w:val="20"/>
          <w:color w:val="auto"/>
        </w:rPr>
      </w:pPr>
    </w:p>
    <w:p>
      <w:pPr>
        <w:ind w:right="20" w:firstLine="419"/>
        <w:spacing w:after="0" w:line="251" w:lineRule="auto"/>
        <w:rPr>
          <w:sz w:val="20"/>
          <w:szCs w:val="20"/>
          <w:color w:val="auto"/>
        </w:rPr>
      </w:pPr>
      <w:r>
        <w:rPr>
          <w:rFonts w:ascii="Arial" w:cs="Arial" w:eastAsia="Arial" w:hAnsi="Arial"/>
          <w:sz w:val="17"/>
          <w:szCs w:val="17"/>
          <w:color w:val="auto"/>
        </w:rPr>
        <w:t>Net operating income (“NOI”) is a non-GAAP financial measure equal to net income attributable to Boston Properties, Inc. common shareholders and net income attributable to Boston Properties Limited Partnership common unitholders, as applicable, the most directly comparable GAAP financial measures, plus (1) preferred stock/unit redemption charge, preferred dividends/distributions, net income attributable to noncontrolling interests, interest expense, losses from early extinguishment of debt, loss from unconsolidated joint ventures, depreciation and amortization expense, transaction costs, payroll and related costs from management services contracts and corporate general and administrative expense less (2) gains (losses) from investments in securities, other income - assignment fee, interest and other income (loss), gains on sales of real estate, direct reimbursements of payroll and related costs from management services contracts and development and management services revenue. We use NOI internally as a performance measure and believe it provides useful information to investors regarding our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common shareholders and net income attributable to Boston Properties Limited Partnership common unitholders.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us may not be comparable to NOI reported by other REITs or real estate companies that define NOI differently.</w:t>
      </w:r>
    </w:p>
    <w:p>
      <w:pPr>
        <w:spacing w:after="0" w:line="156" w:lineRule="exact"/>
        <w:rPr>
          <w:sz w:val="20"/>
          <w:szCs w:val="20"/>
          <w:color w:val="auto"/>
        </w:rPr>
      </w:pPr>
    </w:p>
    <w:p>
      <w:pPr>
        <w:ind w:right="40" w:firstLine="419"/>
        <w:spacing w:after="0" w:line="256" w:lineRule="auto"/>
        <w:rPr>
          <w:sz w:val="20"/>
          <w:szCs w:val="20"/>
          <w:color w:val="auto"/>
        </w:rPr>
      </w:pPr>
      <w:r>
        <w:rPr>
          <w:rFonts w:ascii="Arial" w:cs="Arial" w:eastAsia="Arial" w:hAnsi="Arial"/>
          <w:sz w:val="17"/>
          <w:szCs w:val="17"/>
          <w:color w:val="auto"/>
        </w:rPr>
        <w:t>We believe that in order to understand our operating results, NOI should be examined in conjunction with net income attributable to Boston Properties, Inc. common shareholders and net income attributable to Boston Properties Limited Partnership common unitholders as presented in our Consolidated Financial Statements. NOI should not be considered as a substitute for net income attributable to Boston Properties, Inc. common shareholders or net income attributable to Boston Properties Limited Partnership common unitholders (determined in accordance with GAAP) or any other GAAP financial measures and should only be considered together with and as a supplement to our financial information prepared in accordance with GAAP.</w:t>
      </w:r>
    </w:p>
    <w:p>
      <w:pPr>
        <w:spacing w:after="0" w:line="120" w:lineRule="exact"/>
        <w:rPr>
          <w:sz w:val="20"/>
          <w:szCs w:val="20"/>
          <w:color w:val="auto"/>
        </w:rPr>
      </w:pPr>
    </w:p>
    <w:p>
      <w:pPr>
        <w:ind w:right="20" w:firstLine="419"/>
        <w:spacing w:after="0" w:line="256" w:lineRule="auto"/>
        <w:rPr>
          <w:sz w:val="20"/>
          <w:szCs w:val="20"/>
          <w:color w:val="auto"/>
        </w:rPr>
      </w:pPr>
      <w:r>
        <w:rPr>
          <w:rFonts w:ascii="Arial" w:cs="Arial" w:eastAsia="Arial" w:hAnsi="Arial"/>
          <w:sz w:val="17"/>
          <w:szCs w:val="17"/>
          <w:color w:val="auto"/>
        </w:rPr>
        <w:t>The gains on sales of real estate and depreciation expense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gains on sales of real estate and depreciation expense when those properties are sold. For additional information see the Explanatory Note that follows the cover page of this Quarterly Report on Form 10-Q.</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Comparison of the nine months ended September 30, 2022 to the nine months ended September 30, 2021</w:t>
      </w:r>
    </w:p>
    <w:p>
      <w:pPr>
        <w:spacing w:after="0" w:line="96" w:lineRule="exact"/>
        <w:rPr>
          <w:sz w:val="20"/>
          <w:szCs w:val="20"/>
          <w:color w:val="auto"/>
        </w:rPr>
      </w:pPr>
    </w:p>
    <w:p>
      <w:pPr>
        <w:ind w:firstLine="419"/>
        <w:spacing w:after="0" w:line="254" w:lineRule="auto"/>
        <w:rPr>
          <w:sz w:val="20"/>
          <w:szCs w:val="20"/>
          <w:color w:val="auto"/>
        </w:rPr>
      </w:pPr>
      <w:r>
        <w:rPr>
          <w:rFonts w:ascii="Arial" w:cs="Arial" w:eastAsia="Arial" w:hAnsi="Arial"/>
          <w:sz w:val="17"/>
          <w:szCs w:val="17"/>
          <w:color w:val="auto"/>
        </w:rPr>
        <w:t>The table below shows selected operating information for the Same Property Portfolio and the Total Property Portfolio. The Same Property Portfolio consists of 126 properties totaling approximately 38.2 million net rentable square feet, excluding unconsolidated joint ventures. The Same Property Portfolio includes properties acquired or placed in-service on or prior to January 1, 2021 and owned and in service through September 30, 2022. The Total Property Portfolio includes the effects of the other properties either acquired, placed in-service, in development or redevelopment after January 1, 2021 or disposed of on or prior to September 30, 2022. This table includes a reconciliation from the Same Property Portfolio to the Total Property Portfolio by also providing information for the nine months ended September 30, 2022 and 2021 with respect to the properties that were acquired, placed in-service, in development or redevelopment or sold.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vMerge w:val="restart"/>
          </w:tcPr>
          <w:p>
            <w:pPr>
              <w:jc w:val="center"/>
              <w:ind w:right="60"/>
              <w:spacing w:after="0"/>
              <w:rPr>
                <w:sz w:val="20"/>
                <w:szCs w:val="20"/>
                <w:color w:val="auto"/>
              </w:rPr>
            </w:pPr>
            <w:r>
              <w:rPr>
                <w:rFonts w:ascii="Arial" w:cs="Arial" w:eastAsia="Arial" w:hAnsi="Arial"/>
                <w:sz w:val="12"/>
                <w:szCs w:val="12"/>
                <w:b w:val="1"/>
                <w:bCs w:val="1"/>
                <w:color w:val="auto"/>
                <w:w w:val="97"/>
              </w:rPr>
              <w:t>Properties</w:t>
            </w:r>
          </w:p>
        </w:tc>
        <w:tc>
          <w:tcPr>
            <w:tcW w:w="1200" w:type="dxa"/>
            <w:vAlign w:val="bottom"/>
            <w:gridSpan w:val="5"/>
            <w:vMerge w:val="restart"/>
          </w:tcPr>
          <w:p>
            <w:pPr>
              <w:jc w:val="center"/>
              <w:ind w:right="80"/>
              <w:spacing w:after="0"/>
              <w:rPr>
                <w:sz w:val="20"/>
                <w:szCs w:val="20"/>
                <w:color w:val="auto"/>
              </w:rPr>
            </w:pPr>
            <w:r>
              <w:rPr>
                <w:rFonts w:ascii="Arial" w:cs="Arial" w:eastAsia="Arial" w:hAnsi="Arial"/>
                <w:sz w:val="12"/>
                <w:szCs w:val="12"/>
                <w:b w:val="1"/>
                <w:bCs w:val="1"/>
                <w:color w:val="auto"/>
              </w:rPr>
              <w:t>Properties</w:t>
            </w:r>
          </w:p>
        </w:tc>
        <w:tc>
          <w:tcPr>
            <w:tcW w:w="104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8"/>
              </w:rPr>
              <w:t>Properties in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1200" w:type="dxa"/>
            <w:vAlign w:val="bottom"/>
            <w:gridSpan w:val="5"/>
            <w:vMerge w:val="continue"/>
          </w:tcPr>
          <w:p>
            <w:pPr>
              <w:spacing w:after="0"/>
              <w:rPr>
                <w:sz w:val="9"/>
                <w:szCs w:val="9"/>
                <w:color w:val="auto"/>
              </w:rPr>
            </w:pPr>
          </w:p>
        </w:tc>
        <w:tc>
          <w:tcPr>
            <w:tcW w:w="1040" w:type="dxa"/>
            <w:vAlign w:val="bottom"/>
            <w:gridSpan w:val="4"/>
          </w:tcPr>
          <w:p>
            <w:pPr>
              <w:jc w:val="center"/>
              <w:ind w:right="100"/>
              <w:spacing w:after="0" w:line="114" w:lineRule="exact"/>
              <w:rPr>
                <w:sz w:val="20"/>
                <w:szCs w:val="20"/>
                <w:color w:val="auto"/>
              </w:rPr>
            </w:pPr>
            <w:r>
              <w:rPr>
                <w:rFonts w:ascii="Arial" w:cs="Arial" w:eastAsia="Arial" w:hAnsi="Arial"/>
                <w:sz w:val="12"/>
                <w:szCs w:val="12"/>
                <w:b w:val="1"/>
                <w:bCs w:val="1"/>
                <w:color w:val="auto"/>
                <w:w w:val="99"/>
              </w:rPr>
              <w:t>Development or</w:t>
            </w:r>
          </w:p>
        </w:tc>
        <w:tc>
          <w:tcPr>
            <w:tcW w:w="1180" w:type="dxa"/>
            <w:vAlign w:val="bottom"/>
            <w:gridSpan w:val="4"/>
            <w:vMerge w:val="restart"/>
          </w:tcPr>
          <w:p>
            <w:pPr>
              <w:jc w:val="center"/>
              <w:ind w:right="60"/>
              <w:spacing w:after="0"/>
              <w:rPr>
                <w:sz w:val="20"/>
                <w:szCs w:val="20"/>
                <w:color w:val="auto"/>
              </w:rPr>
            </w:pPr>
            <w:r>
              <w:rPr>
                <w:rFonts w:ascii="Arial" w:cs="Arial" w:eastAsia="Arial" w:hAnsi="Arial"/>
                <w:sz w:val="12"/>
                <w:szCs w:val="12"/>
                <w:b w:val="1"/>
                <w:bCs w:val="1"/>
                <w:color w:val="auto"/>
                <w:w w:val="99"/>
              </w:rPr>
              <w:t>Properties Sold</w:t>
            </w: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Same Property Portfolio</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tcPr>
          <w:p>
            <w:pPr>
              <w:jc w:val="center"/>
              <w:ind w:right="80"/>
              <w:spacing w:after="0" w:line="127" w:lineRule="exact"/>
              <w:rPr>
                <w:sz w:val="20"/>
                <w:szCs w:val="20"/>
                <w:color w:val="auto"/>
              </w:rPr>
            </w:pPr>
            <w:r>
              <w:rPr>
                <w:rFonts w:ascii="Arial" w:cs="Arial" w:eastAsia="Arial" w:hAnsi="Arial"/>
                <w:sz w:val="12"/>
                <w:szCs w:val="12"/>
                <w:b w:val="1"/>
                <w:bCs w:val="1"/>
                <w:color w:val="auto"/>
                <w:w w:val="99"/>
              </w:rPr>
              <w:t>Acquired</w:t>
            </w:r>
          </w:p>
        </w:tc>
        <w:tc>
          <w:tcPr>
            <w:tcW w:w="1200" w:type="dxa"/>
            <w:vAlign w:val="bottom"/>
            <w:gridSpan w:val="5"/>
          </w:tcPr>
          <w:p>
            <w:pPr>
              <w:jc w:val="center"/>
              <w:ind w:right="100"/>
              <w:spacing w:after="0" w:line="127" w:lineRule="exact"/>
              <w:rPr>
                <w:sz w:val="20"/>
                <w:szCs w:val="20"/>
                <w:color w:val="auto"/>
              </w:rPr>
            </w:pPr>
            <w:r>
              <w:rPr>
                <w:rFonts w:ascii="Arial" w:cs="Arial" w:eastAsia="Arial" w:hAnsi="Arial"/>
                <w:sz w:val="12"/>
                <w:szCs w:val="12"/>
                <w:b w:val="1"/>
                <w:bCs w:val="1"/>
                <w:color w:val="auto"/>
                <w:w w:val="98"/>
              </w:rPr>
              <w:t>Placed In-Service</w:t>
            </w:r>
          </w:p>
        </w:tc>
        <w:tc>
          <w:tcPr>
            <w:tcW w:w="1040" w:type="dxa"/>
            <w:vAlign w:val="bottom"/>
            <w:gridSpan w:val="4"/>
          </w:tcPr>
          <w:p>
            <w:pPr>
              <w:jc w:val="center"/>
              <w:ind w:right="80"/>
              <w:spacing w:after="0" w:line="127" w:lineRule="exact"/>
              <w:rPr>
                <w:sz w:val="20"/>
                <w:szCs w:val="20"/>
                <w:color w:val="auto"/>
              </w:rPr>
            </w:pPr>
            <w:r>
              <w:rPr>
                <w:rFonts w:ascii="Arial" w:cs="Arial" w:eastAsia="Arial" w:hAnsi="Arial"/>
                <w:sz w:val="12"/>
                <w:szCs w:val="12"/>
                <w:b w:val="1"/>
                <w:bCs w:val="1"/>
                <w:color w:val="auto"/>
                <w:w w:val="98"/>
              </w:rPr>
              <w:t>Redevelopment</w:t>
            </w:r>
          </w:p>
        </w:tc>
        <w:tc>
          <w:tcPr>
            <w:tcW w:w="118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5"/>
            <w:vMerge w:val="restart"/>
          </w:tcPr>
          <w:p>
            <w:pPr>
              <w:jc w:val="right"/>
              <w:ind w:right="160"/>
              <w:spacing w:after="0"/>
              <w:rPr>
                <w:sz w:val="20"/>
                <w:szCs w:val="20"/>
                <w:color w:val="auto"/>
              </w:rPr>
            </w:pPr>
            <w:r>
              <w:rPr>
                <w:rFonts w:ascii="Arial" w:cs="Arial" w:eastAsia="Arial" w:hAnsi="Arial"/>
                <w:sz w:val="12"/>
                <w:szCs w:val="12"/>
                <w:b w:val="1"/>
                <w:bCs w:val="1"/>
                <w:color w:val="auto"/>
                <w:w w:val="98"/>
              </w:rPr>
              <w:t>Total Property Portfolio</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5"/>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7"/>
              </w:rPr>
              <w:t>Portfolio</w:t>
            </w:r>
          </w:p>
        </w:tc>
        <w:tc>
          <w:tcPr>
            <w:tcW w:w="120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7"/>
              </w:rPr>
              <w:t>Portfolio</w:t>
            </w:r>
          </w:p>
        </w:tc>
        <w:tc>
          <w:tcPr>
            <w:tcW w:w="104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7"/>
              </w:rPr>
              <w:t>Portfolio</w:t>
            </w:r>
          </w:p>
        </w:tc>
        <w:tc>
          <w:tcPr>
            <w:tcW w:w="118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rPr>
              <w:t>Portfolio</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5"/>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700" w:type="dxa"/>
            <w:vAlign w:val="bottom"/>
            <w:tcBorders>
              <w:top w:val="single" w:sz="8" w:color="auto"/>
            </w:tcBorders>
            <w:vMerge w:val="restart"/>
          </w:tcPr>
          <w:p>
            <w:pPr>
              <w:jc w:val="right"/>
              <w:ind w:right="161"/>
              <w:spacing w:after="0"/>
              <w:rPr>
                <w:sz w:val="20"/>
                <w:szCs w:val="20"/>
                <w:color w:val="auto"/>
              </w:rPr>
            </w:pPr>
            <w:r>
              <w:rPr>
                <w:rFonts w:ascii="Arial" w:cs="Arial" w:eastAsia="Arial" w:hAnsi="Arial"/>
                <w:sz w:val="12"/>
                <w:szCs w:val="12"/>
                <w:b w:val="1"/>
                <w:bCs w:val="1"/>
                <w:color w:val="auto"/>
              </w:rPr>
              <w:t>2022</w:t>
            </w: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vMerge w:val="restart"/>
          </w:tcPr>
          <w:p>
            <w:pPr>
              <w:jc w:val="right"/>
              <w:ind w:right="161"/>
              <w:spacing w:after="0"/>
              <w:rPr>
                <w:sz w:val="20"/>
                <w:szCs w:val="20"/>
                <w:color w:val="auto"/>
              </w:rPr>
            </w:pPr>
            <w:r>
              <w:rPr>
                <w:rFonts w:ascii="Arial" w:cs="Arial" w:eastAsia="Arial" w:hAnsi="Arial"/>
                <w:sz w:val="12"/>
                <w:szCs w:val="12"/>
                <w:b w:val="1"/>
                <w:bCs w:val="1"/>
                <w:color w:val="auto"/>
              </w:rPr>
              <w:t>2021</w:t>
            </w:r>
          </w:p>
        </w:tc>
        <w:tc>
          <w:tcPr>
            <w:tcW w:w="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3"/>
          </w:tcPr>
          <w:p>
            <w:pPr>
              <w:ind w:left="80"/>
              <w:spacing w:after="0" w:line="108" w:lineRule="exact"/>
              <w:rPr>
                <w:sz w:val="20"/>
                <w:szCs w:val="20"/>
                <w:color w:val="auto"/>
              </w:rPr>
            </w:pPr>
            <w:r>
              <w:rPr>
                <w:rFonts w:ascii="Arial" w:cs="Arial" w:eastAsia="Arial" w:hAnsi="Arial"/>
                <w:sz w:val="12"/>
                <w:szCs w:val="12"/>
                <w:b w:val="1"/>
                <w:bCs w:val="1"/>
                <w:color w:val="auto"/>
              </w:rPr>
              <w:t>Increase/</w:t>
            </w:r>
          </w:p>
        </w:tc>
        <w:tc>
          <w:tcPr>
            <w:tcW w:w="620" w:type="dxa"/>
            <w:vAlign w:val="bottom"/>
            <w:tcBorders>
              <w:top w:val="single" w:sz="8" w:color="auto"/>
            </w:tcBorders>
          </w:tcPr>
          <w:p>
            <w:pPr>
              <w:jc w:val="right"/>
              <w:ind w:right="201"/>
              <w:spacing w:after="0" w:line="108"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9"/>
                <w:szCs w:val="9"/>
                <w:color w:val="auto"/>
              </w:rPr>
            </w:pPr>
          </w:p>
        </w:tc>
        <w:tc>
          <w:tcPr>
            <w:tcW w:w="52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9"/>
                <w:szCs w:val="9"/>
                <w:color w:val="auto"/>
              </w:rPr>
            </w:pPr>
          </w:p>
        </w:tc>
        <w:tc>
          <w:tcPr>
            <w:tcW w:w="48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2"/>
                <w:szCs w:val="12"/>
                <w:b w:val="1"/>
                <w:bCs w:val="1"/>
                <w:color w:val="auto"/>
              </w:rPr>
              <w:t>2022</w:t>
            </w:r>
          </w:p>
        </w:tc>
        <w:tc>
          <w:tcPr>
            <w:tcW w:w="640" w:type="dxa"/>
            <w:vAlign w:val="bottom"/>
            <w:tcBorders>
              <w:top w:val="single" w:sz="8" w:color="auto"/>
            </w:tcBorders>
            <w:gridSpan w:val="3"/>
            <w:vMerge w:val="restart"/>
          </w:tcPr>
          <w:p>
            <w:pPr>
              <w:jc w:val="right"/>
              <w:ind w:right="81"/>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9"/>
                <w:szCs w:val="9"/>
                <w:color w:val="auto"/>
              </w:rPr>
            </w:pPr>
          </w:p>
        </w:tc>
        <w:tc>
          <w:tcPr>
            <w:tcW w:w="44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9"/>
                <w:szCs w:val="9"/>
                <w:color w:val="auto"/>
              </w:rPr>
            </w:pPr>
          </w:p>
        </w:tc>
        <w:tc>
          <w:tcPr>
            <w:tcW w:w="52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9"/>
                <w:szCs w:val="9"/>
                <w:color w:val="auto"/>
              </w:rPr>
            </w:pPr>
          </w:p>
        </w:tc>
        <w:tc>
          <w:tcPr>
            <w:tcW w:w="700" w:type="dxa"/>
            <w:vAlign w:val="bottom"/>
            <w:tcBorders>
              <w:top w:val="single" w:sz="8" w:color="auto"/>
            </w:tcBorders>
            <w:vMerge w:val="restart"/>
          </w:tcPr>
          <w:p>
            <w:pPr>
              <w:jc w:val="right"/>
              <w:ind w:right="161"/>
              <w:spacing w:after="0"/>
              <w:rPr>
                <w:sz w:val="20"/>
                <w:szCs w:val="20"/>
                <w:color w:val="auto"/>
              </w:rPr>
            </w:pPr>
            <w:r>
              <w:rPr>
                <w:rFonts w:ascii="Arial" w:cs="Arial" w:eastAsia="Arial" w:hAnsi="Arial"/>
                <w:sz w:val="12"/>
                <w:szCs w:val="12"/>
                <w:b w:val="1"/>
                <w:bCs w:val="1"/>
                <w:color w:val="auto"/>
              </w:rPr>
              <w:t>2022</w:t>
            </w: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vMerge w:val="restart"/>
          </w:tcPr>
          <w:p>
            <w:pPr>
              <w:jc w:val="right"/>
              <w:ind w:right="161"/>
              <w:spacing w:after="0"/>
              <w:rPr>
                <w:sz w:val="20"/>
                <w:szCs w:val="20"/>
                <w:color w:val="auto"/>
              </w:rPr>
            </w:pPr>
            <w:r>
              <w:rPr>
                <w:rFonts w:ascii="Arial" w:cs="Arial" w:eastAsia="Arial" w:hAnsi="Arial"/>
                <w:sz w:val="12"/>
                <w:szCs w:val="12"/>
                <w:b w:val="1"/>
                <w:bCs w:val="1"/>
                <w:color w:val="auto"/>
              </w:rPr>
              <w:t>2021</w:t>
            </w:r>
          </w:p>
        </w:tc>
        <w:tc>
          <w:tcPr>
            <w:tcW w:w="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3"/>
          </w:tcPr>
          <w:p>
            <w:pPr>
              <w:jc w:val="right"/>
              <w:ind w:right="140"/>
              <w:spacing w:after="0" w:line="108" w:lineRule="exact"/>
              <w:rPr>
                <w:sz w:val="20"/>
                <w:szCs w:val="20"/>
                <w:color w:val="auto"/>
              </w:rPr>
            </w:pPr>
            <w:r>
              <w:rPr>
                <w:rFonts w:ascii="Arial" w:cs="Arial" w:eastAsia="Arial" w:hAnsi="Arial"/>
                <w:sz w:val="12"/>
                <w:szCs w:val="12"/>
                <w:b w:val="1"/>
                <w:bCs w:val="1"/>
                <w:color w:val="auto"/>
              </w:rPr>
              <w:t>Increase/</w:t>
            </w:r>
          </w:p>
        </w:tc>
        <w:tc>
          <w:tcPr>
            <w:tcW w:w="620" w:type="dxa"/>
            <w:vAlign w:val="bottom"/>
            <w:tcBorders>
              <w:top w:val="single" w:sz="8" w:color="auto"/>
            </w:tcBorders>
          </w:tcPr>
          <w:p>
            <w:pPr>
              <w:jc w:val="right"/>
              <w:ind w:right="201"/>
              <w:spacing w:after="0" w:line="108"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(Decrease)</w:t>
            </w: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Change</w:t>
            </w:r>
          </w:p>
        </w:tc>
        <w:tc>
          <w:tcPr>
            <w:tcW w:w="5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(Decrease)</w:t>
            </w: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60" w:type="dxa"/>
            <w:vAlign w:val="bottom"/>
            <w:gridSpan w:val="8"/>
          </w:tcPr>
          <w:p>
            <w:pPr>
              <w:ind w:left="20"/>
              <w:spacing w:after="0"/>
              <w:rPr>
                <w:sz w:val="20"/>
                <w:szCs w:val="20"/>
                <w:color w:val="auto"/>
              </w:rPr>
            </w:pPr>
            <w:r>
              <w:rPr>
                <w:rFonts w:ascii="Arial" w:cs="Arial" w:eastAsia="Arial" w:hAnsi="Arial"/>
                <w:sz w:val="12"/>
                <w:szCs w:val="12"/>
                <w:b w:val="1"/>
                <w:bCs w:val="1"/>
                <w:color w:val="auto"/>
              </w:rPr>
              <w:t>(dollars in thousands)</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960" w:type="dxa"/>
            <w:vAlign w:val="bottom"/>
            <w:shd w:val="clear" w:color="auto" w:fill="CCEEFF"/>
          </w:tcPr>
          <w:p>
            <w:pPr>
              <w:ind w:left="20"/>
              <w:spacing w:after="0" w:line="115" w:lineRule="exact"/>
              <w:rPr>
                <w:sz w:val="20"/>
                <w:szCs w:val="20"/>
                <w:color w:val="auto"/>
              </w:rPr>
            </w:pPr>
            <w:r>
              <w:rPr>
                <w:rFonts w:ascii="Arial" w:cs="Arial" w:eastAsia="Arial" w:hAnsi="Arial"/>
                <w:sz w:val="12"/>
                <w:szCs w:val="12"/>
                <w:color w:val="auto"/>
              </w:rPr>
              <w:t>Rental Revenue:</w:t>
            </w: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(1)</w:t>
            </w:r>
          </w:p>
        </w:tc>
        <w:tc>
          <w:tcPr>
            <w:tcW w:w="7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960" w:type="dxa"/>
            <w:vAlign w:val="bottom"/>
          </w:tcPr>
          <w:p>
            <w:pPr>
              <w:ind w:left="180"/>
              <w:spacing w:after="0" w:line="114" w:lineRule="exact"/>
              <w:rPr>
                <w:sz w:val="20"/>
                <w:szCs w:val="20"/>
                <w:color w:val="auto"/>
              </w:rPr>
            </w:pPr>
            <w:r>
              <w:rPr>
                <w:rFonts w:ascii="Arial" w:cs="Arial" w:eastAsia="Arial" w:hAnsi="Arial"/>
                <w:sz w:val="12"/>
                <w:szCs w:val="12"/>
                <w:color w:val="auto"/>
              </w:rPr>
              <w:t>Lease</w:t>
            </w: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960" w:type="dxa"/>
            <w:vAlign w:val="bottom"/>
          </w:tcPr>
          <w:p>
            <w:pPr>
              <w:ind w:left="320"/>
              <w:spacing w:after="0" w:line="124" w:lineRule="exact"/>
              <w:rPr>
                <w:sz w:val="20"/>
                <w:szCs w:val="20"/>
                <w:color w:val="auto"/>
              </w:rPr>
            </w:pPr>
            <w:r>
              <w:rPr>
                <w:rFonts w:ascii="Arial" w:cs="Arial" w:eastAsia="Arial" w:hAnsi="Arial"/>
                <w:sz w:val="12"/>
                <w:szCs w:val="12"/>
                <w:color w:val="auto"/>
              </w:rPr>
              <w:t>Revenue</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60" w:type="dxa"/>
            <w:vAlign w:val="bottom"/>
          </w:tcPr>
          <w:p>
            <w:pPr>
              <w:ind w:left="320"/>
              <w:spacing w:after="0" w:line="117" w:lineRule="exact"/>
              <w:rPr>
                <w:sz w:val="20"/>
                <w:szCs w:val="20"/>
                <w:color w:val="auto"/>
              </w:rPr>
            </w:pPr>
            <w:r>
              <w:rPr>
                <w:rFonts w:ascii="Arial" w:cs="Arial" w:eastAsia="Arial" w:hAnsi="Arial"/>
                <w:sz w:val="12"/>
                <w:szCs w:val="12"/>
                <w:color w:val="auto"/>
              </w:rPr>
              <w:t>(Excluding</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960" w:type="dxa"/>
            <w:vAlign w:val="bottom"/>
          </w:tcPr>
          <w:p>
            <w:pPr>
              <w:ind w:left="320"/>
              <w:spacing w:after="0" w:line="114" w:lineRule="exact"/>
              <w:rPr>
                <w:sz w:val="20"/>
                <w:szCs w:val="20"/>
                <w:color w:val="auto"/>
              </w:rPr>
            </w:pPr>
            <w:r>
              <w:rPr>
                <w:rFonts w:ascii="Arial" w:cs="Arial" w:eastAsia="Arial" w:hAnsi="Arial"/>
                <w:sz w:val="12"/>
                <w:szCs w:val="12"/>
                <w:color w:val="auto"/>
                <w:w w:val="97"/>
              </w:rPr>
              <w:t>Termination</w:t>
            </w: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320"/>
              <w:spacing w:after="0"/>
              <w:rPr>
                <w:sz w:val="20"/>
                <w:szCs w:val="20"/>
                <w:color w:val="auto"/>
              </w:rPr>
            </w:pPr>
            <w:r>
              <w:rPr>
                <w:rFonts w:ascii="Arial" w:cs="Arial" w:eastAsia="Arial" w:hAnsi="Arial"/>
                <w:sz w:val="12"/>
                <w:szCs w:val="12"/>
                <w:color w:val="auto"/>
              </w:rPr>
              <w:t>Income)</w:t>
            </w:r>
          </w:p>
        </w:tc>
        <w:tc>
          <w:tcPr>
            <w:tcW w:w="700" w:type="dxa"/>
            <w:vAlign w:val="bottom"/>
          </w:tcPr>
          <w:p>
            <w:pPr>
              <w:jc w:val="right"/>
              <w:ind w:right="1"/>
              <w:spacing w:after="0"/>
              <w:rPr>
                <w:sz w:val="20"/>
                <w:szCs w:val="20"/>
                <w:color w:val="auto"/>
              </w:rPr>
            </w:pPr>
            <w:r>
              <w:rPr>
                <w:rFonts w:ascii="Arial" w:cs="Arial" w:eastAsia="Arial" w:hAnsi="Arial"/>
                <w:sz w:val="12"/>
                <w:szCs w:val="12"/>
                <w:color w:val="auto"/>
                <w:w w:val="97"/>
              </w:rPr>
              <w:t>$ 2,007,651</w:t>
            </w:r>
          </w:p>
        </w:tc>
        <w:tc>
          <w:tcPr>
            <w:tcW w:w="6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w w:val="97"/>
              </w:rPr>
              <w:t>$ 1,939,988</w:t>
            </w:r>
          </w:p>
        </w:tc>
        <w:tc>
          <w:tcPr>
            <w:tcW w:w="6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67,663</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3.49 %</w:t>
            </w:r>
          </w:p>
        </w:tc>
        <w:tc>
          <w:tcPr>
            <w:tcW w:w="80" w:type="dxa"/>
            <w:vAlign w:val="bottom"/>
          </w:tcPr>
          <w:p>
            <w:pPr>
              <w:spacing w:after="0"/>
              <w:rPr>
                <w:sz w:val="14"/>
                <w:szCs w:val="14"/>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w w:val="94"/>
              </w:rPr>
              <w:t>$ 28,430</w:t>
            </w:r>
          </w:p>
        </w:tc>
        <w:tc>
          <w:tcPr>
            <w:tcW w:w="80" w:type="dxa"/>
            <w:vAlign w:val="bottom"/>
          </w:tcPr>
          <w:p>
            <w:pPr>
              <w:spacing w:after="0"/>
              <w:rPr>
                <w:sz w:val="14"/>
                <w:szCs w:val="14"/>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w w:val="97"/>
              </w:rPr>
              <w:t>$3,596</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4"/>
              </w:rPr>
              <w:t>$ 61,026</w:t>
            </w:r>
          </w:p>
        </w:tc>
        <w:tc>
          <w:tcPr>
            <w:tcW w:w="640" w:type="dxa"/>
            <w:vAlign w:val="bottom"/>
            <w:gridSpan w:val="3"/>
          </w:tcPr>
          <w:p>
            <w:pPr>
              <w:jc w:val="right"/>
              <w:ind w:right="1"/>
              <w:spacing w:after="0"/>
              <w:rPr>
                <w:sz w:val="20"/>
                <w:szCs w:val="20"/>
                <w:color w:val="auto"/>
              </w:rPr>
            </w:pPr>
            <w:r>
              <w:rPr>
                <w:rFonts w:ascii="Arial" w:cs="Arial" w:eastAsia="Arial" w:hAnsi="Arial"/>
                <w:sz w:val="12"/>
                <w:szCs w:val="12"/>
                <w:color w:val="auto"/>
              </w:rPr>
              <w:t>$ 17,962</w:t>
            </w:r>
          </w:p>
        </w:tc>
        <w:tc>
          <w:tcPr>
            <w:tcW w:w="80" w:type="dxa"/>
            <w:vAlign w:val="bottom"/>
          </w:tcPr>
          <w:p>
            <w:pPr>
              <w:spacing w:after="0"/>
              <w:rPr>
                <w:sz w:val="14"/>
                <w:szCs w:val="14"/>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w w:val="97"/>
              </w:rPr>
              <w:t>$2,876</w:t>
            </w:r>
          </w:p>
        </w:tc>
        <w:tc>
          <w:tcPr>
            <w:tcW w:w="80" w:type="dxa"/>
            <w:vAlign w:val="bottom"/>
          </w:tcPr>
          <w:p>
            <w:pPr>
              <w:spacing w:after="0"/>
              <w:rPr>
                <w:sz w:val="14"/>
                <w:szCs w:val="14"/>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w w:val="97"/>
              </w:rPr>
              <w:t>$5,043</w:t>
            </w:r>
          </w:p>
        </w:tc>
        <w:tc>
          <w:tcPr>
            <w:tcW w:w="80" w:type="dxa"/>
            <w:vAlign w:val="bottom"/>
          </w:tcPr>
          <w:p>
            <w:pPr>
              <w:spacing w:after="0"/>
              <w:rPr>
                <w:sz w:val="14"/>
                <w:szCs w:val="14"/>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w w:val="94"/>
              </w:rPr>
              <w:t>$ 33,357</w:t>
            </w:r>
          </w:p>
        </w:tc>
        <w:tc>
          <w:tcPr>
            <w:tcW w:w="80" w:type="dxa"/>
            <w:vAlign w:val="bottom"/>
          </w:tcPr>
          <w:p>
            <w:pPr>
              <w:spacing w:after="0"/>
              <w:rPr>
                <w:sz w:val="14"/>
                <w:szCs w:val="14"/>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w w:val="94"/>
              </w:rPr>
              <w:t>$ 54,805</w:t>
            </w:r>
          </w:p>
        </w:tc>
        <w:tc>
          <w:tcPr>
            <w:tcW w:w="6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w w:val="97"/>
              </w:rPr>
              <w:t>$ 2,133,340</w:t>
            </w:r>
          </w:p>
        </w:tc>
        <w:tc>
          <w:tcPr>
            <w:tcW w:w="6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w w:val="97"/>
              </w:rPr>
              <w:t>$ 2,021,394</w:t>
            </w:r>
          </w:p>
        </w:tc>
        <w:tc>
          <w:tcPr>
            <w:tcW w:w="6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111,946</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5.54 %</w:t>
            </w:r>
          </w:p>
        </w:tc>
        <w:tc>
          <w:tcPr>
            <w:tcW w:w="0" w:type="dxa"/>
            <w:vAlign w:val="bottom"/>
          </w:tcPr>
          <w:p>
            <w:pPr>
              <w:spacing w:after="0"/>
              <w:rPr>
                <w:sz w:val="1"/>
                <w:szCs w:val="1"/>
                <w:color w:val="auto"/>
              </w:rPr>
            </w:pPr>
          </w:p>
        </w:tc>
      </w:tr>
      <w:tr>
        <w:trPr>
          <w:trHeight w:val="121"/>
        </w:trPr>
        <w:tc>
          <w:tcPr>
            <w:tcW w:w="960" w:type="dxa"/>
            <w:vAlign w:val="bottom"/>
            <w:shd w:val="clear" w:color="auto" w:fill="CCEEFF"/>
          </w:tcPr>
          <w:p>
            <w:pPr>
              <w:ind w:left="180"/>
              <w:spacing w:after="0" w:line="121" w:lineRule="exact"/>
              <w:rPr>
                <w:sz w:val="20"/>
                <w:szCs w:val="20"/>
                <w:color w:val="auto"/>
              </w:rPr>
            </w:pPr>
            <w:r>
              <w:rPr>
                <w:rFonts w:ascii="Arial" w:cs="Arial" w:eastAsia="Arial" w:hAnsi="Arial"/>
                <w:sz w:val="12"/>
                <w:szCs w:val="12"/>
                <w:color w:val="auto"/>
              </w:rPr>
              <w:t>Termination</w:t>
            </w: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9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Income</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5,579</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11,499</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(5,920)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(51.48)%</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402</w:t>
            </w: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5,981</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11,499</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(5,518)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(47.99)%</w:t>
            </w:r>
          </w:p>
        </w:tc>
        <w:tc>
          <w:tcPr>
            <w:tcW w:w="0" w:type="dxa"/>
            <w:vAlign w:val="bottom"/>
          </w:tcPr>
          <w:p>
            <w:pPr>
              <w:spacing w:after="0"/>
              <w:rPr>
                <w:sz w:val="1"/>
                <w:szCs w:val="1"/>
                <w:color w:val="auto"/>
              </w:rPr>
            </w:pPr>
          </w:p>
        </w:tc>
      </w:tr>
      <w:tr>
        <w:trPr>
          <w:trHeight w:val="94"/>
        </w:trPr>
        <w:tc>
          <w:tcPr>
            <w:tcW w:w="960" w:type="dxa"/>
            <w:vAlign w:val="bottom"/>
          </w:tcPr>
          <w:p>
            <w:pPr>
              <w:ind w:left="180"/>
              <w:spacing w:after="0" w:line="94" w:lineRule="exact"/>
              <w:rPr>
                <w:sz w:val="20"/>
                <w:szCs w:val="20"/>
                <w:color w:val="auto"/>
              </w:rPr>
            </w:pPr>
            <w:r>
              <w:rPr>
                <w:rFonts w:ascii="Arial" w:cs="Arial" w:eastAsia="Arial" w:hAnsi="Arial"/>
                <w:sz w:val="9"/>
                <w:szCs w:val="9"/>
                <w:color w:val="auto"/>
              </w:rPr>
              <w:t>Lease</w:t>
            </w: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320"/>
              <w:spacing w:after="0"/>
              <w:rPr>
                <w:sz w:val="20"/>
                <w:szCs w:val="20"/>
                <w:color w:val="auto"/>
              </w:rPr>
            </w:pPr>
            <w:r>
              <w:rPr>
                <w:rFonts w:ascii="Arial" w:cs="Arial" w:eastAsia="Arial" w:hAnsi="Arial"/>
                <w:sz w:val="12"/>
                <w:szCs w:val="12"/>
                <w:color w:val="auto"/>
              </w:rPr>
              <w:t>Revenue</w:t>
            </w: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2,013,230</w:t>
            </w:r>
          </w:p>
        </w:tc>
        <w:tc>
          <w:tcPr>
            <w:tcW w:w="6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1,951,487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61,743</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3.16 %</w:t>
            </w:r>
          </w:p>
        </w:tc>
        <w:tc>
          <w:tcPr>
            <w:tcW w:w="80" w:type="dxa"/>
            <w:vAlign w:val="bottom"/>
          </w:tcPr>
          <w:p>
            <w:pPr>
              <w:spacing w:after="0"/>
              <w:rPr>
                <w:sz w:val="14"/>
                <w:szCs w:val="14"/>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28,832</w:t>
            </w:r>
          </w:p>
        </w:tc>
        <w:tc>
          <w:tcPr>
            <w:tcW w:w="80" w:type="dxa"/>
            <w:vAlign w:val="bottom"/>
          </w:tcPr>
          <w:p>
            <w:pPr>
              <w:spacing w:after="0"/>
              <w:rPr>
                <w:sz w:val="14"/>
                <w:szCs w:val="14"/>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3,596</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61,026</w:t>
            </w:r>
          </w:p>
        </w:tc>
        <w:tc>
          <w:tcPr>
            <w:tcW w:w="640" w:type="dxa"/>
            <w:vAlign w:val="bottom"/>
            <w:gridSpan w:val="3"/>
          </w:tcPr>
          <w:p>
            <w:pPr>
              <w:jc w:val="right"/>
              <w:ind w:right="1"/>
              <w:spacing w:after="0"/>
              <w:rPr>
                <w:sz w:val="20"/>
                <w:szCs w:val="20"/>
                <w:color w:val="auto"/>
              </w:rPr>
            </w:pPr>
            <w:r>
              <w:rPr>
                <w:rFonts w:ascii="Arial" w:cs="Arial" w:eastAsia="Arial" w:hAnsi="Arial"/>
                <w:sz w:val="12"/>
                <w:szCs w:val="12"/>
                <w:color w:val="auto"/>
              </w:rPr>
              <w:t>17,962</w:t>
            </w:r>
          </w:p>
        </w:tc>
        <w:tc>
          <w:tcPr>
            <w:tcW w:w="80" w:type="dxa"/>
            <w:vAlign w:val="bottom"/>
          </w:tcPr>
          <w:p>
            <w:pPr>
              <w:spacing w:after="0"/>
              <w:rPr>
                <w:sz w:val="14"/>
                <w:szCs w:val="14"/>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2,876</w:t>
            </w:r>
          </w:p>
        </w:tc>
        <w:tc>
          <w:tcPr>
            <w:tcW w:w="80" w:type="dxa"/>
            <w:vAlign w:val="bottom"/>
          </w:tcPr>
          <w:p>
            <w:pPr>
              <w:spacing w:after="0"/>
              <w:rPr>
                <w:sz w:val="14"/>
                <w:szCs w:val="14"/>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5,043</w:t>
            </w:r>
          </w:p>
        </w:tc>
        <w:tc>
          <w:tcPr>
            <w:tcW w:w="80" w:type="dxa"/>
            <w:vAlign w:val="bottom"/>
          </w:tcPr>
          <w:p>
            <w:pPr>
              <w:spacing w:after="0"/>
              <w:rPr>
                <w:sz w:val="14"/>
                <w:szCs w:val="14"/>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33,357</w:t>
            </w:r>
          </w:p>
        </w:tc>
        <w:tc>
          <w:tcPr>
            <w:tcW w:w="80" w:type="dxa"/>
            <w:vAlign w:val="bottom"/>
          </w:tcPr>
          <w:p>
            <w:pPr>
              <w:spacing w:after="0"/>
              <w:rPr>
                <w:sz w:val="14"/>
                <w:szCs w:val="14"/>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54,805</w:t>
            </w:r>
          </w:p>
        </w:tc>
        <w:tc>
          <w:tcPr>
            <w:tcW w:w="6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2,139,321</w:t>
            </w:r>
          </w:p>
        </w:tc>
        <w:tc>
          <w:tcPr>
            <w:tcW w:w="6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2,032,893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106,428</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5.24 %</w:t>
            </w:r>
          </w:p>
        </w:tc>
        <w:tc>
          <w:tcPr>
            <w:tcW w:w="0" w:type="dxa"/>
            <w:vAlign w:val="bottom"/>
          </w:tcPr>
          <w:p>
            <w:pPr>
              <w:spacing w:after="0"/>
              <w:rPr>
                <w:sz w:val="1"/>
                <w:szCs w:val="1"/>
                <w:color w:val="auto"/>
              </w:rPr>
            </w:pPr>
          </w:p>
        </w:tc>
      </w:tr>
      <w:tr>
        <w:trPr>
          <w:trHeight w:val="121"/>
        </w:trPr>
        <w:tc>
          <w:tcPr>
            <w:tcW w:w="960" w:type="dxa"/>
            <w:vAlign w:val="bottom"/>
            <w:shd w:val="clear" w:color="auto" w:fill="CCEEFF"/>
          </w:tcPr>
          <w:p>
            <w:pPr>
              <w:ind w:left="180"/>
              <w:spacing w:after="0" w:line="121" w:lineRule="exact"/>
              <w:rPr>
                <w:sz w:val="20"/>
                <w:szCs w:val="20"/>
                <w:color w:val="auto"/>
              </w:rPr>
            </w:pPr>
            <w:r>
              <w:rPr>
                <w:rFonts w:ascii="Arial" w:cs="Arial" w:eastAsia="Arial" w:hAnsi="Arial"/>
                <w:sz w:val="12"/>
                <w:szCs w:val="12"/>
                <w:color w:val="auto"/>
              </w:rPr>
              <w:t>Parking and</w:t>
            </w: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9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Other</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73,672</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57,067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16,605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29.10 %</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1,461</w:t>
            </w: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640" w:type="dxa"/>
            <w:vAlign w:val="bottom"/>
            <w:gridSpan w:val="3"/>
            <w:shd w:val="clear" w:color="auto" w:fill="CCEEFF"/>
          </w:tcPr>
          <w:p>
            <w:pPr>
              <w:jc w:val="right"/>
              <w:ind w:right="1"/>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807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822</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75,969</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58,104</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17,865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30.75 %</w:t>
            </w:r>
          </w:p>
        </w:tc>
        <w:tc>
          <w:tcPr>
            <w:tcW w:w="0" w:type="dxa"/>
            <w:vAlign w:val="bottom"/>
          </w:tcPr>
          <w:p>
            <w:pPr>
              <w:spacing w:after="0"/>
              <w:rPr>
                <w:sz w:val="1"/>
                <w:szCs w:val="1"/>
                <w:color w:val="auto"/>
              </w:rPr>
            </w:pPr>
          </w:p>
        </w:tc>
      </w:tr>
      <w:tr>
        <w:trPr>
          <w:trHeight w:val="94"/>
        </w:trPr>
        <w:tc>
          <w:tcPr>
            <w:tcW w:w="960" w:type="dxa"/>
            <w:vAlign w:val="bottom"/>
          </w:tcPr>
          <w:p>
            <w:pPr>
              <w:ind w:left="20"/>
              <w:spacing w:after="0" w:line="94" w:lineRule="exact"/>
              <w:rPr>
                <w:sz w:val="20"/>
                <w:szCs w:val="20"/>
                <w:color w:val="auto"/>
              </w:rPr>
            </w:pPr>
            <w:r>
              <w:rPr>
                <w:rFonts w:ascii="Arial" w:cs="Arial" w:eastAsia="Arial" w:hAnsi="Arial"/>
                <w:sz w:val="9"/>
                <w:szCs w:val="9"/>
                <w:color w:val="auto"/>
              </w:rPr>
              <w:t>Total Rental</w:t>
            </w: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2"/>
                <w:szCs w:val="12"/>
                <w:color w:val="auto"/>
              </w:rPr>
              <w:t>Revenue (1)</w:t>
            </w: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2,086,902</w:t>
            </w:r>
          </w:p>
        </w:tc>
        <w:tc>
          <w:tcPr>
            <w:tcW w:w="6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2,008,554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78,348</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3.90 %</w:t>
            </w:r>
          </w:p>
        </w:tc>
        <w:tc>
          <w:tcPr>
            <w:tcW w:w="80" w:type="dxa"/>
            <w:vAlign w:val="bottom"/>
          </w:tcPr>
          <w:p>
            <w:pPr>
              <w:spacing w:after="0"/>
              <w:rPr>
                <w:sz w:val="14"/>
                <w:szCs w:val="14"/>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30,293</w:t>
            </w:r>
          </w:p>
        </w:tc>
        <w:tc>
          <w:tcPr>
            <w:tcW w:w="80" w:type="dxa"/>
            <w:vAlign w:val="bottom"/>
          </w:tcPr>
          <w:p>
            <w:pPr>
              <w:spacing w:after="0"/>
              <w:rPr>
                <w:sz w:val="14"/>
                <w:szCs w:val="14"/>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3,596</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61,055</w:t>
            </w:r>
          </w:p>
        </w:tc>
        <w:tc>
          <w:tcPr>
            <w:tcW w:w="640" w:type="dxa"/>
            <w:vAlign w:val="bottom"/>
            <w:gridSpan w:val="3"/>
          </w:tcPr>
          <w:p>
            <w:pPr>
              <w:jc w:val="right"/>
              <w:ind w:right="1"/>
              <w:spacing w:after="0"/>
              <w:rPr>
                <w:sz w:val="20"/>
                <w:szCs w:val="20"/>
                <w:color w:val="auto"/>
              </w:rPr>
            </w:pPr>
            <w:r>
              <w:rPr>
                <w:rFonts w:ascii="Arial" w:cs="Arial" w:eastAsia="Arial" w:hAnsi="Arial"/>
                <w:sz w:val="12"/>
                <w:szCs w:val="12"/>
                <w:color w:val="auto"/>
              </w:rPr>
              <w:t>17,976</w:t>
            </w:r>
          </w:p>
        </w:tc>
        <w:tc>
          <w:tcPr>
            <w:tcW w:w="80" w:type="dxa"/>
            <w:vAlign w:val="bottom"/>
          </w:tcPr>
          <w:p>
            <w:pPr>
              <w:spacing w:after="0"/>
              <w:rPr>
                <w:sz w:val="14"/>
                <w:szCs w:val="14"/>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2,876</w:t>
            </w:r>
          </w:p>
        </w:tc>
        <w:tc>
          <w:tcPr>
            <w:tcW w:w="80" w:type="dxa"/>
            <w:vAlign w:val="bottom"/>
          </w:tcPr>
          <w:p>
            <w:pPr>
              <w:spacing w:after="0"/>
              <w:rPr>
                <w:sz w:val="14"/>
                <w:szCs w:val="14"/>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5,244</w:t>
            </w:r>
          </w:p>
        </w:tc>
        <w:tc>
          <w:tcPr>
            <w:tcW w:w="80" w:type="dxa"/>
            <w:vAlign w:val="bottom"/>
          </w:tcPr>
          <w:p>
            <w:pPr>
              <w:spacing w:after="0"/>
              <w:rPr>
                <w:sz w:val="14"/>
                <w:szCs w:val="14"/>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34,164</w:t>
            </w:r>
          </w:p>
        </w:tc>
        <w:tc>
          <w:tcPr>
            <w:tcW w:w="80" w:type="dxa"/>
            <w:vAlign w:val="bottom"/>
          </w:tcPr>
          <w:p>
            <w:pPr>
              <w:spacing w:after="0"/>
              <w:rPr>
                <w:sz w:val="14"/>
                <w:szCs w:val="14"/>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55,627</w:t>
            </w:r>
          </w:p>
        </w:tc>
        <w:tc>
          <w:tcPr>
            <w:tcW w:w="6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2,215,290</w:t>
            </w:r>
          </w:p>
        </w:tc>
        <w:tc>
          <w:tcPr>
            <w:tcW w:w="6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2,090,997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124,293</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5.94 %</w:t>
            </w:r>
          </w:p>
        </w:tc>
        <w:tc>
          <w:tcPr>
            <w:tcW w:w="0" w:type="dxa"/>
            <w:vAlign w:val="bottom"/>
          </w:tcPr>
          <w:p>
            <w:pPr>
              <w:spacing w:after="0"/>
              <w:rPr>
                <w:sz w:val="1"/>
                <w:szCs w:val="1"/>
                <w:color w:val="auto"/>
              </w:rPr>
            </w:pPr>
          </w:p>
        </w:tc>
      </w:tr>
      <w:tr>
        <w:trPr>
          <w:trHeight w:val="121"/>
        </w:trPr>
        <w:tc>
          <w:tcPr>
            <w:tcW w:w="96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Real Estate</w:t>
            </w: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6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rPr>
              <w:t>Operating</w:t>
            </w: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Expenses</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767,517</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720,559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46,958</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6.52 %</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7,214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653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15,673</w:t>
            </w:r>
          </w:p>
        </w:tc>
        <w:tc>
          <w:tcPr>
            <w:tcW w:w="640" w:type="dxa"/>
            <w:vAlign w:val="bottom"/>
            <w:gridSpan w:val="3"/>
            <w:shd w:val="clear" w:color="auto" w:fill="CCEEFF"/>
          </w:tcPr>
          <w:p>
            <w:pPr>
              <w:jc w:val="right"/>
              <w:ind w:right="1"/>
              <w:spacing w:after="0"/>
              <w:rPr>
                <w:sz w:val="20"/>
                <w:szCs w:val="20"/>
                <w:color w:val="auto"/>
              </w:rPr>
            </w:pPr>
            <w:r>
              <w:rPr>
                <w:rFonts w:ascii="Arial" w:cs="Arial" w:eastAsia="Arial" w:hAnsi="Arial"/>
                <w:sz w:val="12"/>
                <w:szCs w:val="12"/>
                <w:color w:val="auto"/>
              </w:rPr>
              <w:t>6,001</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1,599</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2,182</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10,528</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16,878</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802,531</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746,273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56,258</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7.54 %</w:t>
            </w:r>
          </w:p>
        </w:tc>
        <w:tc>
          <w:tcPr>
            <w:tcW w:w="0" w:type="dxa"/>
            <w:vAlign w:val="bottom"/>
          </w:tcPr>
          <w:p>
            <w:pPr>
              <w:spacing w:after="0"/>
              <w:rPr>
                <w:sz w:val="1"/>
                <w:szCs w:val="1"/>
                <w:color w:val="auto"/>
              </w:rPr>
            </w:pPr>
          </w:p>
        </w:tc>
      </w:tr>
      <w:tr>
        <w:trPr>
          <w:trHeight w:val="94"/>
        </w:trPr>
        <w:tc>
          <w:tcPr>
            <w:tcW w:w="960" w:type="dxa"/>
            <w:vAlign w:val="bottom"/>
          </w:tcPr>
          <w:p>
            <w:pPr>
              <w:ind w:left="20"/>
              <w:spacing w:after="0" w:line="94" w:lineRule="exact"/>
              <w:rPr>
                <w:sz w:val="20"/>
                <w:szCs w:val="20"/>
                <w:color w:val="auto"/>
              </w:rPr>
            </w:pPr>
            <w:r>
              <w:rPr>
                <w:rFonts w:ascii="Arial" w:cs="Arial" w:eastAsia="Arial" w:hAnsi="Arial"/>
                <w:sz w:val="9"/>
                <w:szCs w:val="9"/>
                <w:color w:val="auto"/>
              </w:rPr>
              <w:t>Net Operating</w:t>
            </w: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960" w:type="dxa"/>
            <w:vAlign w:val="bottom"/>
          </w:tcPr>
          <w:p>
            <w:pPr>
              <w:ind w:left="180"/>
              <w:spacing w:after="0" w:line="124" w:lineRule="exact"/>
              <w:rPr>
                <w:sz w:val="20"/>
                <w:szCs w:val="20"/>
                <w:color w:val="auto"/>
              </w:rPr>
            </w:pPr>
            <w:r>
              <w:rPr>
                <w:rFonts w:ascii="Arial" w:cs="Arial" w:eastAsia="Arial" w:hAnsi="Arial"/>
                <w:sz w:val="12"/>
                <w:szCs w:val="12"/>
                <w:color w:val="auto"/>
              </w:rPr>
              <w:t>Income,</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60" w:type="dxa"/>
            <w:vAlign w:val="bottom"/>
          </w:tcPr>
          <w:p>
            <w:pPr>
              <w:ind w:left="180"/>
              <w:spacing w:after="0" w:line="117" w:lineRule="exact"/>
              <w:rPr>
                <w:sz w:val="20"/>
                <w:szCs w:val="20"/>
                <w:color w:val="auto"/>
              </w:rPr>
            </w:pPr>
            <w:r>
              <w:rPr>
                <w:rFonts w:ascii="Arial" w:cs="Arial" w:eastAsia="Arial" w:hAnsi="Arial"/>
                <w:sz w:val="12"/>
                <w:szCs w:val="12"/>
                <w:color w:val="auto"/>
              </w:rPr>
              <w:t>Excluding</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960" w:type="dxa"/>
            <w:vAlign w:val="bottom"/>
          </w:tcPr>
          <w:p>
            <w:pPr>
              <w:ind w:left="180"/>
              <w:spacing w:after="0" w:line="114" w:lineRule="exact"/>
              <w:rPr>
                <w:sz w:val="20"/>
                <w:szCs w:val="20"/>
                <w:color w:val="auto"/>
              </w:rPr>
            </w:pPr>
            <w:r>
              <w:rPr>
                <w:rFonts w:ascii="Arial" w:cs="Arial" w:eastAsia="Arial" w:hAnsi="Arial"/>
                <w:sz w:val="12"/>
                <w:szCs w:val="12"/>
                <w:color w:val="auto"/>
              </w:rPr>
              <w:t>Residential</w:t>
            </w: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180"/>
              <w:spacing w:after="0"/>
              <w:rPr>
                <w:sz w:val="20"/>
                <w:szCs w:val="20"/>
                <w:color w:val="auto"/>
              </w:rPr>
            </w:pPr>
            <w:r>
              <w:rPr>
                <w:rFonts w:ascii="Arial" w:cs="Arial" w:eastAsia="Arial" w:hAnsi="Arial"/>
                <w:sz w:val="12"/>
                <w:szCs w:val="12"/>
                <w:color w:val="auto"/>
              </w:rPr>
              <w:t>and Hotel</w:t>
            </w: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1,319,385</w:t>
            </w:r>
          </w:p>
        </w:tc>
        <w:tc>
          <w:tcPr>
            <w:tcW w:w="6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1,287,995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31,390</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2.44 %</w:t>
            </w:r>
          </w:p>
        </w:tc>
        <w:tc>
          <w:tcPr>
            <w:tcW w:w="80" w:type="dxa"/>
            <w:vAlign w:val="bottom"/>
          </w:tcPr>
          <w:p>
            <w:pPr>
              <w:spacing w:after="0"/>
              <w:rPr>
                <w:sz w:val="14"/>
                <w:szCs w:val="14"/>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23,079</w:t>
            </w:r>
          </w:p>
        </w:tc>
        <w:tc>
          <w:tcPr>
            <w:tcW w:w="80" w:type="dxa"/>
            <w:vAlign w:val="bottom"/>
          </w:tcPr>
          <w:p>
            <w:pPr>
              <w:spacing w:after="0"/>
              <w:rPr>
                <w:sz w:val="14"/>
                <w:szCs w:val="14"/>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2,943</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45,382</w:t>
            </w:r>
          </w:p>
        </w:tc>
        <w:tc>
          <w:tcPr>
            <w:tcW w:w="640" w:type="dxa"/>
            <w:vAlign w:val="bottom"/>
            <w:gridSpan w:val="3"/>
          </w:tcPr>
          <w:p>
            <w:pPr>
              <w:jc w:val="right"/>
              <w:ind w:right="1"/>
              <w:spacing w:after="0"/>
              <w:rPr>
                <w:sz w:val="20"/>
                <w:szCs w:val="20"/>
                <w:color w:val="auto"/>
              </w:rPr>
            </w:pPr>
            <w:r>
              <w:rPr>
                <w:rFonts w:ascii="Arial" w:cs="Arial" w:eastAsia="Arial" w:hAnsi="Arial"/>
                <w:sz w:val="12"/>
                <w:szCs w:val="12"/>
                <w:color w:val="auto"/>
              </w:rPr>
              <w:t>11,975</w:t>
            </w:r>
          </w:p>
        </w:tc>
        <w:tc>
          <w:tcPr>
            <w:tcW w:w="80" w:type="dxa"/>
            <w:vAlign w:val="bottom"/>
          </w:tcPr>
          <w:p>
            <w:pPr>
              <w:spacing w:after="0"/>
              <w:rPr>
                <w:sz w:val="14"/>
                <w:szCs w:val="14"/>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1,277</w:t>
            </w:r>
          </w:p>
        </w:tc>
        <w:tc>
          <w:tcPr>
            <w:tcW w:w="80" w:type="dxa"/>
            <w:vAlign w:val="bottom"/>
          </w:tcPr>
          <w:p>
            <w:pPr>
              <w:spacing w:after="0"/>
              <w:rPr>
                <w:sz w:val="14"/>
                <w:szCs w:val="14"/>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3,062</w:t>
            </w:r>
          </w:p>
        </w:tc>
        <w:tc>
          <w:tcPr>
            <w:tcW w:w="80" w:type="dxa"/>
            <w:vAlign w:val="bottom"/>
          </w:tcPr>
          <w:p>
            <w:pPr>
              <w:spacing w:after="0"/>
              <w:rPr>
                <w:sz w:val="14"/>
                <w:szCs w:val="14"/>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23,636</w:t>
            </w:r>
          </w:p>
        </w:tc>
        <w:tc>
          <w:tcPr>
            <w:tcW w:w="80" w:type="dxa"/>
            <w:vAlign w:val="bottom"/>
          </w:tcPr>
          <w:p>
            <w:pPr>
              <w:spacing w:after="0"/>
              <w:rPr>
                <w:sz w:val="14"/>
                <w:szCs w:val="14"/>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38,749</w:t>
            </w:r>
          </w:p>
        </w:tc>
        <w:tc>
          <w:tcPr>
            <w:tcW w:w="6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1,412,759</w:t>
            </w:r>
          </w:p>
        </w:tc>
        <w:tc>
          <w:tcPr>
            <w:tcW w:w="6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1,344,724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68,035</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5.06 %</w:t>
            </w:r>
          </w:p>
        </w:tc>
        <w:tc>
          <w:tcPr>
            <w:tcW w:w="0" w:type="dxa"/>
            <w:vAlign w:val="bottom"/>
          </w:tcPr>
          <w:p>
            <w:pPr>
              <w:spacing w:after="0"/>
              <w:rPr>
                <w:sz w:val="1"/>
                <w:szCs w:val="1"/>
                <w:color w:val="auto"/>
              </w:rPr>
            </w:pPr>
          </w:p>
        </w:tc>
      </w:tr>
      <w:tr>
        <w:trPr>
          <w:trHeight w:val="121"/>
        </w:trPr>
        <w:tc>
          <w:tcPr>
            <w:tcW w:w="96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Residential Net</w:t>
            </w: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60" w:type="dxa"/>
            <w:vAlign w:val="bottom"/>
            <w:shd w:val="clear" w:color="auto" w:fill="CCEEFF"/>
          </w:tcPr>
          <w:p>
            <w:pPr>
              <w:ind w:left="180"/>
              <w:spacing w:after="0" w:line="124" w:lineRule="exact"/>
              <w:rPr>
                <w:sz w:val="20"/>
                <w:szCs w:val="20"/>
                <w:color w:val="auto"/>
              </w:rPr>
            </w:pPr>
            <w:r>
              <w:rPr>
                <w:rFonts w:ascii="Arial" w:cs="Arial" w:eastAsia="Arial" w:hAnsi="Arial"/>
                <w:sz w:val="12"/>
                <w:szCs w:val="12"/>
                <w:color w:val="auto"/>
              </w:rPr>
              <w:t>Operating</w:t>
            </w: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 (2)</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20,944</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11,732</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9,212</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78.52 %</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20,944</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11,732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9,212</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78.52 %</w:t>
            </w:r>
          </w:p>
        </w:tc>
        <w:tc>
          <w:tcPr>
            <w:tcW w:w="0" w:type="dxa"/>
            <w:vAlign w:val="bottom"/>
          </w:tcPr>
          <w:p>
            <w:pPr>
              <w:spacing w:after="0"/>
              <w:rPr>
                <w:sz w:val="1"/>
                <w:szCs w:val="1"/>
                <w:color w:val="auto"/>
              </w:rPr>
            </w:pPr>
          </w:p>
        </w:tc>
      </w:tr>
      <w:tr>
        <w:trPr>
          <w:trHeight w:val="114"/>
        </w:trPr>
        <w:tc>
          <w:tcPr>
            <w:tcW w:w="960" w:type="dxa"/>
            <w:vAlign w:val="bottom"/>
          </w:tcPr>
          <w:p>
            <w:pPr>
              <w:ind w:left="20"/>
              <w:spacing w:after="0" w:line="114" w:lineRule="exact"/>
              <w:rPr>
                <w:sz w:val="20"/>
                <w:szCs w:val="20"/>
                <w:color w:val="auto"/>
              </w:rPr>
            </w:pPr>
            <w:r>
              <w:rPr>
                <w:rFonts w:ascii="Arial" w:cs="Arial" w:eastAsia="Arial" w:hAnsi="Arial"/>
                <w:sz w:val="12"/>
                <w:szCs w:val="12"/>
                <w:color w:val="auto"/>
              </w:rPr>
              <w:t>Hotel Net</w:t>
            </w: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960" w:type="dxa"/>
            <w:vAlign w:val="bottom"/>
          </w:tcPr>
          <w:p>
            <w:pPr>
              <w:ind w:left="180"/>
              <w:spacing w:after="0" w:line="124" w:lineRule="exact"/>
              <w:rPr>
                <w:sz w:val="20"/>
                <w:szCs w:val="20"/>
                <w:color w:val="auto"/>
              </w:rPr>
            </w:pPr>
            <w:r>
              <w:rPr>
                <w:rFonts w:ascii="Arial" w:cs="Arial" w:eastAsia="Arial" w:hAnsi="Arial"/>
                <w:sz w:val="12"/>
                <w:szCs w:val="12"/>
                <w:color w:val="auto"/>
              </w:rPr>
              <w:t>Operating</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60" w:type="dxa"/>
            <w:vAlign w:val="bottom"/>
          </w:tcPr>
          <w:p>
            <w:pPr>
              <w:ind w:left="180"/>
              <w:spacing w:after="0" w:line="117" w:lineRule="exact"/>
              <w:rPr>
                <w:sz w:val="20"/>
                <w:szCs w:val="20"/>
                <w:color w:val="auto"/>
              </w:rPr>
            </w:pPr>
            <w:r>
              <w:rPr>
                <w:rFonts w:ascii="Arial" w:cs="Arial" w:eastAsia="Arial" w:hAnsi="Arial"/>
                <w:sz w:val="12"/>
                <w:szCs w:val="12"/>
                <w:color w:val="auto"/>
                <w:w w:val="99"/>
              </w:rPr>
              <w:t>Income (Loss)</w:t>
            </w:r>
          </w:p>
        </w:tc>
        <w:tc>
          <w:tcPr>
            <w:tcW w:w="700" w:type="dxa"/>
            <w:vAlign w:val="bottom"/>
            <w:vMerge w:val="restart"/>
          </w:tcPr>
          <w:p>
            <w:pPr>
              <w:jc w:val="right"/>
              <w:ind w:right="1"/>
              <w:spacing w:after="0"/>
              <w:rPr>
                <w:sz w:val="20"/>
                <w:szCs w:val="20"/>
                <w:color w:val="auto"/>
              </w:rPr>
            </w:pPr>
            <w:r>
              <w:rPr>
                <w:rFonts w:ascii="Arial" w:cs="Arial" w:eastAsia="Arial" w:hAnsi="Arial"/>
                <w:sz w:val="12"/>
                <w:szCs w:val="12"/>
                <w:color w:val="auto"/>
              </w:rPr>
              <w:t>8,563</w:t>
            </w:r>
          </w:p>
        </w:tc>
        <w:tc>
          <w:tcPr>
            <w:tcW w:w="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(611)</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jc w:val="right"/>
              <w:ind w:right="1"/>
              <w:spacing w:after="0"/>
              <w:rPr>
                <w:sz w:val="20"/>
                <w:szCs w:val="20"/>
                <w:color w:val="auto"/>
              </w:rPr>
            </w:pPr>
            <w:r>
              <w:rPr>
                <w:rFonts w:ascii="Arial" w:cs="Arial" w:eastAsia="Arial" w:hAnsi="Arial"/>
                <w:sz w:val="12"/>
                <w:szCs w:val="12"/>
                <w:color w:val="auto"/>
              </w:rPr>
              <w:t>9,174</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w w:val="98"/>
              </w:rPr>
              <w:t>1,501.47 %</w:t>
            </w:r>
          </w:p>
        </w:tc>
        <w:tc>
          <w:tcPr>
            <w:tcW w:w="8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1"/>
              <w:spacing w:after="0"/>
              <w:rPr>
                <w:sz w:val="20"/>
                <w:szCs w:val="20"/>
                <w:color w:val="auto"/>
              </w:rPr>
            </w:pPr>
            <w:r>
              <w:rPr>
                <w:rFonts w:ascii="Arial" w:cs="Arial" w:eastAsia="Arial" w:hAnsi="Arial"/>
                <w:sz w:val="12"/>
                <w:szCs w:val="12"/>
                <w:color w:val="auto"/>
              </w:rPr>
              <w:t>8,563</w:t>
            </w:r>
          </w:p>
        </w:tc>
        <w:tc>
          <w:tcPr>
            <w:tcW w:w="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(611)</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1"/>
              <w:spacing w:after="0"/>
              <w:rPr>
                <w:sz w:val="20"/>
                <w:szCs w:val="20"/>
                <w:color w:val="auto"/>
              </w:rPr>
            </w:pPr>
            <w:r>
              <w:rPr>
                <w:rFonts w:ascii="Arial" w:cs="Arial" w:eastAsia="Arial" w:hAnsi="Arial"/>
                <w:sz w:val="12"/>
                <w:szCs w:val="12"/>
                <w:color w:val="auto"/>
              </w:rPr>
              <w:t>9,174</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w w:val="98"/>
              </w:rPr>
              <w:t>1,501.47 %</w:t>
            </w:r>
          </w:p>
        </w:tc>
        <w:tc>
          <w:tcPr>
            <w:tcW w:w="0" w:type="dxa"/>
            <w:vAlign w:val="bottom"/>
          </w:tcPr>
          <w:p>
            <w:pPr>
              <w:spacing w:after="0"/>
              <w:rPr>
                <w:sz w:val="1"/>
                <w:szCs w:val="1"/>
                <w:color w:val="auto"/>
              </w:rPr>
            </w:pPr>
          </w:p>
        </w:tc>
      </w:tr>
      <w:tr>
        <w:trPr>
          <w:trHeight w:val="160"/>
        </w:trPr>
        <w:tc>
          <w:tcPr>
            <w:tcW w:w="960" w:type="dxa"/>
            <w:vAlign w:val="bottom"/>
          </w:tcPr>
          <w:p>
            <w:pPr>
              <w:ind w:left="180"/>
              <w:spacing w:after="0"/>
              <w:rPr>
                <w:sz w:val="20"/>
                <w:szCs w:val="20"/>
                <w:color w:val="auto"/>
              </w:rPr>
            </w:pPr>
            <w:r>
              <w:rPr>
                <w:rFonts w:ascii="Arial" w:cs="Arial" w:eastAsia="Arial" w:hAnsi="Arial"/>
                <w:sz w:val="12"/>
                <w:szCs w:val="12"/>
                <w:color w:val="auto"/>
              </w:rPr>
              <w:t>(2)</w:t>
            </w: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960" w:type="dxa"/>
            <w:vAlign w:val="bottom"/>
            <w:tcBorders>
              <w:top w:val="single" w:sz="8" w:color="CCEEFF"/>
            </w:tcBorders>
            <w:shd w:val="clear" w:color="auto" w:fill="CCEEFF"/>
          </w:tcPr>
          <w:p>
            <w:pPr>
              <w:ind w:left="20"/>
              <w:spacing w:after="0" w:line="100" w:lineRule="exact"/>
              <w:rPr>
                <w:sz w:val="20"/>
                <w:szCs w:val="20"/>
                <w:color w:val="auto"/>
              </w:rPr>
            </w:pPr>
            <w:r>
              <w:rPr>
                <w:rFonts w:ascii="Arial" w:cs="Arial" w:eastAsia="Arial" w:hAnsi="Arial"/>
                <w:sz w:val="11"/>
                <w:szCs w:val="11"/>
                <w:color w:val="auto"/>
              </w:rPr>
              <w:t>Net Operating</w:t>
            </w:r>
          </w:p>
        </w:tc>
        <w:tc>
          <w:tcPr>
            <w:tcW w:w="7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7"/>
              </w:rPr>
              <w:t>$ 1,348,892</w:t>
            </w:r>
          </w:p>
        </w:tc>
        <w:tc>
          <w:tcPr>
            <w:tcW w:w="6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7"/>
              </w:rPr>
              <w:t>$ 1,299,116</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49,776</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3.83 %</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4"/>
              </w:rPr>
              <w:t>$ 23,079</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7"/>
              </w:rPr>
              <w:t>$2,943</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4"/>
              </w:rPr>
              <w:t>$ 45,382</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4"/>
              </w:rPr>
              <w:t>$ 11,975</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7"/>
              </w:rPr>
              <w:t>$1,277</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7"/>
              </w:rPr>
              <w:t>$3,062</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4"/>
              </w:rPr>
              <w:t>$ 23,636</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4"/>
              </w:rPr>
              <w:t>$ 38,749</w:t>
            </w:r>
          </w:p>
        </w:tc>
        <w:tc>
          <w:tcPr>
            <w:tcW w:w="6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7"/>
              </w:rPr>
              <w:t>$ 1,442,266</w:t>
            </w:r>
          </w:p>
        </w:tc>
        <w:tc>
          <w:tcPr>
            <w:tcW w:w="6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7"/>
              </w:rPr>
              <w:t>$ 1,355,845</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86,421</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6.37 %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28" w:lineRule="exact"/>
        <w:rPr>
          <w:sz w:val="20"/>
          <w:szCs w:val="20"/>
          <w:color w:val="auto"/>
        </w:rPr>
      </w:pPr>
    </w:p>
    <w:p>
      <w:pPr>
        <w:ind w:left="620" w:right="560" w:hanging="314"/>
        <w:spacing w:after="0" w:line="281" w:lineRule="auto"/>
        <w:tabs>
          <w:tab w:leader="none" w:pos="607"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w:t>
      </w:r>
    </w:p>
    <w:p>
      <w:pPr>
        <w:spacing w:after="0" w:line="1" w:lineRule="exact"/>
        <w:rPr>
          <w:rFonts w:ascii="Arial" w:cs="Arial" w:eastAsia="Arial" w:hAnsi="Arial"/>
          <w:sz w:val="12"/>
          <w:szCs w:val="12"/>
          <w:color w:val="auto"/>
        </w:rPr>
      </w:pPr>
    </w:p>
    <w:p>
      <w:pPr>
        <w:ind w:left="620" w:right="280" w:hanging="314"/>
        <w:spacing w:after="0" w:line="241" w:lineRule="auto"/>
        <w:tabs>
          <w:tab w:leader="none" w:pos="607" w:val="left"/>
        </w:tabs>
        <w:numPr>
          <w:ilvl w:val="0"/>
          <w:numId w:val="36"/>
        </w:numPr>
        <w:rPr>
          <w:rFonts w:ascii="Arial" w:cs="Arial" w:eastAsia="Arial" w:hAnsi="Arial"/>
          <w:sz w:val="14"/>
          <w:szCs w:val="14"/>
          <w:color w:val="auto"/>
        </w:rPr>
      </w:pPr>
      <w:r>
        <w:rPr>
          <w:rFonts w:ascii="Arial" w:cs="Arial" w:eastAsia="Arial" w:hAnsi="Arial"/>
          <w:sz w:val="14"/>
          <w:szCs w:val="14"/>
          <w:color w:val="auto"/>
        </w:rPr>
        <w:t>For a detailed discussion of NOI, including the reasons management believes NOI is useful to investors, see page 56. Residential Net Operating Income for the nine months ended September 30, 2022 and 2021 is comprised of Residential Revenue of $44,218 and $29,832 less Residential Expenses of $23,274 and $18,100, respectively. Hotel Net Operating Income (Loss) for the nine months ended September 30, 2022 and 2021 is comprised of Hotel Revenue of $28,395 and $7,382 less Hotel Expenses of $19,832 and $7,993, respectively, per the Consolidated Statements of Operations.</w:t>
      </w:r>
    </w:p>
    <w:p>
      <w:pPr>
        <w:spacing w:after="0" w:line="200" w:lineRule="exact"/>
        <w:rPr>
          <w:sz w:val="20"/>
          <w:szCs w:val="20"/>
          <w:color w:val="auto"/>
        </w:rPr>
      </w:pPr>
    </w:p>
    <w:p>
      <w:pPr>
        <w:spacing w:after="0" w:line="33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340"/>
          </w:cols>
          <w:pgMar w:left="320" w:top="275" w:right="2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u w:val="single" w:color="auto"/>
          <w:color w:val="auto"/>
        </w:rPr>
        <w:t>Same Property Portfolio</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Lease Revenue (Excluding Termination Income)</w:t>
      </w:r>
    </w:p>
    <w:p>
      <w:pPr>
        <w:spacing w:after="0" w:line="96" w:lineRule="exact"/>
        <w:rPr>
          <w:sz w:val="20"/>
          <w:szCs w:val="20"/>
          <w:color w:val="auto"/>
        </w:rPr>
      </w:pPr>
    </w:p>
    <w:p>
      <w:pPr>
        <w:ind w:right="100" w:firstLine="419"/>
        <w:spacing w:after="0" w:line="260" w:lineRule="auto"/>
        <w:rPr>
          <w:sz w:val="20"/>
          <w:szCs w:val="20"/>
          <w:color w:val="auto"/>
        </w:rPr>
      </w:pPr>
      <w:r>
        <w:rPr>
          <w:rFonts w:ascii="Arial" w:cs="Arial" w:eastAsia="Arial" w:hAnsi="Arial"/>
          <w:sz w:val="17"/>
          <w:szCs w:val="17"/>
          <w:color w:val="auto"/>
        </w:rPr>
        <w:t>Lease revenue (excluding termination income) from the Same Property Portfolio increased by approximately $67.7 million for the nine months ended September 30, 2022 compared to 2021. The increase was a result of our average revenue per square foot increasing by approximately $2.95, contributing approximately $74.6 million, partially offset by average occupancy decreasing from 91.6% to 91.2%, resulting in a decrease of approximately $6.9 million.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Termination Income</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Termination income decreased by approximately $5.9 million for the nine months ended September 30, 2022 compared to 2021.</w:t>
      </w:r>
    </w:p>
    <w:p>
      <w:pPr>
        <w:spacing w:after="0" w:line="160" w:lineRule="exact"/>
        <w:rPr>
          <w:sz w:val="20"/>
          <w:szCs w:val="20"/>
          <w:color w:val="auto"/>
        </w:rPr>
      </w:pPr>
    </w:p>
    <w:p>
      <w:pPr>
        <w:ind w:right="160" w:firstLine="419"/>
        <w:spacing w:after="0" w:line="266" w:lineRule="auto"/>
        <w:rPr>
          <w:sz w:val="20"/>
          <w:szCs w:val="20"/>
          <w:color w:val="auto"/>
        </w:rPr>
      </w:pPr>
      <w:r>
        <w:rPr>
          <w:rFonts w:ascii="Arial" w:cs="Arial" w:eastAsia="Arial" w:hAnsi="Arial"/>
          <w:sz w:val="17"/>
          <w:szCs w:val="17"/>
          <w:color w:val="auto"/>
        </w:rPr>
        <w:t>Termination income for the nine months ended September 30, 2022 related to 23 clients across the Same Property Portfolio and totaled approximately $5.0 million, which was primarily related to clients that terminated leases early in New York City. In addition, we received a distribution from our unsecured credit claim against Lehman Brothers, Inc. of approximately $0.6 million.</w:t>
      </w:r>
    </w:p>
    <w:p>
      <w:pPr>
        <w:spacing w:after="0" w:line="112" w:lineRule="exact"/>
        <w:rPr>
          <w:sz w:val="20"/>
          <w:szCs w:val="20"/>
          <w:color w:val="auto"/>
        </w:rPr>
      </w:pPr>
    </w:p>
    <w:p>
      <w:pPr>
        <w:ind w:right="680" w:firstLine="419"/>
        <w:spacing w:after="0" w:line="315" w:lineRule="auto"/>
        <w:rPr>
          <w:sz w:val="20"/>
          <w:szCs w:val="20"/>
          <w:color w:val="auto"/>
        </w:rPr>
      </w:pPr>
      <w:r>
        <w:rPr>
          <w:rFonts w:ascii="Arial" w:cs="Arial" w:eastAsia="Arial" w:hAnsi="Arial"/>
          <w:sz w:val="16"/>
          <w:szCs w:val="16"/>
          <w:color w:val="auto"/>
        </w:rPr>
        <w:t>Termination income for the nine months ended September 30, 2021 related to 23 clients across the Same Property Portfolio and totaled approximately $11.5 million, which was primarily related to clients that terminated leases early in New York City and the Boston region.</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Parking and Other Revenue</w:t>
      </w:r>
    </w:p>
    <w:p>
      <w:pPr>
        <w:spacing w:after="0" w:line="84" w:lineRule="exact"/>
        <w:rPr>
          <w:sz w:val="20"/>
          <w:szCs w:val="20"/>
          <w:color w:val="auto"/>
        </w:rPr>
      </w:pPr>
    </w:p>
    <w:p>
      <w:pPr>
        <w:jc w:val="both"/>
        <w:ind w:right="80" w:firstLine="381"/>
        <w:spacing w:after="0" w:line="266" w:lineRule="auto"/>
        <w:rPr>
          <w:sz w:val="20"/>
          <w:szCs w:val="20"/>
          <w:color w:val="auto"/>
        </w:rPr>
      </w:pPr>
      <w:r>
        <w:rPr>
          <w:rFonts w:ascii="Arial" w:cs="Arial" w:eastAsia="Arial" w:hAnsi="Arial"/>
          <w:sz w:val="17"/>
          <w:szCs w:val="17"/>
          <w:color w:val="auto"/>
        </w:rPr>
        <w:t>Parking and other revenue increased by approximately $16.6 million for the nine months ended September 30, 2022 compared to 2021. Parking revenue increased by approximately $17.3 million and was partially offset by a decrease in other revenue of approximately $0.7 million. The increase in parking revenue was primarily due to an increase in transient and monthly parking.</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Real Estate Operating Expenses</w:t>
      </w:r>
    </w:p>
    <w:p>
      <w:pPr>
        <w:spacing w:after="0" w:line="96" w:lineRule="exact"/>
        <w:rPr>
          <w:sz w:val="20"/>
          <w:szCs w:val="20"/>
          <w:color w:val="auto"/>
        </w:rPr>
      </w:pPr>
    </w:p>
    <w:p>
      <w:pPr>
        <w:jc w:val="both"/>
        <w:ind w:right="20" w:firstLine="419"/>
        <w:spacing w:after="0" w:line="266" w:lineRule="auto"/>
        <w:rPr>
          <w:sz w:val="20"/>
          <w:szCs w:val="20"/>
          <w:color w:val="auto"/>
        </w:rPr>
      </w:pPr>
      <w:r>
        <w:rPr>
          <w:rFonts w:ascii="Arial" w:cs="Arial" w:eastAsia="Arial" w:hAnsi="Arial"/>
          <w:sz w:val="17"/>
          <w:szCs w:val="17"/>
          <w:color w:val="auto"/>
        </w:rPr>
        <w:t>Real estate operating expenses from the Same Property Portfolio increased by approximately $47.0 million, or 6.5%, for the nine months ended September 30, 2022 compared to 2021, due primarily to an increase in operating expenses, including cleaning, utilities, repairs and maintenance, and roads/grounds/security. The increase in operating expenses was driven by an increase in physical occupancy.</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u w:val="single" w:color="auto"/>
          <w:color w:val="auto"/>
        </w:rPr>
        <w:t>Properties Acquired Portfolio</w:t>
      </w:r>
    </w:p>
    <w:p>
      <w:pPr>
        <w:spacing w:after="0" w:line="96" w:lineRule="exact"/>
        <w:rPr>
          <w:sz w:val="20"/>
          <w:szCs w:val="20"/>
          <w:color w:val="auto"/>
        </w:rPr>
      </w:pPr>
    </w:p>
    <w:p>
      <w:pPr>
        <w:ind w:right="80" w:firstLine="419"/>
        <w:spacing w:after="0" w:line="266" w:lineRule="auto"/>
        <w:rPr>
          <w:sz w:val="20"/>
          <w:szCs w:val="20"/>
          <w:color w:val="auto"/>
        </w:rPr>
      </w:pPr>
      <w:r>
        <w:rPr>
          <w:rFonts w:ascii="Arial" w:cs="Arial" w:eastAsia="Arial" w:hAnsi="Arial"/>
          <w:sz w:val="17"/>
          <w:szCs w:val="17"/>
          <w:color w:val="auto"/>
        </w:rPr>
        <w:t>The table below lists the properties acquired between January 1, 2021 and September 30, 2022. Rental revenue and real estate operating expenses increased by approximately $26.7 million and $6.6 million, respectively, for the nine months ended September 30, 2022 compared to 2021, as detailed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w w:val="96"/>
              </w:rPr>
              <w:t>Rental Revenue</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jc w:val="right"/>
              <w:ind w:right="313"/>
              <w:spacing w:after="0"/>
              <w:rPr>
                <w:sz w:val="20"/>
                <w:szCs w:val="20"/>
                <w:color w:val="auto"/>
              </w:rPr>
            </w:pPr>
            <w:r>
              <w:rPr>
                <w:rFonts w:ascii="Arial" w:cs="Arial" w:eastAsia="Arial" w:hAnsi="Arial"/>
                <w:sz w:val="13"/>
                <w:szCs w:val="13"/>
                <w:b w:val="1"/>
                <w:bCs w:val="1"/>
                <w:color w:val="auto"/>
              </w:rPr>
              <w:t>Real Estate Operating Expenses</w:t>
            </w:r>
          </w:p>
        </w:tc>
      </w:tr>
      <w:tr>
        <w:trPr>
          <w:trHeight w:val="234"/>
        </w:trPr>
        <w:tc>
          <w:tcPr>
            <w:tcW w:w="260" w:type="dxa"/>
            <w:vAlign w:val="bottom"/>
          </w:tcPr>
          <w:p>
            <w:pPr>
              <w:spacing w:after="0"/>
              <w:rPr>
                <w:sz w:val="20"/>
                <w:szCs w:val="20"/>
                <w:color w:val="auto"/>
              </w:rPr>
            </w:pPr>
          </w:p>
        </w:tc>
        <w:tc>
          <w:tcPr>
            <w:tcW w:w="2600" w:type="dxa"/>
            <w:vAlign w:val="bottom"/>
            <w:gridSpan w:val="2"/>
          </w:tcPr>
          <w:p>
            <w:pPr>
              <w:ind w:left="960"/>
              <w:spacing w:after="0"/>
              <w:rPr>
                <w:sz w:val="20"/>
                <w:szCs w:val="20"/>
                <w:color w:val="auto"/>
              </w:rPr>
            </w:pPr>
            <w:r>
              <w:rPr>
                <w:rFonts w:ascii="Arial" w:cs="Arial" w:eastAsia="Arial" w:hAnsi="Arial"/>
                <w:sz w:val="13"/>
                <w:szCs w:val="13"/>
                <w:b w:val="1"/>
                <w:bCs w:val="1"/>
                <w:color w:val="auto"/>
              </w:rPr>
              <w:t>Name</w:t>
            </w:r>
          </w:p>
        </w:tc>
        <w:tc>
          <w:tcPr>
            <w:tcW w:w="1800" w:type="dxa"/>
            <w:vAlign w:val="bottom"/>
            <w:gridSpan w:val="2"/>
          </w:tcPr>
          <w:p>
            <w:pPr>
              <w:ind w:left="440"/>
              <w:spacing w:after="0"/>
              <w:rPr>
                <w:sz w:val="20"/>
                <w:szCs w:val="20"/>
                <w:color w:val="auto"/>
              </w:rPr>
            </w:pPr>
            <w:r>
              <w:rPr>
                <w:rFonts w:ascii="Arial" w:cs="Arial" w:eastAsia="Arial" w:hAnsi="Arial"/>
                <w:sz w:val="13"/>
                <w:szCs w:val="13"/>
                <w:b w:val="1"/>
                <w:bCs w:val="1"/>
                <w:color w:val="auto"/>
              </w:rPr>
              <w:t>Date acquired</w:t>
            </w: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20"/>
                <w:szCs w:val="20"/>
                <w:color w:val="auto"/>
              </w:rPr>
            </w:pPr>
          </w:p>
        </w:tc>
        <w:tc>
          <w:tcPr>
            <w:tcW w:w="660" w:type="dxa"/>
            <w:vAlign w:val="bottom"/>
          </w:tcPr>
          <w:p>
            <w:pPr>
              <w:jc w:val="right"/>
              <w:ind w:right="21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7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20"/>
                <w:szCs w:val="20"/>
                <w:color w:val="auto"/>
              </w:rPr>
            </w:pPr>
          </w:p>
        </w:tc>
        <w:tc>
          <w:tcPr>
            <w:tcW w:w="680" w:type="dxa"/>
            <w:vAlign w:val="bottom"/>
          </w:tcPr>
          <w:p>
            <w:pPr>
              <w:jc w:val="right"/>
              <w:ind w:right="23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73"/>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b w:val="1"/>
                <w:bCs w:val="1"/>
                <w:color w:val="auto"/>
              </w:rPr>
              <w:t>Change</w:t>
            </w:r>
          </w:p>
        </w:tc>
      </w:tr>
      <w:tr>
        <w:trPr>
          <w:trHeight w:val="170"/>
        </w:trPr>
        <w:tc>
          <w:tcPr>
            <w:tcW w:w="260" w:type="dxa"/>
            <w:vAlign w:val="bottom"/>
            <w:tcBorders>
              <w:top w:val="single" w:sz="8" w:color="auto"/>
            </w:tcBorders>
          </w:tcPr>
          <w:p>
            <w:pPr>
              <w:spacing w:after="0"/>
              <w:rPr>
                <w:sz w:val="14"/>
                <w:szCs w:val="14"/>
                <w:color w:val="auto"/>
              </w:rPr>
            </w:pPr>
          </w:p>
        </w:tc>
        <w:tc>
          <w:tcPr>
            <w:tcW w:w="2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5"/>
          </w:tcPr>
          <w:p>
            <w:pPr>
              <w:ind w:left="120"/>
              <w:spacing w:after="0"/>
              <w:rPr>
                <w:sz w:val="20"/>
                <w:szCs w:val="20"/>
                <w:color w:val="auto"/>
              </w:rPr>
            </w:pPr>
            <w:r>
              <w:rPr>
                <w:rFonts w:ascii="Arial" w:cs="Arial" w:eastAsia="Arial" w:hAnsi="Arial"/>
                <w:sz w:val="13"/>
                <w:szCs w:val="13"/>
                <w:b w:val="1"/>
                <w:bCs w:val="1"/>
                <w:color w:val="auto"/>
              </w:rPr>
              <w:t>(dollars in thousands)</w:t>
            </w: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r>
      <w:tr>
        <w:trPr>
          <w:trHeight w:val="193"/>
        </w:trPr>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153</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&amp; 211 Second Avenue</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 2021</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136,882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r>
      <w:tr>
        <w:trPr>
          <w:trHeight w:val="186"/>
        </w:trPr>
        <w:tc>
          <w:tcPr>
            <w:tcW w:w="2860" w:type="dxa"/>
            <w:vAlign w:val="bottom"/>
            <w:gridSpan w:val="3"/>
          </w:tcPr>
          <w:p>
            <w:pPr>
              <w:ind w:left="20"/>
              <w:spacing w:after="0"/>
              <w:rPr>
                <w:sz w:val="20"/>
                <w:szCs w:val="20"/>
                <w:color w:val="auto"/>
              </w:rPr>
            </w:pPr>
            <w:r>
              <w:rPr>
                <w:rFonts w:ascii="Arial" w:cs="Arial" w:eastAsia="Arial" w:hAnsi="Arial"/>
                <w:sz w:val="14"/>
                <w:szCs w:val="14"/>
                <w:color w:val="auto"/>
              </w:rPr>
              <w:t>Shady Grove Innovation District</w:t>
            </w:r>
          </w:p>
        </w:tc>
        <w:tc>
          <w:tcPr>
            <w:tcW w:w="1800" w:type="dxa"/>
            <w:vAlign w:val="bottom"/>
            <w:gridSpan w:val="2"/>
          </w:tcPr>
          <w:p>
            <w:pPr>
              <w:ind w:left="20"/>
              <w:spacing w:after="0"/>
              <w:rPr>
                <w:sz w:val="20"/>
                <w:szCs w:val="20"/>
                <w:color w:val="auto"/>
              </w:rPr>
            </w:pPr>
            <w:r>
              <w:rPr>
                <w:rFonts w:ascii="Arial" w:cs="Arial" w:eastAsia="Arial" w:hAnsi="Arial"/>
                <w:sz w:val="14"/>
                <w:szCs w:val="14"/>
                <w:color w:val="auto"/>
              </w:rPr>
              <w:t>August 2, 2021</w:t>
            </w:r>
          </w:p>
        </w:tc>
        <w:tc>
          <w:tcPr>
            <w:tcW w:w="940" w:type="dxa"/>
            <w:vAlign w:val="bottom"/>
          </w:tcPr>
          <w:p>
            <w:pPr>
              <w:jc w:val="right"/>
              <w:spacing w:after="0"/>
              <w:rPr>
                <w:sz w:val="20"/>
                <w:szCs w:val="20"/>
                <w:color w:val="auto"/>
              </w:rPr>
            </w:pPr>
            <w:r>
              <w:rPr>
                <w:rFonts w:ascii="Arial" w:cs="Arial" w:eastAsia="Arial" w:hAnsi="Arial"/>
                <w:sz w:val="14"/>
                <w:szCs w:val="14"/>
                <w:color w:val="auto"/>
              </w:rPr>
              <w:t>232,278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1,027</w:t>
            </w:r>
          </w:p>
        </w:tc>
      </w:tr>
      <w:tr>
        <w:trPr>
          <w:trHeight w:val="195"/>
        </w:trPr>
        <w:tc>
          <w:tcPr>
            <w:tcW w:w="28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Madison Centre (1)</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May 17, 2022</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754,988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4,805</w:t>
            </w:r>
          </w:p>
        </w:tc>
      </w:tr>
      <w:tr>
        <w:trPr>
          <w:trHeight w:val="186"/>
        </w:trPr>
        <w:tc>
          <w:tcPr>
            <w:tcW w:w="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4"/>
              </w:rPr>
              <w:t>125</w:t>
            </w:r>
          </w:p>
        </w:tc>
        <w:tc>
          <w:tcPr>
            <w:tcW w:w="26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Broadway</w:t>
            </w:r>
          </w:p>
        </w:tc>
        <w:tc>
          <w:tcPr>
            <w:tcW w:w="1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September 16, 2022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271,000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r>
      <w:tr>
        <w:trPr>
          <w:trHeight w:val="203"/>
        </w:trPr>
        <w:tc>
          <w:tcPr>
            <w:tcW w:w="2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1,395,148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30,293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26,697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6,561</w:t>
            </w: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w:t>
      </w:r>
    </w:p>
    <w:p>
      <w:pPr>
        <w:spacing w:after="0" w:line="26" w:lineRule="exact"/>
        <w:rPr>
          <w:sz w:val="20"/>
          <w:szCs w:val="20"/>
          <w:color w:val="auto"/>
        </w:rPr>
      </w:pPr>
    </w:p>
    <w:p>
      <w:pPr>
        <w:ind w:left="520" w:hanging="29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5"/>
          <w:szCs w:val="15"/>
          <w:color w:val="auto"/>
        </w:rPr>
        <w:t>Rental revenue for the nine months ended September 30, 2022 includes approximately $0.4 million of termination income.</w:t>
      </w:r>
    </w:p>
    <w:p>
      <w:pPr>
        <w:spacing w:after="0" w:line="200" w:lineRule="exact"/>
        <w:rPr>
          <w:rFonts w:ascii="Arial" w:cs="Arial" w:eastAsia="Arial" w:hAnsi="Arial"/>
          <w:sz w:val="14"/>
          <w:szCs w:val="14"/>
          <w:color w:val="auto"/>
        </w:rPr>
      </w:pPr>
    </w:p>
    <w:p>
      <w:pPr>
        <w:spacing w:after="0" w:line="306"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u w:val="single" w:color="auto"/>
          <w:color w:val="auto"/>
        </w:rPr>
        <w:t>Properties Placed In-Service Portfolio</w:t>
      </w:r>
    </w:p>
    <w:p>
      <w:pPr>
        <w:spacing w:after="0" w:line="84" w:lineRule="exact"/>
        <w:rPr>
          <w:sz w:val="20"/>
          <w:szCs w:val="20"/>
          <w:color w:val="auto"/>
        </w:rPr>
      </w:pPr>
    </w:p>
    <w:p>
      <w:pPr>
        <w:jc w:val="both"/>
        <w:ind w:right="20" w:firstLine="419"/>
        <w:spacing w:after="0" w:line="266" w:lineRule="auto"/>
        <w:rPr>
          <w:sz w:val="20"/>
          <w:szCs w:val="20"/>
          <w:color w:val="auto"/>
        </w:rPr>
      </w:pPr>
      <w:r>
        <w:rPr>
          <w:rFonts w:ascii="Arial" w:cs="Arial" w:eastAsia="Arial" w:hAnsi="Arial"/>
          <w:sz w:val="17"/>
          <w:szCs w:val="17"/>
          <w:color w:val="auto"/>
        </w:rPr>
        <w:t>The table below lists the properties that were placed in-service or partially placed in-service between January 1, 2021 and September 30, 2022. Rental revenue and real estate operating expenses from our Properties Placed In-Service Portfolio increased by approximately $43.1 million and $9.7 million, respectively, for the nine months ended September 30, 2022 compared to 2021, as detailed below.</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8"/>
              </w:rPr>
              <w:t>Rental Revenue</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jc w:val="right"/>
              <w:ind w:right="293"/>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63"/>
        </w:trPr>
        <w:tc>
          <w:tcPr>
            <w:tcW w:w="1580" w:type="dxa"/>
            <w:vAlign w:val="bottom"/>
            <w:vMerge w:val="restart"/>
          </w:tcPr>
          <w:p>
            <w:pPr>
              <w:ind w:left="62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Arial" w:cs="Arial" w:eastAsia="Arial" w:hAnsi="Arial"/>
                <w:sz w:val="13"/>
                <w:szCs w:val="13"/>
                <w:b w:val="1"/>
                <w:bCs w:val="1"/>
                <w:color w:val="auto"/>
              </w:rPr>
              <w:t>Quarter Initially</w:t>
            </w:r>
          </w:p>
        </w:tc>
        <w:tc>
          <w:tcPr>
            <w:tcW w:w="1480" w:type="dxa"/>
            <w:vAlign w:val="bottom"/>
            <w:gridSpan w:val="2"/>
          </w:tcPr>
          <w:p>
            <w:pPr>
              <w:ind w:left="300"/>
              <w:spacing w:after="0"/>
              <w:rPr>
                <w:sz w:val="20"/>
                <w:szCs w:val="20"/>
                <w:color w:val="auto"/>
              </w:rPr>
            </w:pPr>
            <w:r>
              <w:rPr>
                <w:rFonts w:ascii="Arial" w:cs="Arial" w:eastAsia="Arial" w:hAnsi="Arial"/>
                <w:sz w:val="13"/>
                <w:szCs w:val="13"/>
                <w:b w:val="1"/>
                <w:bCs w:val="1"/>
                <w:color w:val="auto"/>
              </w:rPr>
              <w:t>Quarter Fully</w:t>
            </w:r>
          </w:p>
        </w:tc>
        <w:tc>
          <w:tcPr>
            <w:tcW w:w="10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4"/>
                <w:szCs w:val="14"/>
                <w:color w:val="auto"/>
              </w:rPr>
            </w:pPr>
          </w:p>
        </w:tc>
        <w:tc>
          <w:tcPr>
            <w:tcW w:w="66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4"/>
                <w:szCs w:val="14"/>
                <w:color w:val="auto"/>
              </w:rPr>
            </w:pPr>
          </w:p>
        </w:tc>
        <w:tc>
          <w:tcPr>
            <w:tcW w:w="66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5"/>
        </w:trPr>
        <w:tc>
          <w:tcPr>
            <w:tcW w:w="1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ind w:left="160"/>
              <w:spacing w:after="0"/>
              <w:rPr>
                <w:sz w:val="20"/>
                <w:szCs w:val="20"/>
                <w:color w:val="auto"/>
              </w:rPr>
            </w:pPr>
            <w:r>
              <w:rPr>
                <w:rFonts w:ascii="Arial" w:cs="Arial" w:eastAsia="Arial" w:hAnsi="Arial"/>
                <w:sz w:val="13"/>
                <w:szCs w:val="13"/>
                <w:b w:val="1"/>
                <w:bCs w:val="1"/>
                <w:color w:val="auto"/>
              </w:rPr>
              <w:t>Placed In-Service</w:t>
            </w:r>
          </w:p>
        </w:tc>
        <w:tc>
          <w:tcPr>
            <w:tcW w:w="1480" w:type="dxa"/>
            <w:vAlign w:val="bottom"/>
            <w:gridSpan w:val="2"/>
          </w:tcPr>
          <w:p>
            <w:pPr>
              <w:ind w:left="160"/>
              <w:spacing w:after="0"/>
              <w:rPr>
                <w:sz w:val="20"/>
                <w:szCs w:val="20"/>
                <w:color w:val="auto"/>
              </w:rPr>
            </w:pPr>
            <w:r>
              <w:rPr>
                <w:rFonts w:ascii="Arial" w:cs="Arial" w:eastAsia="Arial" w:hAnsi="Arial"/>
                <w:sz w:val="13"/>
                <w:szCs w:val="13"/>
                <w:b w:val="1"/>
                <w:bCs w:val="1"/>
                <w:color w:val="auto"/>
              </w:rPr>
              <w:t>Placed In-Service</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58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One Five Nine East 53rd</w:t>
            </w:r>
          </w:p>
        </w:tc>
        <w:tc>
          <w:tcPr>
            <w:tcW w:w="100" w:type="dxa"/>
            <w:vAlign w:val="bottom"/>
            <w:shd w:val="clear" w:color="auto" w:fill="CCEEFF"/>
          </w:tcPr>
          <w:p>
            <w:pPr>
              <w:spacing w:after="0"/>
              <w:rPr>
                <w:sz w:val="12"/>
                <w:szCs w:val="12"/>
                <w:color w:val="auto"/>
              </w:rPr>
            </w:pPr>
          </w:p>
        </w:tc>
        <w:tc>
          <w:tcPr>
            <w:tcW w:w="14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Quarter, 2021</w:t>
            </w:r>
          </w:p>
        </w:tc>
        <w:tc>
          <w:tcPr>
            <w:tcW w:w="14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Quarter, 2021</w:t>
            </w:r>
          </w:p>
        </w:tc>
        <w:tc>
          <w:tcPr>
            <w:tcW w:w="9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220,000</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13,356</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10,600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2,756</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2,078</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73"/>
        </w:trPr>
        <w:tc>
          <w:tcPr>
            <w:tcW w:w="1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Street (1)</w:t>
            </w:r>
          </w:p>
        </w:tc>
        <w:tc>
          <w:tcPr>
            <w:tcW w:w="100" w:type="dxa"/>
            <w:vAlign w:val="bottom"/>
            <w:shd w:val="clear" w:color="auto" w:fill="CCEEFF"/>
          </w:tcPr>
          <w:p>
            <w:pPr>
              <w:spacing w:after="0"/>
              <w:rPr>
                <w:sz w:val="15"/>
                <w:szCs w:val="15"/>
                <w:color w:val="auto"/>
              </w:rPr>
            </w:pPr>
          </w:p>
        </w:tc>
        <w:tc>
          <w:tcPr>
            <w:tcW w:w="1460" w:type="dxa"/>
            <w:vAlign w:val="bottom"/>
            <w:gridSpan w:val="2"/>
            <w:vMerge w:val="continue"/>
            <w:shd w:val="clear" w:color="auto" w:fill="CCEEFF"/>
          </w:tcPr>
          <w:p>
            <w:pPr>
              <w:spacing w:after="0"/>
              <w:rPr>
                <w:sz w:val="15"/>
                <w:szCs w:val="15"/>
                <w:color w:val="auto"/>
              </w:rPr>
            </w:pPr>
          </w:p>
        </w:tc>
        <w:tc>
          <w:tcPr>
            <w:tcW w:w="1480" w:type="dxa"/>
            <w:vAlign w:val="bottom"/>
            <w:gridSpan w:val="2"/>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580" w:type="dxa"/>
            <w:vAlign w:val="bottom"/>
          </w:tcPr>
          <w:p>
            <w:pPr>
              <w:ind w:left="20"/>
              <w:spacing w:after="0"/>
              <w:rPr>
                <w:sz w:val="20"/>
                <w:szCs w:val="20"/>
                <w:color w:val="auto"/>
              </w:rPr>
            </w:pPr>
            <w:r>
              <w:rPr>
                <w:rFonts w:ascii="Arial" w:cs="Arial" w:eastAsia="Arial" w:hAnsi="Arial"/>
                <w:sz w:val="14"/>
                <w:szCs w:val="14"/>
                <w:color w:val="auto"/>
              </w:rPr>
              <w:t>200 West Street (2)</w:t>
            </w:r>
          </w:p>
        </w:tc>
        <w:tc>
          <w:tcPr>
            <w:tcW w:w="10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Fourth Quarter, 2020</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Fourth Quarter, 2021</w:t>
            </w: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273,365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3"/>
              <w:spacing w:after="0"/>
              <w:rPr>
                <w:sz w:val="20"/>
                <w:szCs w:val="20"/>
                <w:color w:val="auto"/>
              </w:rPr>
            </w:pPr>
            <w:r>
              <w:rPr>
                <w:rFonts w:ascii="Arial" w:cs="Arial" w:eastAsia="Arial" w:hAnsi="Arial"/>
                <w:sz w:val="14"/>
                <w:szCs w:val="14"/>
                <w:color w:val="auto"/>
              </w:rPr>
              <w:t>4,900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2,055</w:t>
            </w:r>
          </w:p>
        </w:tc>
        <w:tc>
          <w:tcPr>
            <w:tcW w:w="0" w:type="dxa"/>
            <w:vAlign w:val="bottom"/>
          </w:tcPr>
          <w:p>
            <w:pPr>
              <w:spacing w:after="0"/>
              <w:rPr>
                <w:sz w:val="1"/>
                <w:szCs w:val="1"/>
                <w:color w:val="auto"/>
              </w:rPr>
            </w:pPr>
          </w:p>
        </w:tc>
      </w:tr>
      <w:tr>
        <w:trPr>
          <w:trHeight w:val="195"/>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Reston Next</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Fourth Quarter, 2021</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1,062,000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7,861</w:t>
            </w:r>
          </w:p>
        </w:tc>
        <w:tc>
          <w:tcPr>
            <w:tcW w:w="0" w:type="dxa"/>
            <w:vAlign w:val="bottom"/>
          </w:tcPr>
          <w:p>
            <w:pPr>
              <w:spacing w:after="0"/>
              <w:rPr>
                <w:sz w:val="1"/>
                <w:szCs w:val="1"/>
                <w:color w:val="auto"/>
              </w:rPr>
            </w:pPr>
          </w:p>
        </w:tc>
      </w:tr>
      <w:tr>
        <w:trPr>
          <w:trHeight w:val="186"/>
        </w:trPr>
        <w:tc>
          <w:tcPr>
            <w:tcW w:w="1580" w:type="dxa"/>
            <w:vAlign w:val="bottom"/>
          </w:tcPr>
          <w:p>
            <w:pPr>
              <w:ind w:left="20"/>
              <w:spacing w:after="0"/>
              <w:rPr>
                <w:sz w:val="20"/>
                <w:szCs w:val="20"/>
                <w:color w:val="auto"/>
              </w:rPr>
            </w:pPr>
            <w:r>
              <w:rPr>
                <w:rFonts w:ascii="Arial" w:cs="Arial" w:eastAsia="Arial" w:hAnsi="Arial"/>
                <w:sz w:val="14"/>
                <w:szCs w:val="14"/>
                <w:color w:val="auto"/>
              </w:rPr>
              <w:t>325 Main Street (3)</w:t>
            </w:r>
          </w:p>
        </w:tc>
        <w:tc>
          <w:tcPr>
            <w:tcW w:w="10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Second Quarter, 2022</w:t>
            </w:r>
          </w:p>
        </w:tc>
        <w:tc>
          <w:tcPr>
            <w:tcW w:w="1480" w:type="dxa"/>
            <w:vAlign w:val="bottom"/>
            <w:gridSpan w:val="2"/>
          </w:tcPr>
          <w:p>
            <w:pPr>
              <w:ind w:left="20"/>
              <w:spacing w:after="0"/>
              <w:rPr>
                <w:sz w:val="20"/>
                <w:szCs w:val="20"/>
                <w:color w:val="auto"/>
              </w:rPr>
            </w:pPr>
            <w:r>
              <w:rPr>
                <w:rFonts w:ascii="Arial" w:cs="Arial" w:eastAsia="Arial" w:hAnsi="Arial"/>
                <w:sz w:val="14"/>
                <w:szCs w:val="14"/>
                <w:color w:val="auto"/>
              </w:rPr>
              <w:t>Second Quarter, 2022</w:t>
            </w: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414,008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10,295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2100 Pennsylvania</w:t>
            </w:r>
          </w:p>
        </w:tc>
        <w:tc>
          <w:tcPr>
            <w:tcW w:w="100" w:type="dxa"/>
            <w:vAlign w:val="bottom"/>
            <w:shd w:val="clear" w:color="auto" w:fill="CCEEFF"/>
          </w:tcPr>
          <w:p>
            <w:pPr>
              <w:spacing w:after="0"/>
              <w:rPr>
                <w:sz w:val="12"/>
                <w:szCs w:val="12"/>
                <w:color w:val="auto"/>
              </w:rPr>
            </w:pPr>
          </w:p>
        </w:tc>
        <w:tc>
          <w:tcPr>
            <w:tcW w:w="14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Second Quarter, 2022</w:t>
            </w:r>
          </w:p>
        </w:tc>
        <w:tc>
          <w:tcPr>
            <w:tcW w:w="14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9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480,000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73"/>
        </w:trPr>
        <w:tc>
          <w:tcPr>
            <w:tcW w:w="1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Avenue</w:t>
            </w:r>
          </w:p>
        </w:tc>
        <w:tc>
          <w:tcPr>
            <w:tcW w:w="100" w:type="dxa"/>
            <w:vAlign w:val="bottom"/>
            <w:shd w:val="clear" w:color="auto" w:fill="CCEEFF"/>
          </w:tcPr>
          <w:p>
            <w:pPr>
              <w:spacing w:after="0"/>
              <w:rPr>
                <w:sz w:val="15"/>
                <w:szCs w:val="15"/>
                <w:color w:val="auto"/>
              </w:rPr>
            </w:pPr>
          </w:p>
        </w:tc>
        <w:tc>
          <w:tcPr>
            <w:tcW w:w="1460" w:type="dxa"/>
            <w:vAlign w:val="bottom"/>
            <w:gridSpan w:val="2"/>
            <w:vMerge w:val="continue"/>
            <w:shd w:val="clear" w:color="auto" w:fill="CCEEFF"/>
          </w:tcPr>
          <w:p>
            <w:pPr>
              <w:spacing w:after="0"/>
              <w:rPr>
                <w:sz w:val="15"/>
                <w:szCs w:val="15"/>
                <w:color w:val="auto"/>
              </w:rPr>
            </w:pPr>
          </w:p>
        </w:tc>
        <w:tc>
          <w:tcPr>
            <w:tcW w:w="1480" w:type="dxa"/>
            <w:vAlign w:val="bottom"/>
            <w:gridSpan w:val="2"/>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880 Winter Street (4)</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Third Quarter, 2022</w:t>
            </w:r>
          </w:p>
        </w:tc>
        <w:tc>
          <w:tcPr>
            <w:tcW w:w="14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N/A</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244,000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2,476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(1,133)</w:t>
            </w: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2,693,373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61,055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17,976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9,672</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_____________</w:t>
      </w:r>
    </w:p>
    <w:p>
      <w:pPr>
        <w:spacing w:after="0" w:line="26" w:lineRule="exact"/>
        <w:rPr>
          <w:sz w:val="20"/>
          <w:szCs w:val="20"/>
          <w:color w:val="auto"/>
        </w:rPr>
      </w:pPr>
    </w:p>
    <w:p>
      <w:pPr>
        <w:ind w:left="540" w:hanging="310"/>
        <w:spacing w:after="0"/>
        <w:tabs>
          <w:tab w:leader="none" w:pos="5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This is the low-rise portion of 601 Lexington Avenue.</w:t>
      </w:r>
    </w:p>
    <w:p>
      <w:pPr>
        <w:spacing w:after="0" w:line="5" w:lineRule="exact"/>
        <w:rPr>
          <w:rFonts w:ascii="Arial" w:cs="Arial" w:eastAsia="Arial" w:hAnsi="Arial"/>
          <w:sz w:val="15"/>
          <w:szCs w:val="15"/>
          <w:color w:val="auto"/>
        </w:rPr>
      </w:pPr>
    </w:p>
    <w:p>
      <w:pPr>
        <w:ind w:left="540" w:hanging="310"/>
        <w:spacing w:after="0"/>
        <w:tabs>
          <w:tab w:leader="none" w:pos="5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Includes 138,444 square feet of redevelopment that was fully placed in-service in December 2021.</w:t>
      </w:r>
    </w:p>
    <w:p>
      <w:pPr>
        <w:spacing w:after="0" w:line="13" w:lineRule="exact"/>
        <w:rPr>
          <w:rFonts w:ascii="Arial" w:cs="Arial" w:eastAsia="Arial" w:hAnsi="Arial"/>
          <w:sz w:val="15"/>
          <w:szCs w:val="15"/>
          <w:color w:val="auto"/>
        </w:rPr>
      </w:pPr>
    </w:p>
    <w:p>
      <w:pPr>
        <w:ind w:left="540" w:hanging="310"/>
        <w:spacing w:after="0"/>
        <w:tabs>
          <w:tab w:leader="none" w:pos="5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Real estate operating expenses for the nine months ended September 30, 2021 were related to demolition costs.</w:t>
      </w:r>
    </w:p>
    <w:p>
      <w:pPr>
        <w:spacing w:after="0" w:line="9" w:lineRule="exact"/>
        <w:rPr>
          <w:rFonts w:ascii="Arial" w:cs="Arial" w:eastAsia="Arial" w:hAnsi="Arial"/>
          <w:sz w:val="15"/>
          <w:szCs w:val="15"/>
          <w:color w:val="auto"/>
        </w:rPr>
      </w:pPr>
    </w:p>
    <w:p>
      <w:pPr>
        <w:ind w:left="540" w:hanging="310"/>
        <w:spacing w:after="0"/>
        <w:tabs>
          <w:tab w:leader="none" w:pos="5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Conversion of a 224,000 square foot office property located in Waltham, Massachusetts to laboratory space.</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u w:val="single" w:color="auto"/>
          <w:color w:val="auto"/>
        </w:rPr>
        <w:t>Properties in Development or Redevelopment Portfolio</w:t>
      </w:r>
    </w:p>
    <w:p>
      <w:pPr>
        <w:spacing w:after="0" w:line="96" w:lineRule="exact"/>
        <w:rPr>
          <w:sz w:val="20"/>
          <w:szCs w:val="20"/>
          <w:color w:val="auto"/>
        </w:rPr>
      </w:pPr>
    </w:p>
    <w:p>
      <w:pPr>
        <w:ind w:right="20" w:firstLine="419"/>
        <w:spacing w:after="0" w:line="266" w:lineRule="auto"/>
        <w:rPr>
          <w:sz w:val="20"/>
          <w:szCs w:val="20"/>
          <w:color w:val="auto"/>
        </w:rPr>
      </w:pPr>
      <w:r>
        <w:rPr>
          <w:rFonts w:ascii="Arial" w:cs="Arial" w:eastAsia="Arial" w:hAnsi="Arial"/>
          <w:sz w:val="17"/>
          <w:szCs w:val="17"/>
          <w:color w:val="auto"/>
        </w:rPr>
        <w:t>The table below lists the properties that were in development or redevelopment between January 1, 2021 and September 30, 2022. Rental revenue and real estate operating expenses from our Properties in Development or Redevelopment Portfolio decreased by approximately $2.4 million and $0.6 million, respectively, for the nine months ended September 30, 2022 compared to 2021, as detailed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8"/>
              </w:rPr>
              <w:t>Rental Revenue</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ind w:left="300"/>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12"/>
        </w:trPr>
        <w:tc>
          <w:tcPr>
            <w:tcW w:w="2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gridSpan w:val="2"/>
          </w:tcPr>
          <w:p>
            <w:pPr>
              <w:jc w:val="center"/>
              <w:ind w:right="120"/>
              <w:spacing w:after="0" w:line="112" w:lineRule="exact"/>
              <w:rPr>
                <w:sz w:val="20"/>
                <w:szCs w:val="20"/>
                <w:color w:val="auto"/>
              </w:rPr>
            </w:pPr>
            <w:r>
              <w:rPr>
                <w:rFonts w:ascii="Arial" w:cs="Arial" w:eastAsia="Arial" w:hAnsi="Arial"/>
                <w:sz w:val="12"/>
                <w:szCs w:val="12"/>
                <w:b w:val="1"/>
                <w:bCs w:val="1"/>
                <w:color w:val="auto"/>
              </w:rPr>
              <w:t>Date Commenced</w:t>
            </w: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60" w:type="dxa"/>
            <w:vAlign w:val="bottom"/>
          </w:tcPr>
          <w:p>
            <w:pPr>
              <w:spacing w:after="0"/>
              <w:rPr>
                <w:sz w:val="11"/>
                <w:szCs w:val="11"/>
                <w:color w:val="auto"/>
              </w:rPr>
            </w:pPr>
          </w:p>
        </w:tc>
        <w:tc>
          <w:tcPr>
            <w:tcW w:w="2160" w:type="dxa"/>
            <w:vAlign w:val="bottom"/>
            <w:gridSpan w:val="2"/>
            <w:vMerge w:val="restart"/>
          </w:tcPr>
          <w:p>
            <w:pPr>
              <w:ind w:left="720"/>
              <w:spacing w:after="0"/>
              <w:rPr>
                <w:sz w:val="20"/>
                <w:szCs w:val="20"/>
                <w:color w:val="auto"/>
              </w:rPr>
            </w:pPr>
            <w:r>
              <w:rPr>
                <w:rFonts w:ascii="Arial" w:cs="Arial" w:eastAsia="Arial" w:hAnsi="Arial"/>
                <w:sz w:val="13"/>
                <w:szCs w:val="13"/>
                <w:b w:val="1"/>
                <w:bCs w:val="1"/>
                <w:color w:val="auto"/>
              </w:rPr>
              <w:t>Name</w:t>
            </w:r>
          </w:p>
        </w:tc>
        <w:tc>
          <w:tcPr>
            <w:tcW w:w="1800" w:type="dxa"/>
            <w:vAlign w:val="bottom"/>
            <w:gridSpan w:val="2"/>
          </w:tcPr>
          <w:p>
            <w:pPr>
              <w:jc w:val="center"/>
              <w:ind w:right="120"/>
              <w:spacing w:after="0" w:line="127" w:lineRule="exact"/>
              <w:rPr>
                <w:sz w:val="20"/>
                <w:szCs w:val="20"/>
                <w:color w:val="auto"/>
              </w:rPr>
            </w:pPr>
            <w:r>
              <w:rPr>
                <w:rFonts w:ascii="Arial" w:cs="Arial" w:eastAsia="Arial" w:hAnsi="Arial"/>
                <w:sz w:val="13"/>
                <w:szCs w:val="13"/>
                <w:b w:val="1"/>
                <w:bCs w:val="1"/>
                <w:color w:val="auto"/>
                <w:w w:val="98"/>
              </w:rPr>
              <w:t>Development /</w:t>
            </w: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1"/>
                <w:szCs w:val="11"/>
                <w:color w:val="auto"/>
              </w:rPr>
            </w:pPr>
          </w:p>
        </w:tc>
        <w:tc>
          <w:tcPr>
            <w:tcW w:w="66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1"/>
                <w:szCs w:val="11"/>
                <w:color w:val="auto"/>
              </w:rPr>
            </w:pPr>
          </w:p>
        </w:tc>
        <w:tc>
          <w:tcPr>
            <w:tcW w:w="660" w:type="dxa"/>
            <w:vAlign w:val="bottom"/>
            <w:vMerge w:val="restart"/>
          </w:tcPr>
          <w:p>
            <w:pPr>
              <w:jc w:val="right"/>
              <w:ind w:right="21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ind w:right="25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Redevelopment</w:t>
            </w: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(dollars in thousands)</w:t>
            </w: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4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3625-3635 Peterson Way (1)</w:t>
            </w: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April 16, 2021</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218,000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center"/>
              <w:ind w:left="333"/>
              <w:spacing w:after="0"/>
              <w:rPr>
                <w:sz w:val="20"/>
                <w:szCs w:val="20"/>
                <w:color w:val="auto"/>
              </w:rPr>
            </w:pPr>
            <w:r>
              <w:rPr>
                <w:rFonts w:ascii="Arial" w:cs="Arial" w:eastAsia="Arial" w:hAnsi="Arial"/>
                <w:sz w:val="14"/>
                <w:szCs w:val="14"/>
                <w:color w:val="auto"/>
                <w:w w:val="97"/>
              </w:rPr>
              <w:t>(459)</w:t>
            </w:r>
          </w:p>
        </w:tc>
        <w:tc>
          <w:tcPr>
            <w:tcW w:w="0" w:type="dxa"/>
            <w:vAlign w:val="bottom"/>
          </w:tcPr>
          <w:p>
            <w:pPr>
              <w:spacing w:after="0"/>
              <w:rPr>
                <w:sz w:val="1"/>
                <w:szCs w:val="1"/>
                <w:color w:val="auto"/>
              </w:rPr>
            </w:pPr>
          </w:p>
        </w:tc>
      </w:tr>
      <w:tr>
        <w:trPr>
          <w:trHeight w:val="186"/>
        </w:trPr>
        <w:tc>
          <w:tcPr>
            <w:tcW w:w="260" w:type="dxa"/>
            <w:vAlign w:val="bottom"/>
          </w:tcPr>
          <w:p>
            <w:pPr>
              <w:ind w:left="20"/>
              <w:spacing w:after="0"/>
              <w:rPr>
                <w:sz w:val="20"/>
                <w:szCs w:val="20"/>
                <w:color w:val="auto"/>
              </w:rPr>
            </w:pPr>
            <w:r>
              <w:rPr>
                <w:rFonts w:ascii="Arial" w:cs="Arial" w:eastAsia="Arial" w:hAnsi="Arial"/>
                <w:sz w:val="14"/>
                <w:szCs w:val="14"/>
                <w:color w:val="auto"/>
                <w:w w:val="94"/>
              </w:rPr>
              <w:t>140</w:t>
            </w: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Kendrick - Building A</w:t>
            </w:r>
          </w:p>
        </w:tc>
        <w:tc>
          <w:tcPr>
            <w:tcW w:w="1800" w:type="dxa"/>
            <w:vAlign w:val="bottom"/>
            <w:gridSpan w:val="2"/>
          </w:tcPr>
          <w:p>
            <w:pPr>
              <w:spacing w:after="0"/>
              <w:rPr>
                <w:sz w:val="20"/>
                <w:szCs w:val="20"/>
                <w:color w:val="auto"/>
              </w:rPr>
            </w:pPr>
            <w:r>
              <w:rPr>
                <w:rFonts w:ascii="Arial" w:cs="Arial" w:eastAsia="Arial" w:hAnsi="Arial"/>
                <w:sz w:val="14"/>
                <w:szCs w:val="14"/>
                <w:color w:val="auto"/>
              </w:rPr>
              <w:t>July 1, 2022</w:t>
            </w:r>
          </w:p>
        </w:tc>
        <w:tc>
          <w:tcPr>
            <w:tcW w:w="980" w:type="dxa"/>
            <w:vAlign w:val="bottom"/>
          </w:tcPr>
          <w:p>
            <w:pPr>
              <w:jc w:val="right"/>
              <w:ind w:right="13"/>
              <w:spacing w:after="0"/>
              <w:rPr>
                <w:sz w:val="20"/>
                <w:szCs w:val="20"/>
                <w:color w:val="auto"/>
              </w:rPr>
            </w:pPr>
            <w:r>
              <w:rPr>
                <w:rFonts w:ascii="Arial" w:cs="Arial" w:eastAsia="Arial" w:hAnsi="Arial"/>
                <w:sz w:val="14"/>
                <w:szCs w:val="14"/>
                <w:color w:val="auto"/>
              </w:rPr>
              <w:t>104,000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center"/>
              <w:ind w:left="353"/>
              <w:spacing w:after="0"/>
              <w:rPr>
                <w:sz w:val="20"/>
                <w:szCs w:val="20"/>
                <w:color w:val="auto"/>
              </w:rPr>
            </w:pPr>
            <w:r>
              <w:rPr>
                <w:rFonts w:ascii="Arial" w:cs="Arial" w:eastAsia="Arial" w:hAnsi="Arial"/>
                <w:sz w:val="14"/>
                <w:szCs w:val="14"/>
                <w:color w:val="auto"/>
                <w:w w:val="94"/>
              </w:rPr>
              <w:t>102</w:t>
            </w:r>
          </w:p>
        </w:tc>
        <w:tc>
          <w:tcPr>
            <w:tcW w:w="0" w:type="dxa"/>
            <w:vAlign w:val="bottom"/>
          </w:tcPr>
          <w:p>
            <w:pPr>
              <w:spacing w:after="0"/>
              <w:rPr>
                <w:sz w:val="1"/>
                <w:szCs w:val="1"/>
                <w:color w:val="auto"/>
              </w:rPr>
            </w:pPr>
          </w:p>
        </w:tc>
      </w:tr>
      <w:tr>
        <w:trPr>
          <w:trHeight w:val="190"/>
        </w:trPr>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760</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Boylston Street</w:t>
            </w: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12, 2022</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118,000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center"/>
              <w:ind w:left="333"/>
              <w:spacing w:after="0"/>
              <w:rPr>
                <w:sz w:val="20"/>
                <w:szCs w:val="20"/>
                <w:color w:val="auto"/>
              </w:rPr>
            </w:pPr>
            <w:r>
              <w:rPr>
                <w:rFonts w:ascii="Arial" w:cs="Arial" w:eastAsia="Arial" w:hAnsi="Arial"/>
                <w:sz w:val="14"/>
                <w:szCs w:val="14"/>
                <w:color w:val="auto"/>
                <w:w w:val="97"/>
              </w:rPr>
              <w:t>(226)</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13"/>
              <w:spacing w:after="0"/>
              <w:rPr>
                <w:sz w:val="20"/>
                <w:szCs w:val="20"/>
                <w:color w:val="auto"/>
              </w:rPr>
            </w:pPr>
            <w:r>
              <w:rPr>
                <w:rFonts w:ascii="Arial" w:cs="Arial" w:eastAsia="Arial" w:hAnsi="Arial"/>
                <w:sz w:val="14"/>
                <w:szCs w:val="14"/>
                <w:color w:val="auto"/>
              </w:rPr>
              <w:t>440,000</w:t>
            </w:r>
          </w:p>
        </w:tc>
        <w:tc>
          <w:tcPr>
            <w:tcW w:w="100" w:type="dxa"/>
            <w:vAlign w:val="bottom"/>
          </w:tcPr>
          <w:p>
            <w:pPr>
              <w:spacing w:after="0"/>
              <w:rPr>
                <w:sz w:val="15"/>
                <w:szCs w:val="15"/>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2,876</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5,244</w:t>
            </w:r>
          </w:p>
        </w:tc>
        <w:tc>
          <w:tcPr>
            <w:tcW w:w="10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(2,368)</w:t>
            </w:r>
          </w:p>
        </w:tc>
        <w:tc>
          <w:tcPr>
            <w:tcW w:w="100" w:type="dxa"/>
            <w:vAlign w:val="bottom"/>
          </w:tcPr>
          <w:p>
            <w:pPr>
              <w:spacing w:after="0"/>
              <w:rPr>
                <w:sz w:val="15"/>
                <w:szCs w:val="15"/>
                <w:color w:val="auto"/>
              </w:rPr>
            </w:pP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1,599</w:t>
            </w:r>
          </w:p>
        </w:tc>
        <w:tc>
          <w:tcPr>
            <w:tcW w:w="100" w:type="dxa"/>
            <w:vAlign w:val="bottom"/>
          </w:tcPr>
          <w:p>
            <w:pPr>
              <w:spacing w:after="0"/>
              <w:rPr>
                <w:sz w:val="15"/>
                <w:szCs w:val="15"/>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2,182</w:t>
            </w:r>
          </w:p>
        </w:tc>
        <w:tc>
          <w:tcPr>
            <w:tcW w:w="100" w:type="dxa"/>
            <w:vAlign w:val="bottom"/>
          </w:tcPr>
          <w:p>
            <w:pPr>
              <w:spacing w:after="0"/>
              <w:rPr>
                <w:sz w:val="15"/>
                <w:szCs w:val="15"/>
                <w:color w:val="auto"/>
              </w:rPr>
            </w:pPr>
          </w:p>
        </w:tc>
        <w:tc>
          <w:tcPr>
            <w:tcW w:w="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tcPr>
          <w:p>
            <w:pPr>
              <w:jc w:val="center"/>
              <w:ind w:left="333"/>
              <w:spacing w:after="0"/>
              <w:rPr>
                <w:sz w:val="20"/>
                <w:szCs w:val="20"/>
                <w:color w:val="auto"/>
              </w:rPr>
            </w:pPr>
            <w:r>
              <w:rPr>
                <w:rFonts w:ascii="Arial" w:cs="Arial" w:eastAsia="Arial" w:hAnsi="Arial"/>
                <w:sz w:val="14"/>
                <w:szCs w:val="14"/>
                <w:color w:val="auto"/>
                <w:w w:val="97"/>
              </w:rPr>
              <w:t>(583)</w:t>
            </w:r>
          </w:p>
        </w:tc>
        <w:tc>
          <w:tcPr>
            <w:tcW w:w="0" w:type="dxa"/>
            <w:vAlign w:val="bottom"/>
          </w:tcPr>
          <w:p>
            <w:pPr>
              <w:spacing w:after="0"/>
              <w:rPr>
                <w:sz w:val="1"/>
                <w:szCs w:val="1"/>
                <w:color w:val="auto"/>
              </w:rPr>
            </w:pPr>
          </w:p>
        </w:tc>
      </w:tr>
      <w:tr>
        <w:trPr>
          <w:trHeight w:val="22"/>
        </w:trPr>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_____________</w:t>
      </w:r>
    </w:p>
    <w:p>
      <w:pPr>
        <w:spacing w:after="0" w:line="26" w:lineRule="exact"/>
        <w:rPr>
          <w:sz w:val="20"/>
          <w:szCs w:val="20"/>
          <w:color w:val="auto"/>
        </w:rPr>
      </w:pPr>
    </w:p>
    <w:p>
      <w:pPr>
        <w:ind w:left="540" w:right="320" w:hanging="310"/>
        <w:spacing w:after="0" w:line="265" w:lineRule="auto"/>
        <w:tabs>
          <w:tab w:leader="none" w:pos="536" w:val="left"/>
        </w:tabs>
        <w:numPr>
          <w:ilvl w:val="0"/>
          <w:numId w:val="39"/>
        </w:numPr>
        <w:rPr>
          <w:rFonts w:ascii="Arial" w:cs="Arial" w:eastAsia="Arial" w:hAnsi="Arial"/>
          <w:sz w:val="15"/>
          <w:szCs w:val="15"/>
          <w:color w:val="auto"/>
        </w:rPr>
      </w:pPr>
      <w:r>
        <w:rPr>
          <w:rFonts w:ascii="Arial" w:cs="Arial" w:eastAsia="Arial" w:hAnsi="Arial"/>
          <w:sz w:val="15"/>
          <w:szCs w:val="15"/>
          <w:color w:val="auto"/>
        </w:rPr>
        <w:t>On April 16, 2021, we removed 3625-3635 Peterson Way, located in Santa Clara, California, from our in-service portfolio. We demolished the building and expect to redevelop the site at a future date.</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275" w:right="37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u w:val="single" w:color="auto"/>
          <w:color w:val="auto"/>
        </w:rPr>
        <w:t>Properties Sold Portfolio</w:t>
      </w:r>
    </w:p>
    <w:p>
      <w:pPr>
        <w:spacing w:after="0" w:line="84" w:lineRule="exact"/>
        <w:rPr>
          <w:sz w:val="20"/>
          <w:szCs w:val="20"/>
          <w:color w:val="auto"/>
        </w:rPr>
      </w:pPr>
    </w:p>
    <w:p>
      <w:pPr>
        <w:jc w:val="both"/>
        <w:ind w:right="540" w:firstLine="419"/>
        <w:spacing w:after="0" w:line="266" w:lineRule="auto"/>
        <w:rPr>
          <w:sz w:val="20"/>
          <w:szCs w:val="20"/>
          <w:color w:val="auto"/>
        </w:rPr>
      </w:pPr>
      <w:r>
        <w:rPr>
          <w:rFonts w:ascii="Arial" w:cs="Arial" w:eastAsia="Arial" w:hAnsi="Arial"/>
          <w:sz w:val="17"/>
          <w:szCs w:val="17"/>
          <w:color w:val="auto"/>
        </w:rPr>
        <w:t>The table below lists the properties we sold between January 1, 2021 and September 30, 2022. Rental revenue and real estate operating expenses from our Properties Sold Portfolio decreased by approximately $21.5 million and $6.4 million, respectively, for the nine months ended September 30, 2022 compared to 2021, as detailed below.</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8"/>
              </w:rPr>
              <w:t>Rental Revenue</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right"/>
              <w:ind w:right="313"/>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12"/>
        </w:trPr>
        <w:tc>
          <w:tcPr>
            <w:tcW w:w="1940" w:type="dxa"/>
            <w:vAlign w:val="bottom"/>
            <w:gridSpan w:val="2"/>
            <w:vMerge w:val="restart"/>
          </w:tcPr>
          <w:p>
            <w:pPr>
              <w:ind w:left="760"/>
              <w:spacing w:after="0"/>
              <w:rPr>
                <w:sz w:val="20"/>
                <w:szCs w:val="20"/>
                <w:color w:val="auto"/>
              </w:rPr>
            </w:pPr>
            <w:r>
              <w:rPr>
                <w:rFonts w:ascii="Arial" w:cs="Arial" w:eastAsia="Arial" w:hAnsi="Arial"/>
                <w:sz w:val="13"/>
                <w:szCs w:val="13"/>
                <w:b w:val="1"/>
                <w:bCs w:val="1"/>
                <w:color w:val="auto"/>
              </w:rPr>
              <w:t>Name</w:t>
            </w:r>
          </w:p>
        </w:tc>
        <w:tc>
          <w:tcPr>
            <w:tcW w:w="1780" w:type="dxa"/>
            <w:vAlign w:val="bottom"/>
            <w:gridSpan w:val="2"/>
            <w:vMerge w:val="restart"/>
          </w:tcPr>
          <w:p>
            <w:pPr>
              <w:ind w:left="560"/>
              <w:spacing w:after="0"/>
              <w:rPr>
                <w:sz w:val="20"/>
                <w:szCs w:val="20"/>
                <w:color w:val="auto"/>
              </w:rPr>
            </w:pPr>
            <w:r>
              <w:rPr>
                <w:rFonts w:ascii="Arial" w:cs="Arial" w:eastAsia="Arial" w:hAnsi="Arial"/>
                <w:sz w:val="13"/>
                <w:szCs w:val="13"/>
                <w:b w:val="1"/>
                <w:bCs w:val="1"/>
                <w:color w:val="auto"/>
              </w:rPr>
              <w:t>Date Sold</w:t>
            </w:r>
          </w:p>
        </w:tc>
        <w:tc>
          <w:tcPr>
            <w:tcW w:w="900" w:type="dxa"/>
            <w:vAlign w:val="bottom"/>
            <w:gridSpan w:val="2"/>
          </w:tcPr>
          <w:p>
            <w:pPr>
              <w:ind w:left="140"/>
              <w:spacing w:after="0" w:line="112" w:lineRule="exact"/>
              <w:rPr>
                <w:sz w:val="20"/>
                <w:szCs w:val="20"/>
                <w:color w:val="auto"/>
              </w:rPr>
            </w:pPr>
            <w:r>
              <w:rPr>
                <w:rFonts w:ascii="Arial" w:cs="Arial" w:eastAsia="Arial" w:hAnsi="Arial"/>
                <w:sz w:val="12"/>
                <w:szCs w:val="12"/>
                <w:b w:val="1"/>
                <w:bCs w:val="1"/>
                <w:color w:val="auto"/>
              </w:rPr>
              <w:t>Property</w:t>
            </w:r>
          </w:p>
        </w:tc>
        <w:tc>
          <w:tcPr>
            <w:tcW w:w="10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9"/>
                <w:szCs w:val="9"/>
                <w:color w:val="auto"/>
              </w:rPr>
            </w:pPr>
          </w:p>
        </w:tc>
        <w:tc>
          <w:tcPr>
            <w:tcW w:w="64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9"/>
                <w:szCs w:val="9"/>
                <w:color w:val="auto"/>
              </w:rPr>
            </w:pPr>
          </w:p>
        </w:tc>
        <w:tc>
          <w:tcPr>
            <w:tcW w:w="660" w:type="dxa"/>
            <w:vAlign w:val="bottom"/>
            <w:vMerge w:val="restart"/>
          </w:tcPr>
          <w:p>
            <w:pPr>
              <w:jc w:val="right"/>
              <w:ind w:right="21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5"/>
        </w:trPr>
        <w:tc>
          <w:tcPr>
            <w:tcW w:w="194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900" w:type="dxa"/>
            <w:vAlign w:val="bottom"/>
            <w:gridSpan w:val="2"/>
          </w:tcPr>
          <w:p>
            <w:pPr>
              <w:ind w:left="260"/>
              <w:spacing w:after="0"/>
              <w:rPr>
                <w:sz w:val="20"/>
                <w:szCs w:val="20"/>
                <w:color w:val="auto"/>
              </w:rPr>
            </w:pPr>
            <w:r>
              <w:rPr>
                <w:rFonts w:ascii="Arial" w:cs="Arial" w:eastAsia="Arial" w:hAnsi="Arial"/>
                <w:sz w:val="13"/>
                <w:szCs w:val="13"/>
                <w:b w:val="1"/>
                <w:bCs w:val="1"/>
                <w:color w:val="auto"/>
              </w:rPr>
              <w:t>Type</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94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color w:val="auto"/>
              </w:rPr>
              <w:t>181, 191 and 201 Spring</w:t>
            </w:r>
          </w:p>
        </w:tc>
        <w:tc>
          <w:tcPr>
            <w:tcW w:w="17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October 25, 2021</w:t>
            </w:r>
          </w:p>
        </w:tc>
        <w:tc>
          <w:tcPr>
            <w:tcW w:w="9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333,000</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11,588</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(11,588)</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3,545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(3,545)</w:t>
            </w:r>
          </w:p>
        </w:tc>
        <w:tc>
          <w:tcPr>
            <w:tcW w:w="0" w:type="dxa"/>
            <w:vAlign w:val="bottom"/>
          </w:tcPr>
          <w:p>
            <w:pPr>
              <w:spacing w:after="0"/>
              <w:rPr>
                <w:sz w:val="1"/>
                <w:szCs w:val="1"/>
                <w:color w:val="auto"/>
              </w:rPr>
            </w:pPr>
          </w:p>
        </w:tc>
      </w:tr>
      <w:tr>
        <w:trPr>
          <w:trHeight w:val="173"/>
        </w:trPr>
        <w:tc>
          <w:tcPr>
            <w:tcW w:w="19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Street</w:t>
            </w:r>
          </w:p>
        </w:tc>
        <w:tc>
          <w:tcPr>
            <w:tcW w:w="178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195 West Street</w:t>
            </w:r>
          </w:p>
        </w:tc>
        <w:tc>
          <w:tcPr>
            <w:tcW w:w="1780" w:type="dxa"/>
            <w:vAlign w:val="bottom"/>
            <w:gridSpan w:val="2"/>
          </w:tcPr>
          <w:p>
            <w:pPr>
              <w:ind w:left="20"/>
              <w:spacing w:after="0"/>
              <w:rPr>
                <w:sz w:val="20"/>
                <w:szCs w:val="20"/>
                <w:color w:val="auto"/>
              </w:rPr>
            </w:pPr>
            <w:r>
              <w:rPr>
                <w:rFonts w:ascii="Arial" w:cs="Arial" w:eastAsia="Arial" w:hAnsi="Arial"/>
                <w:sz w:val="14"/>
                <w:szCs w:val="14"/>
                <w:color w:val="auto"/>
              </w:rPr>
              <w:t>March 31, 2022</w:t>
            </w: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Office</w:t>
            </w:r>
          </w:p>
        </w:tc>
        <w:tc>
          <w:tcPr>
            <w:tcW w:w="960" w:type="dxa"/>
            <w:vAlign w:val="bottom"/>
          </w:tcPr>
          <w:p>
            <w:pPr>
              <w:jc w:val="right"/>
              <w:spacing w:after="0"/>
              <w:rPr>
                <w:sz w:val="20"/>
                <w:szCs w:val="20"/>
                <w:color w:val="auto"/>
              </w:rPr>
            </w:pPr>
            <w:r>
              <w:rPr>
                <w:rFonts w:ascii="Arial" w:cs="Arial" w:eastAsia="Arial" w:hAnsi="Arial"/>
                <w:sz w:val="14"/>
                <w:szCs w:val="14"/>
                <w:color w:val="auto"/>
              </w:rPr>
              <w:t>63,500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Arial" w:cs="Arial" w:eastAsia="Arial" w:hAnsi="Arial"/>
                <w:sz w:val="14"/>
                <w:szCs w:val="14"/>
                <w:color w:val="auto"/>
              </w:rPr>
              <w:t>849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95"/>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Virginia 95 Office Park</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15, 2022</w:t>
            </w: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Office/Flex</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733,421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11,091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0" w:type="dxa"/>
            <w:vAlign w:val="bottom"/>
          </w:tcPr>
          <w:p>
            <w:pPr>
              <w:spacing w:after="0"/>
              <w:rPr>
                <w:sz w:val="1"/>
                <w:szCs w:val="1"/>
                <w:color w:val="auto"/>
              </w:rPr>
            </w:pPr>
          </w:p>
        </w:tc>
      </w:tr>
      <w:tr>
        <w:trPr>
          <w:trHeight w:val="186"/>
        </w:trPr>
        <w:tc>
          <w:tcPr>
            <w:tcW w:w="19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601 Massachusetts Avenue</w:t>
            </w:r>
          </w:p>
        </w:tc>
        <w:tc>
          <w:tcPr>
            <w:tcW w:w="1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August 30, 2022</w:t>
            </w:r>
          </w:p>
        </w:tc>
        <w:tc>
          <w:tcPr>
            <w:tcW w:w="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Office</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478,667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32,099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9,877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(1,378)</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1,608,588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34,164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55,627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(6,350)</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right="320" w:firstLine="419"/>
        <w:spacing w:after="0" w:line="283" w:lineRule="auto"/>
        <w:rPr>
          <w:sz w:val="20"/>
          <w:szCs w:val="20"/>
          <w:color w:val="auto"/>
        </w:rPr>
      </w:pPr>
      <w:r>
        <w:rPr>
          <w:rFonts w:ascii="Arial" w:cs="Arial" w:eastAsia="Arial" w:hAnsi="Arial"/>
          <w:sz w:val="17"/>
          <w:szCs w:val="17"/>
          <w:color w:val="auto"/>
        </w:rPr>
        <w:t xml:space="preserve">For additional information on the sales of the above properties refer to </w:t>
      </w:r>
      <w:r>
        <w:rPr>
          <w:rFonts w:ascii="Arial" w:cs="Arial" w:eastAsia="Arial" w:hAnsi="Arial"/>
          <w:sz w:val="17"/>
          <w:szCs w:val="17"/>
          <w:i w:val="1"/>
          <w:iCs w:val="1"/>
          <w:color w:val="auto"/>
        </w:rPr>
        <w:t>“Results of Operations—Other Income and Expense Items—Gains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Sales of Real Estate” </w:t>
      </w:r>
      <w:r>
        <w:rPr>
          <w:rFonts w:ascii="Arial" w:cs="Arial" w:eastAsia="Arial" w:hAnsi="Arial"/>
          <w:sz w:val="17"/>
          <w:szCs w:val="17"/>
          <w:color w:val="auto"/>
        </w:rPr>
        <w:t>within</w:t>
      </w:r>
      <w:r>
        <w:rPr>
          <w:rFonts w:ascii="Arial" w:cs="Arial" w:eastAsia="Arial" w:hAnsi="Arial"/>
          <w:sz w:val="17"/>
          <w:szCs w:val="17"/>
          <w:i w:val="1"/>
          <w:iCs w:val="1"/>
          <w:color w:val="auto"/>
        </w:rPr>
        <w:t xml:space="preserve"> “Item 2—Management’s Discussion and Analysis of Financial Condition and Results of Operations.”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Residential Net Operating Income</w:t>
      </w:r>
    </w:p>
    <w:p>
      <w:pPr>
        <w:spacing w:after="0" w:line="96" w:lineRule="exact"/>
        <w:rPr>
          <w:sz w:val="20"/>
          <w:szCs w:val="20"/>
          <w:color w:val="auto"/>
        </w:rPr>
      </w:pPr>
    </w:p>
    <w:p>
      <w:pPr>
        <w:ind w:firstLine="419"/>
        <w:spacing w:after="0" w:line="283" w:lineRule="auto"/>
        <w:rPr>
          <w:sz w:val="20"/>
          <w:szCs w:val="20"/>
          <w:color w:val="auto"/>
        </w:rPr>
      </w:pPr>
      <w:r>
        <w:rPr>
          <w:rFonts w:ascii="Arial" w:cs="Arial" w:eastAsia="Arial" w:hAnsi="Arial"/>
          <w:sz w:val="17"/>
          <w:szCs w:val="17"/>
          <w:color w:val="auto"/>
        </w:rPr>
        <w:t>Net operating income for our residential same properties increased by approximately $9.2 million for the nine months ended September 30, 2022 compared to 2021.</w:t>
      </w:r>
    </w:p>
    <w:p>
      <w:pPr>
        <w:spacing w:after="0" w:line="97" w:lineRule="exact"/>
        <w:rPr>
          <w:sz w:val="20"/>
          <w:szCs w:val="20"/>
          <w:color w:val="auto"/>
        </w:rPr>
      </w:pPr>
    </w:p>
    <w:p>
      <w:pPr>
        <w:ind w:firstLine="419"/>
        <w:spacing w:after="0" w:line="283" w:lineRule="auto"/>
        <w:rPr>
          <w:sz w:val="20"/>
          <w:szCs w:val="20"/>
          <w:color w:val="auto"/>
        </w:rPr>
      </w:pPr>
      <w:r>
        <w:rPr>
          <w:rFonts w:ascii="Arial" w:cs="Arial" w:eastAsia="Arial" w:hAnsi="Arial"/>
          <w:sz w:val="17"/>
          <w:szCs w:val="17"/>
          <w:color w:val="auto"/>
        </w:rPr>
        <w:t>The following reflects our occupancy and rate information for our residential same properties for the nine months ended September 30, 2022 and 2021.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4"/>
            <w:vMerge w:val="restart"/>
          </w:tcPr>
          <w:p>
            <w:pPr>
              <w:jc w:val="center"/>
              <w:ind w:right="13"/>
              <w:spacing w:after="0"/>
              <w:rPr>
                <w:sz w:val="20"/>
                <w:szCs w:val="20"/>
                <w:color w:val="auto"/>
              </w:rPr>
            </w:pPr>
            <w:r>
              <w:rPr>
                <w:rFonts w:ascii="Arial" w:cs="Arial" w:eastAsia="Arial" w:hAnsi="Arial"/>
                <w:sz w:val="13"/>
                <w:szCs w:val="13"/>
                <w:b w:val="1"/>
                <w:bCs w:val="1"/>
                <w:color w:val="auto"/>
                <w:w w:val="97"/>
              </w:rPr>
              <w:t>Average Monthly Rental Rate (1)</w:t>
            </w:r>
          </w:p>
        </w:tc>
        <w:tc>
          <w:tcPr>
            <w:tcW w:w="140" w:type="dxa"/>
            <w:vAlign w:val="bottom"/>
            <w:vMerge w:val="restart"/>
          </w:tcPr>
          <w:p>
            <w:pPr>
              <w:spacing w:after="0"/>
              <w:rPr>
                <w:sz w:val="12"/>
                <w:szCs w:val="12"/>
                <w:color w:val="auto"/>
              </w:rPr>
            </w:pPr>
          </w:p>
        </w:tc>
        <w:tc>
          <w:tcPr>
            <w:tcW w:w="2280" w:type="dxa"/>
            <w:vAlign w:val="bottom"/>
            <w:gridSpan w:val="6"/>
          </w:tcPr>
          <w:p>
            <w:pPr>
              <w:ind w:left="40"/>
              <w:spacing w:after="0"/>
              <w:rPr>
                <w:sz w:val="20"/>
                <w:szCs w:val="20"/>
                <w:color w:val="auto"/>
              </w:rPr>
            </w:pPr>
            <w:r>
              <w:rPr>
                <w:rFonts w:ascii="Arial" w:cs="Arial" w:eastAsia="Arial" w:hAnsi="Arial"/>
                <w:sz w:val="13"/>
                <w:szCs w:val="13"/>
                <w:b w:val="1"/>
                <w:bCs w:val="1"/>
                <w:color w:val="auto"/>
              </w:rPr>
              <w:t>Average Rental Rate Per Occupied</w:t>
            </w:r>
          </w:p>
        </w:tc>
        <w:tc>
          <w:tcPr>
            <w:tcW w:w="2360" w:type="dxa"/>
            <w:vAlign w:val="bottom"/>
            <w:gridSpan w:val="3"/>
            <w:vMerge w:val="restart"/>
          </w:tcPr>
          <w:p>
            <w:pPr>
              <w:jc w:val="right"/>
              <w:ind w:right="133"/>
              <w:spacing w:after="0"/>
              <w:rPr>
                <w:sz w:val="20"/>
                <w:szCs w:val="20"/>
                <w:color w:val="auto"/>
              </w:rPr>
            </w:pPr>
            <w:r>
              <w:rPr>
                <w:rFonts w:ascii="Arial" w:cs="Arial" w:eastAsia="Arial" w:hAnsi="Arial"/>
                <w:sz w:val="13"/>
                <w:szCs w:val="13"/>
                <w:b w:val="1"/>
                <w:bCs w:val="1"/>
                <w:color w:val="auto"/>
              </w:rPr>
              <w:t>Average Physical Occupancy (2)</w:t>
            </w:r>
          </w:p>
        </w:tc>
        <w:tc>
          <w:tcPr>
            <w:tcW w:w="140" w:type="dxa"/>
            <w:vAlign w:val="bottom"/>
            <w:vMerge w:val="restart"/>
          </w:tcPr>
          <w:p>
            <w:pPr>
              <w:spacing w:after="0"/>
              <w:rPr>
                <w:sz w:val="12"/>
                <w:szCs w:val="12"/>
                <w:color w:val="auto"/>
              </w:rPr>
            </w:pPr>
          </w:p>
        </w:tc>
        <w:tc>
          <w:tcPr>
            <w:tcW w:w="2360" w:type="dxa"/>
            <w:vAlign w:val="bottom"/>
            <w:gridSpan w:val="3"/>
            <w:vMerge w:val="restart"/>
          </w:tcPr>
          <w:p>
            <w:pPr>
              <w:jc w:val="right"/>
              <w:ind w:right="73"/>
              <w:spacing w:after="0"/>
              <w:rPr>
                <w:sz w:val="20"/>
                <w:szCs w:val="20"/>
                <w:color w:val="auto"/>
              </w:rPr>
            </w:pPr>
            <w:r>
              <w:rPr>
                <w:rFonts w:ascii="Arial" w:cs="Arial" w:eastAsia="Arial" w:hAnsi="Arial"/>
                <w:sz w:val="13"/>
                <w:szCs w:val="13"/>
                <w:b w:val="1"/>
                <w:bCs w:val="1"/>
                <w:color w:val="auto"/>
              </w:rPr>
              <w:t>Average Economic Occupancy (3)</w:t>
            </w:r>
          </w:p>
        </w:tc>
        <w:tc>
          <w:tcPr>
            <w:tcW w:w="0" w:type="dxa"/>
            <w:vAlign w:val="bottom"/>
          </w:tcPr>
          <w:p>
            <w:pPr>
              <w:spacing w:after="0"/>
              <w:rPr>
                <w:sz w:val="1"/>
                <w:szCs w:val="1"/>
                <w:color w:val="auto"/>
              </w:rPr>
            </w:pPr>
          </w:p>
        </w:tc>
      </w:tr>
      <w:tr>
        <w:trPr>
          <w:trHeight w:val="173"/>
        </w:trPr>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3"/>
                <w:szCs w:val="13"/>
                <w:b w:val="1"/>
                <w:bCs w:val="1"/>
                <w:color w:val="auto"/>
              </w:rPr>
              <w:t>Square Foot</w:t>
            </w:r>
          </w:p>
        </w:tc>
        <w:tc>
          <w:tcPr>
            <w:tcW w:w="140" w:type="dxa"/>
            <w:vAlign w:val="bottom"/>
          </w:tcPr>
          <w:p>
            <w:pPr>
              <w:spacing w:after="0"/>
              <w:rPr>
                <w:sz w:val="15"/>
                <w:szCs w:val="15"/>
                <w:color w:val="auto"/>
              </w:rPr>
            </w:pPr>
          </w:p>
        </w:tc>
        <w:tc>
          <w:tcPr>
            <w:tcW w:w="2360" w:type="dxa"/>
            <w:vAlign w:val="bottom"/>
            <w:tcBorders>
              <w:bottom w:val="single" w:sz="8" w:color="auto"/>
            </w:tcBorders>
            <w:gridSpan w:val="3"/>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36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66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Name</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2022</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2021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2022</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2021</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2022</w:t>
            </w: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2021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2022</w:t>
            </w: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2021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85"/>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Proto Kendall Square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2,577</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8.8 %</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9.1 %</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94.8 %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94.1 %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18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The Lofts at Atlantic Wharf</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4,089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center"/>
              <w:spacing w:after="0"/>
              <w:rPr>
                <w:sz w:val="20"/>
                <w:szCs w:val="20"/>
                <w:color w:val="auto"/>
              </w:rPr>
            </w:pPr>
            <w:r>
              <w:rPr>
                <w:rFonts w:ascii="Arial" w:cs="Arial" w:eastAsia="Arial" w:hAnsi="Arial"/>
                <w:sz w:val="14"/>
                <w:szCs w:val="14"/>
                <w:color w:val="auto"/>
                <w:w w:val="96"/>
              </w:rPr>
              <w:t>3,459</w:t>
            </w:r>
          </w:p>
        </w:tc>
        <w:tc>
          <w:tcPr>
            <w:tcW w:w="840" w:type="dxa"/>
            <w:vAlign w:val="bottom"/>
          </w:tcPr>
          <w:p>
            <w:pPr>
              <w:jc w:val="right"/>
              <w:spacing w:after="0"/>
              <w:rPr>
                <w:sz w:val="20"/>
                <w:szCs w:val="20"/>
                <w:color w:val="auto"/>
              </w:rPr>
            </w:pPr>
            <w:r>
              <w:rPr>
                <w:rFonts w:ascii="Arial" w:cs="Arial" w:eastAsia="Arial" w:hAnsi="Arial"/>
                <w:sz w:val="14"/>
                <w:szCs w:val="14"/>
                <w:color w:val="auto"/>
              </w:rPr>
              <w:t>18.2 %</w:t>
            </w:r>
          </w:p>
        </w:tc>
        <w:tc>
          <w:tcPr>
            <w:tcW w:w="14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4.55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3.89</w:t>
            </w:r>
          </w:p>
        </w:tc>
        <w:tc>
          <w:tcPr>
            <w:tcW w:w="840" w:type="dxa"/>
            <w:vAlign w:val="bottom"/>
          </w:tcPr>
          <w:p>
            <w:pPr>
              <w:jc w:val="right"/>
              <w:spacing w:after="0"/>
              <w:rPr>
                <w:sz w:val="20"/>
                <w:szCs w:val="20"/>
                <w:color w:val="auto"/>
              </w:rPr>
            </w:pPr>
            <w:r>
              <w:rPr>
                <w:rFonts w:ascii="Arial" w:cs="Arial" w:eastAsia="Arial" w:hAnsi="Arial"/>
                <w:sz w:val="14"/>
                <w:szCs w:val="14"/>
                <w:color w:val="auto"/>
              </w:rPr>
              <w:t>17.0 %</w:t>
            </w:r>
          </w:p>
        </w:tc>
        <w:tc>
          <w:tcPr>
            <w:tcW w:w="140" w:type="dxa"/>
            <w:vAlign w:val="bottom"/>
          </w:tcPr>
          <w:p>
            <w:pPr>
              <w:spacing w:after="0"/>
              <w:rPr>
                <w:sz w:val="16"/>
                <w:szCs w:val="16"/>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color w:val="auto"/>
              </w:rPr>
              <w:t>97.8 %</w:t>
            </w:r>
          </w:p>
        </w:tc>
        <w:tc>
          <w:tcPr>
            <w:tcW w:w="680" w:type="dxa"/>
            <w:vAlign w:val="bottom"/>
          </w:tcPr>
          <w:p>
            <w:pPr>
              <w:jc w:val="right"/>
              <w:spacing w:after="0"/>
              <w:rPr>
                <w:sz w:val="20"/>
                <w:szCs w:val="20"/>
                <w:color w:val="auto"/>
              </w:rPr>
            </w:pPr>
            <w:r>
              <w:rPr>
                <w:rFonts w:ascii="Arial" w:cs="Arial" w:eastAsia="Arial" w:hAnsi="Arial"/>
                <w:sz w:val="14"/>
                <w:szCs w:val="14"/>
                <w:color w:val="auto"/>
              </w:rPr>
              <w:t>93.4 %</w:t>
            </w:r>
          </w:p>
        </w:tc>
        <w:tc>
          <w:tcPr>
            <w:tcW w:w="800" w:type="dxa"/>
            <w:vAlign w:val="bottom"/>
          </w:tcPr>
          <w:p>
            <w:pPr>
              <w:jc w:val="right"/>
              <w:spacing w:after="0"/>
              <w:rPr>
                <w:sz w:val="20"/>
                <w:szCs w:val="20"/>
                <w:color w:val="auto"/>
              </w:rPr>
            </w:pPr>
            <w:r>
              <w:rPr>
                <w:rFonts w:ascii="Arial" w:cs="Arial" w:eastAsia="Arial" w:hAnsi="Arial"/>
                <w:sz w:val="14"/>
                <w:szCs w:val="14"/>
                <w:color w:val="auto"/>
              </w:rPr>
              <w:t>4.7 %</w:t>
            </w:r>
          </w:p>
        </w:tc>
        <w:tc>
          <w:tcPr>
            <w:tcW w:w="140" w:type="dxa"/>
            <w:vAlign w:val="bottom"/>
          </w:tcPr>
          <w:p>
            <w:pPr>
              <w:spacing w:after="0"/>
              <w:rPr>
                <w:sz w:val="16"/>
                <w:szCs w:val="16"/>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color w:val="auto"/>
              </w:rPr>
              <w:t>97.3 %</w:t>
            </w:r>
          </w:p>
        </w:tc>
        <w:tc>
          <w:tcPr>
            <w:tcW w:w="680" w:type="dxa"/>
            <w:vAlign w:val="bottom"/>
          </w:tcPr>
          <w:p>
            <w:pPr>
              <w:jc w:val="right"/>
              <w:spacing w:after="0"/>
              <w:rPr>
                <w:sz w:val="20"/>
                <w:szCs w:val="20"/>
                <w:color w:val="auto"/>
              </w:rPr>
            </w:pPr>
            <w:r>
              <w:rPr>
                <w:rFonts w:ascii="Arial" w:cs="Arial" w:eastAsia="Arial" w:hAnsi="Arial"/>
                <w:sz w:val="14"/>
                <w:szCs w:val="14"/>
                <w:color w:val="auto"/>
              </w:rPr>
              <w:t>91.0 %</w:t>
            </w:r>
          </w:p>
        </w:tc>
        <w:tc>
          <w:tcPr>
            <w:tcW w:w="800" w:type="dxa"/>
            <w:vAlign w:val="bottom"/>
          </w:tcPr>
          <w:p>
            <w:pPr>
              <w:jc w:val="right"/>
              <w:spacing w:after="0"/>
              <w:rPr>
                <w:sz w:val="20"/>
                <w:szCs w:val="20"/>
                <w:color w:val="auto"/>
              </w:rPr>
            </w:pPr>
            <w:r>
              <w:rPr>
                <w:rFonts w:ascii="Arial" w:cs="Arial" w:eastAsia="Arial" w:hAnsi="Arial"/>
                <w:sz w:val="14"/>
                <w:szCs w:val="14"/>
                <w:color w:val="auto"/>
              </w:rPr>
              <w:t>6.9 %</w:t>
            </w:r>
          </w:p>
        </w:tc>
        <w:tc>
          <w:tcPr>
            <w:tcW w:w="0" w:type="dxa"/>
            <w:vAlign w:val="bottom"/>
          </w:tcPr>
          <w:p>
            <w:pPr>
              <w:spacing w:after="0"/>
              <w:rPr>
                <w:sz w:val="1"/>
                <w:szCs w:val="1"/>
                <w:color w:val="auto"/>
              </w:rPr>
            </w:pPr>
          </w:p>
        </w:tc>
      </w:tr>
      <w:tr>
        <w:trPr>
          <w:trHeight w:val="149"/>
        </w:trPr>
        <w:tc>
          <w:tcPr>
            <w:tcW w:w="1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The Avant at Reston Town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2,225</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7.9 %</w:t>
            </w:r>
          </w:p>
        </w:tc>
        <w:tc>
          <w:tcPr>
            <w:tcW w:w="14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6.1 %</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54"/>
              <w:spacing w:after="0"/>
              <w:rPr>
                <w:sz w:val="20"/>
                <w:szCs w:val="20"/>
                <w:color w:val="auto"/>
              </w:rPr>
            </w:pPr>
            <w:r>
              <w:rPr>
                <w:rFonts w:ascii="Arial" w:cs="Arial" w:eastAsia="Arial" w:hAnsi="Arial"/>
                <w:sz w:val="14"/>
                <w:szCs w:val="14"/>
                <w:color w:val="auto"/>
              </w:rPr>
              <w:t>95.2 %</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94.2 %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54"/>
              <w:spacing w:after="0"/>
              <w:rPr>
                <w:sz w:val="20"/>
                <w:szCs w:val="20"/>
                <w:color w:val="auto"/>
              </w:rPr>
            </w:pPr>
            <w:r>
              <w:rPr>
                <w:rFonts w:ascii="Arial" w:cs="Arial" w:eastAsia="Arial" w:hAnsi="Arial"/>
                <w:sz w:val="14"/>
                <w:szCs w:val="14"/>
                <w:color w:val="auto"/>
              </w:rPr>
              <w:t>95.3 %</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93.6 %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73"/>
        </w:trPr>
        <w:tc>
          <w:tcPr>
            <w:tcW w:w="18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Center (4)</w:t>
            </w:r>
          </w:p>
        </w:tc>
        <w:tc>
          <w:tcPr>
            <w:tcW w:w="10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Signature at Reston</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2,644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center"/>
              <w:spacing w:after="0"/>
              <w:rPr>
                <w:sz w:val="20"/>
                <w:szCs w:val="20"/>
                <w:color w:val="auto"/>
              </w:rPr>
            </w:pPr>
            <w:r>
              <w:rPr>
                <w:rFonts w:ascii="Arial" w:cs="Arial" w:eastAsia="Arial" w:hAnsi="Arial"/>
                <w:sz w:val="14"/>
                <w:szCs w:val="14"/>
                <w:color w:val="auto"/>
                <w:w w:val="96"/>
              </w:rPr>
              <w:t>2,279</w:t>
            </w:r>
          </w:p>
        </w:tc>
        <w:tc>
          <w:tcPr>
            <w:tcW w:w="840" w:type="dxa"/>
            <w:vAlign w:val="bottom"/>
          </w:tcPr>
          <w:p>
            <w:pPr>
              <w:jc w:val="right"/>
              <w:spacing w:after="0"/>
              <w:rPr>
                <w:sz w:val="20"/>
                <w:szCs w:val="20"/>
                <w:color w:val="auto"/>
              </w:rPr>
            </w:pPr>
            <w:r>
              <w:rPr>
                <w:rFonts w:ascii="Arial" w:cs="Arial" w:eastAsia="Arial" w:hAnsi="Arial"/>
                <w:sz w:val="14"/>
                <w:szCs w:val="14"/>
                <w:color w:val="auto"/>
              </w:rPr>
              <w:t>16.0 %</w:t>
            </w:r>
          </w:p>
        </w:tc>
        <w:tc>
          <w:tcPr>
            <w:tcW w:w="14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2.73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2.36</w:t>
            </w:r>
          </w:p>
        </w:tc>
        <w:tc>
          <w:tcPr>
            <w:tcW w:w="840" w:type="dxa"/>
            <w:vAlign w:val="bottom"/>
          </w:tcPr>
          <w:p>
            <w:pPr>
              <w:jc w:val="right"/>
              <w:spacing w:after="0"/>
              <w:rPr>
                <w:sz w:val="20"/>
                <w:szCs w:val="20"/>
                <w:color w:val="auto"/>
              </w:rPr>
            </w:pPr>
            <w:r>
              <w:rPr>
                <w:rFonts w:ascii="Arial" w:cs="Arial" w:eastAsia="Arial" w:hAnsi="Arial"/>
                <w:sz w:val="14"/>
                <w:szCs w:val="14"/>
                <w:color w:val="auto"/>
              </w:rPr>
              <w:t>15.7 %</w:t>
            </w:r>
          </w:p>
        </w:tc>
        <w:tc>
          <w:tcPr>
            <w:tcW w:w="140" w:type="dxa"/>
            <w:vAlign w:val="bottom"/>
          </w:tcPr>
          <w:p>
            <w:pPr>
              <w:spacing w:after="0"/>
              <w:rPr>
                <w:sz w:val="16"/>
                <w:szCs w:val="16"/>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color w:val="auto"/>
              </w:rPr>
              <w:t>95.2 %</w:t>
            </w:r>
          </w:p>
        </w:tc>
        <w:tc>
          <w:tcPr>
            <w:tcW w:w="680" w:type="dxa"/>
            <w:vAlign w:val="bottom"/>
          </w:tcPr>
          <w:p>
            <w:pPr>
              <w:jc w:val="right"/>
              <w:spacing w:after="0"/>
              <w:rPr>
                <w:sz w:val="20"/>
                <w:szCs w:val="20"/>
                <w:color w:val="auto"/>
              </w:rPr>
            </w:pPr>
            <w:r>
              <w:rPr>
                <w:rFonts w:ascii="Arial" w:cs="Arial" w:eastAsia="Arial" w:hAnsi="Arial"/>
                <w:sz w:val="14"/>
                <w:szCs w:val="14"/>
                <w:color w:val="auto"/>
              </w:rPr>
              <w:t>86.8 %</w:t>
            </w:r>
          </w:p>
        </w:tc>
        <w:tc>
          <w:tcPr>
            <w:tcW w:w="800" w:type="dxa"/>
            <w:vAlign w:val="bottom"/>
          </w:tcPr>
          <w:p>
            <w:pPr>
              <w:jc w:val="right"/>
              <w:spacing w:after="0"/>
              <w:rPr>
                <w:sz w:val="20"/>
                <w:szCs w:val="20"/>
                <w:color w:val="auto"/>
              </w:rPr>
            </w:pPr>
            <w:r>
              <w:rPr>
                <w:rFonts w:ascii="Arial" w:cs="Arial" w:eastAsia="Arial" w:hAnsi="Arial"/>
                <w:sz w:val="14"/>
                <w:szCs w:val="14"/>
                <w:color w:val="auto"/>
              </w:rPr>
              <w:t>9.7 %</w:t>
            </w:r>
          </w:p>
        </w:tc>
        <w:tc>
          <w:tcPr>
            <w:tcW w:w="140" w:type="dxa"/>
            <w:vAlign w:val="bottom"/>
          </w:tcPr>
          <w:p>
            <w:pPr>
              <w:spacing w:after="0"/>
              <w:rPr>
                <w:sz w:val="16"/>
                <w:szCs w:val="16"/>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color w:val="auto"/>
              </w:rPr>
              <w:t>94.7 %</w:t>
            </w:r>
          </w:p>
        </w:tc>
        <w:tc>
          <w:tcPr>
            <w:tcW w:w="680" w:type="dxa"/>
            <w:vAlign w:val="bottom"/>
          </w:tcPr>
          <w:p>
            <w:pPr>
              <w:jc w:val="right"/>
              <w:spacing w:after="0"/>
              <w:rPr>
                <w:sz w:val="20"/>
                <w:szCs w:val="20"/>
                <w:color w:val="auto"/>
              </w:rPr>
            </w:pPr>
            <w:r>
              <w:rPr>
                <w:rFonts w:ascii="Arial" w:cs="Arial" w:eastAsia="Arial" w:hAnsi="Arial"/>
                <w:sz w:val="14"/>
                <w:szCs w:val="14"/>
                <w:color w:val="auto"/>
              </w:rPr>
              <w:t>83.6 %</w:t>
            </w:r>
          </w:p>
        </w:tc>
        <w:tc>
          <w:tcPr>
            <w:tcW w:w="800" w:type="dxa"/>
            <w:vAlign w:val="bottom"/>
          </w:tcPr>
          <w:p>
            <w:pPr>
              <w:jc w:val="right"/>
              <w:spacing w:after="0"/>
              <w:rPr>
                <w:sz w:val="20"/>
                <w:szCs w:val="20"/>
                <w:color w:val="auto"/>
              </w:rPr>
            </w:pPr>
            <w:r>
              <w:rPr>
                <w:rFonts w:ascii="Arial" w:cs="Arial" w:eastAsia="Arial" w:hAnsi="Arial"/>
                <w:sz w:val="14"/>
                <w:szCs w:val="14"/>
                <w:color w:val="auto"/>
              </w:rPr>
              <w:t>13.3 %</w:t>
            </w:r>
          </w:p>
        </w:tc>
        <w:tc>
          <w:tcPr>
            <w:tcW w:w="0" w:type="dxa"/>
            <w:vAlign w:val="bottom"/>
          </w:tcPr>
          <w:p>
            <w:pPr>
              <w:spacing w:after="0"/>
              <w:rPr>
                <w:sz w:val="1"/>
                <w:szCs w:val="1"/>
                <w:color w:val="auto"/>
              </w:rPr>
            </w:pPr>
          </w:p>
        </w:tc>
      </w:tr>
      <w:tr>
        <w:trPr>
          <w:trHeight w:val="195"/>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 Skylyne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3,147</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10.7 %</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82.7 %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173.8 %</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80.2 %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253.3 %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_____________</w:t>
      </w:r>
    </w:p>
    <w:p>
      <w:pPr>
        <w:spacing w:after="0" w:line="26" w:lineRule="exact"/>
        <w:rPr>
          <w:sz w:val="20"/>
          <w:szCs w:val="20"/>
          <w:color w:val="auto"/>
        </w:rPr>
      </w:pPr>
    </w:p>
    <w:p>
      <w:pPr>
        <w:ind w:left="540" w:hanging="310"/>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Average Monthly Rental Rate is calculated as the average of the quotients obtained by dividing (A) rental revenue as determined in accordance with GAAP, by</w:t>
      </w:r>
    </w:p>
    <w:p>
      <w:pPr>
        <w:spacing w:after="0" w:line="5"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5"/>
          <w:szCs w:val="15"/>
          <w:color w:val="auto"/>
        </w:rPr>
        <w:t>(B) the number of occupied units for each month within the applicable fiscal period.</w:t>
      </w:r>
    </w:p>
    <w:p>
      <w:pPr>
        <w:spacing w:after="0" w:line="5" w:lineRule="exact"/>
        <w:rPr>
          <w:rFonts w:ascii="Arial" w:cs="Arial" w:eastAsia="Arial" w:hAnsi="Arial"/>
          <w:sz w:val="15"/>
          <w:szCs w:val="15"/>
          <w:color w:val="auto"/>
        </w:rPr>
      </w:pPr>
    </w:p>
    <w:p>
      <w:pPr>
        <w:ind w:left="540" w:hanging="310"/>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Average Physical Occupancy is defined as (1) the average number of occupied units divided by (2) the total number of units, expressed as a percentage.</w:t>
      </w:r>
    </w:p>
    <w:p>
      <w:pPr>
        <w:spacing w:after="0" w:line="13" w:lineRule="exact"/>
        <w:rPr>
          <w:rFonts w:ascii="Arial" w:cs="Arial" w:eastAsia="Arial" w:hAnsi="Arial"/>
          <w:sz w:val="15"/>
          <w:szCs w:val="15"/>
          <w:color w:val="auto"/>
        </w:rPr>
      </w:pPr>
    </w:p>
    <w:p>
      <w:pPr>
        <w:ind w:left="540" w:right="20" w:hanging="310"/>
        <w:spacing w:after="0" w:line="254" w:lineRule="auto"/>
        <w:tabs>
          <w:tab w:leader="none" w:pos="536" w:val="left"/>
        </w:tabs>
        <w:numPr>
          <w:ilvl w:val="0"/>
          <w:numId w:val="40"/>
        </w:numPr>
        <w:rPr>
          <w:rFonts w:ascii="Arial" w:cs="Arial" w:eastAsia="Arial" w:hAnsi="Arial"/>
          <w:sz w:val="15"/>
          <w:szCs w:val="15"/>
          <w:color w:val="auto"/>
        </w:rPr>
      </w:pPr>
      <w:r>
        <w:rPr>
          <w:rFonts w:ascii="Arial" w:cs="Arial" w:eastAsia="Arial" w:hAnsi="Arial"/>
          <w:sz w:val="15"/>
          <w:szCs w:val="15"/>
          <w:color w:val="auto"/>
        </w:rPr>
        <w:t>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w:t>
      </w:r>
    </w:p>
    <w:p>
      <w:pPr>
        <w:spacing w:after="0" w:line="3" w:lineRule="exact"/>
        <w:rPr>
          <w:rFonts w:ascii="Arial" w:cs="Arial" w:eastAsia="Arial" w:hAnsi="Arial"/>
          <w:sz w:val="15"/>
          <w:szCs w:val="15"/>
          <w:color w:val="auto"/>
        </w:rPr>
      </w:pPr>
    </w:p>
    <w:p>
      <w:pPr>
        <w:ind w:left="540" w:hanging="310"/>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See Note 13 to the Consolidated Financial Statements.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Hotel Net Operating Income (Loss)</w:t>
      </w:r>
    </w:p>
    <w:p>
      <w:pPr>
        <w:spacing w:after="0" w:line="84" w:lineRule="exact"/>
        <w:rPr>
          <w:sz w:val="20"/>
          <w:szCs w:val="20"/>
          <w:color w:val="auto"/>
        </w:rPr>
      </w:pPr>
    </w:p>
    <w:p>
      <w:pPr>
        <w:ind w:right="220" w:firstLine="419"/>
        <w:spacing w:after="0" w:line="283" w:lineRule="auto"/>
        <w:rPr>
          <w:sz w:val="20"/>
          <w:szCs w:val="20"/>
          <w:color w:val="auto"/>
        </w:rPr>
      </w:pPr>
      <w:r>
        <w:rPr>
          <w:rFonts w:ascii="Arial" w:cs="Arial" w:eastAsia="Arial" w:hAnsi="Arial"/>
          <w:sz w:val="17"/>
          <w:szCs w:val="17"/>
          <w:color w:val="auto"/>
        </w:rPr>
        <w:t>The Boston Marriott Cambridge hotel had net operating income of approximately $8.6 million for the nine months ended September 30, 2022, representing an increase of approximately $9.2 million compared to the nine months ended September 30, 2021.</w:t>
      </w:r>
    </w:p>
    <w:p>
      <w:pPr>
        <w:spacing w:after="0" w:line="97" w:lineRule="exact"/>
        <w:rPr>
          <w:sz w:val="20"/>
          <w:szCs w:val="20"/>
          <w:color w:val="auto"/>
        </w:rPr>
      </w:pPr>
    </w:p>
    <w:p>
      <w:pPr>
        <w:ind w:right="320" w:firstLine="419"/>
        <w:spacing w:after="0" w:line="283" w:lineRule="auto"/>
        <w:rPr>
          <w:sz w:val="20"/>
          <w:szCs w:val="20"/>
          <w:color w:val="auto"/>
        </w:rPr>
      </w:pPr>
      <w:r>
        <w:rPr>
          <w:rFonts w:ascii="Arial" w:cs="Arial" w:eastAsia="Arial" w:hAnsi="Arial"/>
          <w:sz w:val="17"/>
          <w:szCs w:val="17"/>
          <w:color w:val="auto"/>
        </w:rPr>
        <w:t>The following reflects our occupancy and rate information for the Boston Marriott Cambridge hotel for the nine months ended September 30, 2022 and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Change (%)</w:t>
            </w: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Occupancy</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27.8 %</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128.1 %</w:t>
            </w:r>
          </w:p>
        </w:tc>
      </w:tr>
      <w:tr>
        <w:trPr>
          <w:trHeight w:val="216"/>
        </w:trPr>
        <w:tc>
          <w:tcPr>
            <w:tcW w:w="6100" w:type="dxa"/>
            <w:vAlign w:val="bottom"/>
          </w:tcPr>
          <w:p>
            <w:pPr>
              <w:ind w:left="20"/>
              <w:spacing w:after="0"/>
              <w:rPr>
                <w:sz w:val="20"/>
                <w:szCs w:val="20"/>
                <w:color w:val="auto"/>
              </w:rPr>
            </w:pPr>
            <w:r>
              <w:rPr>
                <w:rFonts w:ascii="Arial" w:cs="Arial" w:eastAsia="Arial" w:hAnsi="Arial"/>
                <w:sz w:val="17"/>
                <w:szCs w:val="17"/>
                <w:color w:val="auto"/>
              </w:rPr>
              <w:t>Average daily rate</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60"/>
              <w:spacing w:after="0"/>
              <w:rPr>
                <w:sz w:val="20"/>
                <w:szCs w:val="20"/>
                <w:color w:val="auto"/>
              </w:rPr>
            </w:pPr>
            <w:r>
              <w:rPr>
                <w:rFonts w:ascii="Arial" w:cs="Arial" w:eastAsia="Arial" w:hAnsi="Arial"/>
                <w:sz w:val="17"/>
                <w:szCs w:val="17"/>
                <w:color w:val="auto"/>
              </w:rPr>
              <w:t>315.24</w:t>
            </w:r>
          </w:p>
        </w:tc>
        <w:tc>
          <w:tcPr>
            <w:tcW w:w="100" w:type="dxa"/>
            <w:vAlign w:val="bottom"/>
          </w:tcPr>
          <w:p>
            <w:pPr>
              <w:spacing w:after="0"/>
              <w:rPr>
                <w:sz w:val="18"/>
                <w:szCs w:val="18"/>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40"/>
              <w:spacing w:after="0"/>
              <w:rPr>
                <w:sz w:val="20"/>
                <w:szCs w:val="20"/>
                <w:color w:val="auto"/>
              </w:rPr>
            </w:pPr>
            <w:r>
              <w:rPr>
                <w:rFonts w:ascii="Arial" w:cs="Arial" w:eastAsia="Arial" w:hAnsi="Arial"/>
                <w:sz w:val="17"/>
                <w:szCs w:val="17"/>
                <w:color w:val="auto"/>
              </w:rPr>
              <w:t>192.67</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63.6 %</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REVPAR</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199.83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53.59</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272.9 %</w:t>
            </w:r>
          </w:p>
        </w:tc>
      </w:tr>
    </w:tbl>
    <w:p>
      <w:pPr>
        <w:spacing w:after="0" w:line="32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u w:val="single" w:color="auto"/>
          <w:color w:val="auto"/>
        </w:rPr>
        <w:t>Other Operating Revenue and Expense Items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Development and Management Services Revenue</w:t>
      </w:r>
    </w:p>
    <w:p>
      <w:pPr>
        <w:spacing w:after="0" w:line="84" w:lineRule="exact"/>
        <w:rPr>
          <w:sz w:val="20"/>
          <w:szCs w:val="20"/>
          <w:color w:val="auto"/>
        </w:rPr>
      </w:pPr>
    </w:p>
    <w:p>
      <w:pPr>
        <w:ind w:right="40" w:firstLine="419"/>
        <w:spacing w:after="0" w:line="256" w:lineRule="auto"/>
        <w:rPr>
          <w:sz w:val="20"/>
          <w:szCs w:val="20"/>
          <w:color w:val="auto"/>
        </w:rPr>
      </w:pPr>
      <w:r>
        <w:rPr>
          <w:rFonts w:ascii="Arial" w:cs="Arial" w:eastAsia="Arial" w:hAnsi="Arial"/>
          <w:sz w:val="17"/>
          <w:szCs w:val="17"/>
          <w:color w:val="auto"/>
        </w:rPr>
        <w:t>Development and management services revenue decreased by approximately $0.5 million for the nine months ended September 30, 2022 compared to 2021. Development services revenue decreased by approximately $1.7 million and management services revenue increased by approximately $1.2 million. The decrease in development services revenue was primarily related to a decrease in development fees earned from unconsolidated joint venture properties in the Washington, DC and Boston regions, which were placed in-service during prior periods. The increase in management services revenue was primarily related to an increase in property management fees from an unconsolidated joint venture in the Boston region and asset management fees from an unconsolidated joint venture in the Seattle region.</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General and Administrative Expense</w:t>
      </w:r>
    </w:p>
    <w:p>
      <w:pPr>
        <w:spacing w:after="0" w:line="96" w:lineRule="exact"/>
        <w:rPr>
          <w:sz w:val="20"/>
          <w:szCs w:val="20"/>
          <w:color w:val="auto"/>
        </w:rPr>
      </w:pPr>
    </w:p>
    <w:p>
      <w:pPr>
        <w:ind w:firstLine="419"/>
        <w:spacing w:after="0" w:line="257" w:lineRule="auto"/>
        <w:rPr>
          <w:sz w:val="20"/>
          <w:szCs w:val="20"/>
          <w:color w:val="auto"/>
        </w:rPr>
      </w:pPr>
      <w:r>
        <w:rPr>
          <w:rFonts w:ascii="Arial" w:cs="Arial" w:eastAsia="Arial" w:hAnsi="Arial"/>
          <w:sz w:val="17"/>
          <w:szCs w:val="17"/>
          <w:color w:val="auto"/>
        </w:rPr>
        <w:t>General and administrative expense decreased by approximately $7.5 million for the nine months ended September 30, 2022 compared to 2021 primarily due to a decrease in compensation expense of approximately $13.2 million, partially offset by an approximately $5.7 million increase in other general and administrative expenses. The decrease in compensation expense related to an approximately $12.2 million decrease in the value of our deferred compensation plan and an approximately $1.0 million decrease in other compensation expenses. The increase in other general and administrative expenses was primarily related to an increase in professional fees.</w:t>
      </w:r>
    </w:p>
    <w:p>
      <w:pPr>
        <w:spacing w:after="0" w:line="121" w:lineRule="exact"/>
        <w:rPr>
          <w:sz w:val="20"/>
          <w:szCs w:val="20"/>
          <w:color w:val="auto"/>
        </w:rPr>
      </w:pPr>
    </w:p>
    <w:p>
      <w:pPr>
        <w:jc w:val="both"/>
        <w:ind w:right="160" w:firstLine="419"/>
        <w:spacing w:after="0" w:line="260" w:lineRule="auto"/>
        <w:rPr>
          <w:sz w:val="20"/>
          <w:szCs w:val="20"/>
          <w:color w:val="auto"/>
        </w:rPr>
      </w:pPr>
      <w:r>
        <w:rPr>
          <w:rFonts w:ascii="Arial" w:cs="Arial" w:eastAsia="Arial" w:hAnsi="Arial"/>
          <w:sz w:val="17"/>
          <w:szCs w:val="17"/>
          <w:color w:val="auto"/>
        </w:rPr>
        <w:t>Wages directly related to the development of rental properties are capitalized and included in real estate assets on our Consolidated Balance Sheets and amortized over the useful lives of the applicable asset or lease term. Capitalized wages for the nine months ended September 30, 2022 and 2021 were approximately $12.0 million and $10.1 million, respectively. These costs are not included in the general and administrative expenses discussed above.</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Transaction Costs</w:t>
      </w:r>
    </w:p>
    <w:p>
      <w:pPr>
        <w:spacing w:after="0" w:line="96" w:lineRule="exact"/>
        <w:rPr>
          <w:sz w:val="20"/>
          <w:szCs w:val="20"/>
          <w:color w:val="auto"/>
        </w:rPr>
      </w:pPr>
    </w:p>
    <w:p>
      <w:pPr>
        <w:ind w:right="180" w:firstLine="419"/>
        <w:spacing w:after="0" w:line="266" w:lineRule="auto"/>
        <w:rPr>
          <w:sz w:val="20"/>
          <w:szCs w:val="20"/>
          <w:color w:val="auto"/>
        </w:rPr>
      </w:pPr>
      <w:r>
        <w:rPr>
          <w:rFonts w:ascii="Arial" w:cs="Arial" w:eastAsia="Arial" w:hAnsi="Arial"/>
          <w:sz w:val="17"/>
          <w:szCs w:val="17"/>
          <w:color w:val="auto"/>
        </w:rPr>
        <w:t>Transaction costs decreased by approximately $0.8 million for the nine months ended September 30, 2022 compared to 2021 due primarily to costs incurred in connection with the pursuit and formation of new joint ventures in 2021 that did not occur at the same levels in 2022. In general, transaction costs relating to the formation of new joint ventures and the pursuit of other transactions are expensed as incurred.</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Depreciation and Amortization Expense</w:t>
      </w:r>
    </w:p>
    <w:p>
      <w:pPr>
        <w:spacing w:after="0" w:line="84" w:lineRule="exact"/>
        <w:rPr>
          <w:sz w:val="20"/>
          <w:szCs w:val="20"/>
          <w:color w:val="auto"/>
        </w:rPr>
      </w:pPr>
    </w:p>
    <w:p>
      <w:pPr>
        <w:ind w:right="100" w:firstLine="419"/>
        <w:spacing w:after="0" w:line="257" w:lineRule="auto"/>
        <w:rPr>
          <w:sz w:val="20"/>
          <w:szCs w:val="20"/>
          <w:color w:val="auto"/>
        </w:rPr>
      </w:pPr>
      <w:r>
        <w:rPr>
          <w:rFonts w:ascii="Arial" w:cs="Arial" w:eastAsia="Arial" w:hAnsi="Arial"/>
          <w:sz w:val="17"/>
          <w:szCs w:val="17"/>
          <w:color w:val="auto"/>
        </w:rPr>
        <w:t>Depreciation expense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For additional information see the Explanatory Note that follows the cover page of this Quarterly Report on Form 10-Q.</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275" w:right="37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BXP</w:t>
      </w:r>
    </w:p>
    <w:p>
      <w:pPr>
        <w:spacing w:after="0" w:line="84" w:lineRule="exact"/>
        <w:rPr>
          <w:sz w:val="20"/>
          <w:szCs w:val="20"/>
          <w:color w:val="auto"/>
        </w:rPr>
      </w:pPr>
    </w:p>
    <w:p>
      <w:pPr>
        <w:ind w:right="220" w:firstLine="419"/>
        <w:spacing w:after="0" w:line="283" w:lineRule="auto"/>
        <w:rPr>
          <w:sz w:val="20"/>
          <w:szCs w:val="20"/>
          <w:color w:val="auto"/>
        </w:rPr>
      </w:pPr>
      <w:r>
        <w:rPr>
          <w:rFonts w:ascii="Arial" w:cs="Arial" w:eastAsia="Arial" w:hAnsi="Arial"/>
          <w:sz w:val="17"/>
          <w:szCs w:val="17"/>
          <w:color w:val="auto"/>
        </w:rPr>
        <w:t>Depreciation and amortization expense increased by approximately $11.6 million for the nine months ended September 30, 2022 compared to 2021, as detailed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4320" w:type="dxa"/>
            <w:vAlign w:val="bottom"/>
            <w:gridSpan w:val="8"/>
          </w:tcPr>
          <w:p>
            <w:pPr>
              <w:jc w:val="center"/>
              <w:spacing w:after="0"/>
              <w:rPr>
                <w:sz w:val="20"/>
                <w:szCs w:val="20"/>
                <w:color w:val="auto"/>
              </w:rPr>
            </w:pPr>
            <w:r>
              <w:rPr>
                <w:rFonts w:ascii="Arial" w:cs="Arial" w:eastAsia="Arial" w:hAnsi="Arial"/>
                <w:sz w:val="15"/>
                <w:szCs w:val="15"/>
                <w:b w:val="1"/>
                <w:bCs w:val="1"/>
                <w:color w:val="auto"/>
              </w:rPr>
              <w:t>Depreciation and Amortization for the nine months ended</w:t>
            </w: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rPr>
              <w:t>September 30,</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5"/>
                <w:szCs w:val="15"/>
                <w:b w:val="1"/>
                <w:bCs w:val="1"/>
                <w:color w:val="auto"/>
              </w:rPr>
              <w:t>Portfolio</w:t>
            </w:r>
          </w:p>
        </w:tc>
        <w:tc>
          <w:tcPr>
            <w:tcW w:w="320" w:type="dxa"/>
            <w:vAlign w:val="bottom"/>
          </w:tcPr>
          <w:p>
            <w:pPr>
              <w:spacing w:after="0"/>
              <w:rPr>
                <w:sz w:val="17"/>
                <w:szCs w:val="17"/>
                <w:color w:val="auto"/>
              </w:rPr>
            </w:pPr>
          </w:p>
        </w:tc>
        <w:tc>
          <w:tcPr>
            <w:tcW w:w="1040" w:type="dxa"/>
            <w:vAlign w:val="bottom"/>
          </w:tcPr>
          <w:p>
            <w:pPr>
              <w:jc w:val="right"/>
              <w:ind w:right="437"/>
              <w:spacing w:after="0"/>
              <w:rPr>
                <w:sz w:val="20"/>
                <w:szCs w:val="20"/>
                <w:color w:val="auto"/>
              </w:rPr>
            </w:pPr>
            <w:r>
              <w:rPr>
                <w:rFonts w:ascii="Arial" w:cs="Arial" w:eastAsia="Arial" w:hAnsi="Arial"/>
                <w:sz w:val="15"/>
                <w:szCs w:val="15"/>
                <w:b w:val="1"/>
                <w:bCs w:val="1"/>
                <w:color w:val="auto"/>
              </w:rPr>
              <w:t>2022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38"/>
              <w:spacing w:after="0"/>
              <w:rPr>
                <w:sz w:val="20"/>
                <w:szCs w:val="20"/>
                <w:color w:val="auto"/>
              </w:rPr>
            </w:pPr>
            <w:r>
              <w:rPr>
                <w:rFonts w:ascii="Arial" w:cs="Arial" w:eastAsia="Arial" w:hAnsi="Arial"/>
                <w:sz w:val="15"/>
                <w:szCs w:val="15"/>
                <w:b w:val="1"/>
                <w:bCs w:val="1"/>
                <w:color w:val="auto"/>
              </w:rPr>
              <w:t>2021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17"/>
              <w:spacing w:after="0"/>
              <w:rPr>
                <w:sz w:val="20"/>
                <w:szCs w:val="20"/>
                <w:color w:val="auto"/>
              </w:rPr>
            </w:pPr>
            <w:r>
              <w:rPr>
                <w:rFonts w:ascii="Arial" w:cs="Arial" w:eastAsia="Arial" w:hAnsi="Arial"/>
                <w:sz w:val="15"/>
                <w:szCs w:val="15"/>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(in thousands)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Same Property Portfolio (1)</w:t>
            </w:r>
          </w:p>
        </w:tc>
        <w:tc>
          <w:tcPr>
            <w:tcW w:w="32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493,588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498,760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(5,172)</w:t>
            </w: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7"/>
                <w:szCs w:val="17"/>
                <w:color w:val="auto"/>
              </w:rPr>
              <w:t>Properties Acquired Portfolio</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25,735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4,735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21,000</w:t>
            </w:r>
          </w:p>
        </w:tc>
      </w:tr>
      <w:tr>
        <w:trPr>
          <w:trHeight w:val="216"/>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Properties Placed In-Service Portfolio (2)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24,050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w:t>
            </w: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7"/>
                <w:szCs w:val="17"/>
                <w:color w:val="auto"/>
              </w:rPr>
              <w:t>Properties in Development or Redevelopment Portfolio</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3,329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1,826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1,503</w:t>
            </w:r>
          </w:p>
        </w:tc>
      </w:tr>
      <w:tr>
        <w:trPr>
          <w:trHeight w:val="216"/>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Properties Sold Portfolio</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6,138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10,444</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(4,306)</w:t>
            </w:r>
          </w:p>
        </w:tc>
      </w:tr>
      <w:tr>
        <w:trPr>
          <w:trHeight w:val="208"/>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32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551,445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539,815</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11,630</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_____________</w:t>
      </w:r>
    </w:p>
    <w:p>
      <w:pPr>
        <w:spacing w:after="0" w:line="26" w:lineRule="exact"/>
        <w:rPr>
          <w:sz w:val="20"/>
          <w:szCs w:val="20"/>
          <w:color w:val="auto"/>
        </w:rPr>
      </w:pPr>
    </w:p>
    <w:p>
      <w:pPr>
        <w:ind w:left="540" w:hanging="310"/>
        <w:spacing w:after="0" w:line="254" w:lineRule="auto"/>
        <w:tabs>
          <w:tab w:leader="none" w:pos="536" w:val="left"/>
        </w:tabs>
        <w:numPr>
          <w:ilvl w:val="0"/>
          <w:numId w:val="41"/>
        </w:numPr>
        <w:rPr>
          <w:rFonts w:ascii="Arial" w:cs="Arial" w:eastAsia="Arial" w:hAnsi="Arial"/>
          <w:sz w:val="15"/>
          <w:szCs w:val="15"/>
          <w:color w:val="auto"/>
        </w:rPr>
      </w:pPr>
      <w:r>
        <w:rPr>
          <w:rFonts w:ascii="Arial" w:cs="Arial" w:eastAsia="Arial" w:hAnsi="Arial"/>
          <w:sz w:val="15"/>
          <w:szCs w:val="15"/>
          <w:color w:val="auto"/>
        </w:rPr>
        <w:t>During the nine months ended September 30, 2021, we commenced redevelopment of View Boston Observatory at The Prudential Center, a 59,000 net rentable square foot redevelopment of the top three floors of 800 Boylston Street - The Prudential Center, located in Boston, Massachusetts. As a result, during the nine months ended September 30, 2021, we recorded approximately $2.6 million of accelerated depreciation expense for the demolition of the space, of which approximately $0.8 million related to the step-up of real estate assets.</w:t>
      </w:r>
    </w:p>
    <w:p>
      <w:pPr>
        <w:spacing w:after="0" w:line="1" w:lineRule="exact"/>
        <w:rPr>
          <w:rFonts w:ascii="Arial" w:cs="Arial" w:eastAsia="Arial" w:hAnsi="Arial"/>
          <w:sz w:val="15"/>
          <w:szCs w:val="15"/>
          <w:color w:val="auto"/>
        </w:rPr>
      </w:pPr>
    </w:p>
    <w:p>
      <w:pPr>
        <w:ind w:left="540" w:right="820" w:hanging="310"/>
        <w:spacing w:after="0" w:line="272" w:lineRule="auto"/>
        <w:tabs>
          <w:tab w:leader="none" w:pos="536" w:val="left"/>
        </w:tabs>
        <w:numPr>
          <w:ilvl w:val="0"/>
          <w:numId w:val="41"/>
        </w:numPr>
        <w:rPr>
          <w:rFonts w:ascii="Arial" w:cs="Arial" w:eastAsia="Arial" w:hAnsi="Arial"/>
          <w:sz w:val="15"/>
          <w:szCs w:val="15"/>
          <w:color w:val="auto"/>
        </w:rPr>
      </w:pPr>
      <w:r>
        <w:rPr>
          <w:rFonts w:ascii="Arial" w:cs="Arial" w:eastAsia="Arial" w:hAnsi="Arial"/>
          <w:sz w:val="15"/>
          <w:szCs w:val="15"/>
          <w:color w:val="auto"/>
        </w:rPr>
        <w:t>On February 25, 2021, we commenced redevelopment of 880 Winter Street in Waltham, Massachusetts. As a result, during the nine months ended September 30, 2021, we recorded approximately $13.7 million of accelerated depreciation expense for the demolition of a portion of the building.</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BPLP</w:t>
      </w:r>
    </w:p>
    <w:p>
      <w:pPr>
        <w:spacing w:after="0" w:line="96" w:lineRule="exact"/>
        <w:rPr>
          <w:sz w:val="20"/>
          <w:szCs w:val="20"/>
          <w:color w:val="auto"/>
        </w:rPr>
      </w:pPr>
    </w:p>
    <w:p>
      <w:pPr>
        <w:ind w:right="200" w:firstLine="419"/>
        <w:spacing w:after="0" w:line="283" w:lineRule="auto"/>
        <w:rPr>
          <w:sz w:val="20"/>
          <w:szCs w:val="20"/>
          <w:color w:val="auto"/>
        </w:rPr>
      </w:pPr>
      <w:r>
        <w:rPr>
          <w:rFonts w:ascii="Arial" w:cs="Arial" w:eastAsia="Arial" w:hAnsi="Arial"/>
          <w:sz w:val="17"/>
          <w:szCs w:val="17"/>
          <w:color w:val="auto"/>
        </w:rPr>
        <w:t>Depreciation and amortization expense increased by approximately $13.0 million for the nine months ended September 30, 2022 compared to 2021, as detailed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4320" w:type="dxa"/>
            <w:vAlign w:val="bottom"/>
            <w:gridSpan w:val="8"/>
          </w:tcPr>
          <w:p>
            <w:pPr>
              <w:jc w:val="center"/>
              <w:spacing w:after="0"/>
              <w:rPr>
                <w:sz w:val="20"/>
                <w:szCs w:val="20"/>
                <w:color w:val="auto"/>
              </w:rPr>
            </w:pPr>
            <w:r>
              <w:rPr>
                <w:rFonts w:ascii="Arial" w:cs="Arial" w:eastAsia="Arial" w:hAnsi="Arial"/>
                <w:sz w:val="15"/>
                <w:szCs w:val="15"/>
                <w:b w:val="1"/>
                <w:bCs w:val="1"/>
                <w:color w:val="auto"/>
              </w:rPr>
              <w:t>Depreciation and Amortization for the nine months ended</w:t>
            </w: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rPr>
              <w:t>September 30,</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5"/>
                <w:szCs w:val="15"/>
                <w:b w:val="1"/>
                <w:bCs w:val="1"/>
                <w:color w:val="auto"/>
              </w:rPr>
              <w:t>Portfolio</w:t>
            </w:r>
          </w:p>
        </w:tc>
        <w:tc>
          <w:tcPr>
            <w:tcW w:w="320" w:type="dxa"/>
            <w:vAlign w:val="bottom"/>
          </w:tcPr>
          <w:p>
            <w:pPr>
              <w:spacing w:after="0"/>
              <w:rPr>
                <w:sz w:val="17"/>
                <w:szCs w:val="17"/>
                <w:color w:val="auto"/>
              </w:rPr>
            </w:pPr>
          </w:p>
        </w:tc>
        <w:tc>
          <w:tcPr>
            <w:tcW w:w="1040" w:type="dxa"/>
            <w:vAlign w:val="bottom"/>
          </w:tcPr>
          <w:p>
            <w:pPr>
              <w:jc w:val="right"/>
              <w:ind w:right="437"/>
              <w:spacing w:after="0"/>
              <w:rPr>
                <w:sz w:val="20"/>
                <w:szCs w:val="20"/>
                <w:color w:val="auto"/>
              </w:rPr>
            </w:pPr>
            <w:r>
              <w:rPr>
                <w:rFonts w:ascii="Arial" w:cs="Arial" w:eastAsia="Arial" w:hAnsi="Arial"/>
                <w:sz w:val="15"/>
                <w:szCs w:val="15"/>
                <w:b w:val="1"/>
                <w:bCs w:val="1"/>
                <w:color w:val="auto"/>
              </w:rPr>
              <w:t>2022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38"/>
              <w:spacing w:after="0"/>
              <w:rPr>
                <w:sz w:val="20"/>
                <w:szCs w:val="20"/>
                <w:color w:val="auto"/>
              </w:rPr>
            </w:pPr>
            <w:r>
              <w:rPr>
                <w:rFonts w:ascii="Arial" w:cs="Arial" w:eastAsia="Arial" w:hAnsi="Arial"/>
                <w:sz w:val="15"/>
                <w:szCs w:val="15"/>
                <w:b w:val="1"/>
                <w:bCs w:val="1"/>
                <w:color w:val="auto"/>
              </w:rPr>
              <w:t>2021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17"/>
              <w:spacing w:after="0"/>
              <w:rPr>
                <w:sz w:val="20"/>
                <w:szCs w:val="20"/>
                <w:color w:val="auto"/>
              </w:rPr>
            </w:pPr>
            <w:r>
              <w:rPr>
                <w:rFonts w:ascii="Arial" w:cs="Arial" w:eastAsia="Arial" w:hAnsi="Arial"/>
                <w:sz w:val="15"/>
                <w:szCs w:val="15"/>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(in thousands)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Same Property Portfolio (1)</w:t>
            </w:r>
          </w:p>
        </w:tc>
        <w:tc>
          <w:tcPr>
            <w:tcW w:w="32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488,414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492,200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(3,786)</w:t>
            </w: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7"/>
                <w:szCs w:val="17"/>
                <w:color w:val="auto"/>
              </w:rPr>
              <w:t>Properties Acquired Portfolio</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25,735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4,735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21,000</w:t>
            </w:r>
          </w:p>
        </w:tc>
      </w:tr>
      <w:tr>
        <w:trPr>
          <w:trHeight w:val="216"/>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Properties Placed In-Service Portfolio (2)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24,050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w:t>
            </w: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7"/>
                <w:szCs w:val="17"/>
                <w:color w:val="auto"/>
              </w:rPr>
              <w:t>Properties in Development or Redevelopment Portfolio</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3,329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1,826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1,503</w:t>
            </w:r>
          </w:p>
        </w:tc>
      </w:tr>
      <w:tr>
        <w:trPr>
          <w:trHeight w:val="216"/>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Properties Sold Portfolio</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6,138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10,444</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(4,306)</w:t>
            </w:r>
          </w:p>
        </w:tc>
      </w:tr>
      <w:tr>
        <w:trPr>
          <w:trHeight w:val="208"/>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32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546,271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533,255</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13,016</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_____________</w:t>
      </w:r>
    </w:p>
    <w:p>
      <w:pPr>
        <w:spacing w:after="0" w:line="26" w:lineRule="exact"/>
        <w:rPr>
          <w:sz w:val="20"/>
          <w:szCs w:val="20"/>
          <w:color w:val="auto"/>
        </w:rPr>
      </w:pPr>
    </w:p>
    <w:p>
      <w:pPr>
        <w:ind w:left="540" w:hanging="310"/>
        <w:spacing w:after="0" w:line="253" w:lineRule="auto"/>
        <w:tabs>
          <w:tab w:leader="none" w:pos="536" w:val="left"/>
        </w:tabs>
        <w:numPr>
          <w:ilvl w:val="0"/>
          <w:numId w:val="42"/>
        </w:numPr>
        <w:rPr>
          <w:rFonts w:ascii="Arial" w:cs="Arial" w:eastAsia="Arial" w:hAnsi="Arial"/>
          <w:sz w:val="15"/>
          <w:szCs w:val="15"/>
          <w:color w:val="auto"/>
        </w:rPr>
      </w:pPr>
      <w:r>
        <w:rPr>
          <w:rFonts w:ascii="Arial" w:cs="Arial" w:eastAsia="Arial" w:hAnsi="Arial"/>
          <w:sz w:val="15"/>
          <w:szCs w:val="15"/>
          <w:color w:val="auto"/>
        </w:rPr>
        <w:t>During the nine months ended September 30, 2021, we commenced redevelopment of View Boston Observatory at The Prudential Center, a 59,000 net rentable square foot redevelopment of the top three floors of 800 Boylston Street - The Prudential Center, located in Boston, Massachusetts. As a result, during the nine months ended September 30, 2021, we recorded approximately $1.8 million of accelerated depreciation expense for the demolition of the space.</w:t>
      </w:r>
    </w:p>
    <w:p>
      <w:pPr>
        <w:ind w:left="540" w:right="820" w:hanging="310"/>
        <w:spacing w:after="0" w:line="283" w:lineRule="auto"/>
        <w:tabs>
          <w:tab w:leader="none" w:pos="536" w:val="left"/>
        </w:tabs>
        <w:numPr>
          <w:ilvl w:val="0"/>
          <w:numId w:val="42"/>
        </w:numPr>
        <w:rPr>
          <w:rFonts w:ascii="Arial" w:cs="Arial" w:eastAsia="Arial" w:hAnsi="Arial"/>
          <w:sz w:val="15"/>
          <w:szCs w:val="15"/>
          <w:color w:val="auto"/>
        </w:rPr>
      </w:pPr>
      <w:r>
        <w:rPr>
          <w:rFonts w:ascii="Arial" w:cs="Arial" w:eastAsia="Arial" w:hAnsi="Arial"/>
          <w:sz w:val="15"/>
          <w:szCs w:val="15"/>
          <w:color w:val="auto"/>
        </w:rPr>
        <w:t>On February 25, 2021, we commenced redevelopment of 880 Winter Street in Waltham, Massachusetts. As a result, during the nine months ended September 30, 2021, we recorded approximately $13.7 million of accelerated depreciation expense for the demolition of a portion of the building.</w:t>
      </w:r>
    </w:p>
    <w:p>
      <w:pPr>
        <w:spacing w:after="0" w:line="184" w:lineRule="exact"/>
        <w:rPr>
          <w:sz w:val="20"/>
          <w:szCs w:val="20"/>
          <w:color w:val="auto"/>
        </w:rPr>
      </w:pPr>
    </w:p>
    <w:p>
      <w:pPr>
        <w:ind w:right="720" w:firstLine="190"/>
        <w:spacing w:after="0" w:line="293" w:lineRule="auto"/>
        <w:rPr>
          <w:sz w:val="20"/>
          <w:szCs w:val="20"/>
          <w:color w:val="auto"/>
        </w:rPr>
      </w:pPr>
      <w:r>
        <w:rPr>
          <w:rFonts w:ascii="Arial" w:cs="Arial" w:eastAsia="Arial" w:hAnsi="Arial"/>
          <w:sz w:val="17"/>
          <w:szCs w:val="17"/>
          <w:b w:val="1"/>
          <w:bCs w:val="1"/>
          <w:i w:val="1"/>
          <w:iCs w:val="1"/>
          <w:color w:val="auto"/>
        </w:rPr>
        <w:t>Direct Reimbursements of Payroll and Related Costs From Management Services Contracts and Payroll and Related Costs From Management Service Contracts</w:t>
      </w:r>
    </w:p>
    <w:p>
      <w:pPr>
        <w:spacing w:after="0" w:line="18" w:lineRule="exact"/>
        <w:rPr>
          <w:sz w:val="20"/>
          <w:szCs w:val="20"/>
          <w:color w:val="auto"/>
        </w:rPr>
      </w:pPr>
    </w:p>
    <w:p>
      <w:pPr>
        <w:jc w:val="both"/>
        <w:ind w:right="120" w:firstLine="419"/>
        <w:spacing w:after="0" w:line="266" w:lineRule="auto"/>
        <w:rPr>
          <w:sz w:val="20"/>
          <w:szCs w:val="20"/>
          <w:color w:val="auto"/>
        </w:rPr>
      </w:pPr>
      <w:r>
        <w:rPr>
          <w:rFonts w:ascii="Arial" w:cs="Arial" w:eastAsia="Arial" w:hAnsi="Arial"/>
          <w:sz w:val="17"/>
          <w:szCs w:val="17"/>
          <w:color w:val="auto"/>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u w:val="single" w:color="auto"/>
          <w:color w:val="auto"/>
        </w:rPr>
        <w:t>Other Income and Expense Items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Loss from Unconsolidated Joint Ventures</w:t>
      </w:r>
    </w:p>
    <w:p>
      <w:pPr>
        <w:spacing w:after="0" w:line="84" w:lineRule="exact"/>
        <w:rPr>
          <w:sz w:val="20"/>
          <w:szCs w:val="20"/>
          <w:color w:val="auto"/>
        </w:rPr>
      </w:pPr>
    </w:p>
    <w:p>
      <w:pPr>
        <w:ind w:right="260" w:firstLine="419"/>
        <w:spacing w:after="0" w:line="257" w:lineRule="auto"/>
        <w:rPr>
          <w:sz w:val="20"/>
          <w:szCs w:val="20"/>
          <w:color w:val="auto"/>
        </w:rPr>
      </w:pPr>
      <w:r>
        <w:rPr>
          <w:rFonts w:ascii="Arial" w:cs="Arial" w:eastAsia="Arial" w:hAnsi="Arial"/>
          <w:sz w:val="17"/>
          <w:szCs w:val="17"/>
          <w:color w:val="auto"/>
        </w:rPr>
        <w:t>For the nine months ended September 30, 2022 compared to 2021, loss from unconsolidated joint ventures decreased by approximately $0.4 million primarily due to an approximately $10.0 million increase in net income from placing in-service (1) 7750 Wisconsin Avenue (Marriott International Headquarters) in Bethesda, Maryland and (2) 100 Causeway Street in Boston, Massachusetts. This increase was partially offset by a $10.3 million gain on sale of investment from the sale of our Annapolis Junction joint venture interest during the nine months ended September 30, 2021.</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Gains on Sales of Real Estate</w:t>
      </w:r>
    </w:p>
    <w:p>
      <w:pPr>
        <w:spacing w:after="0" w:line="96" w:lineRule="exact"/>
        <w:rPr>
          <w:sz w:val="20"/>
          <w:szCs w:val="20"/>
          <w:color w:val="auto"/>
        </w:rPr>
      </w:pPr>
    </w:p>
    <w:p>
      <w:pPr>
        <w:ind w:firstLine="419"/>
        <w:spacing w:after="0" w:line="257" w:lineRule="auto"/>
        <w:rPr>
          <w:sz w:val="20"/>
          <w:szCs w:val="20"/>
          <w:color w:val="auto"/>
        </w:rPr>
      </w:pPr>
      <w:r>
        <w:rPr>
          <w:rFonts w:ascii="Arial" w:cs="Arial" w:eastAsia="Arial" w:hAnsi="Arial"/>
          <w:sz w:val="17"/>
          <w:szCs w:val="17"/>
          <w:color w:val="auto"/>
        </w:rPr>
        <w:t>Gains on sales of real estate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the gains on sales of real estate when those properties are sold. For additional information, see the Explanatory Note that follows the cover page of this Quarterly Report on Form 10-Q.</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BXP</w:t>
      </w:r>
    </w:p>
    <w:p>
      <w:pPr>
        <w:spacing w:after="0" w:line="96" w:lineRule="exact"/>
        <w:rPr>
          <w:sz w:val="20"/>
          <w:szCs w:val="20"/>
          <w:color w:val="auto"/>
        </w:rPr>
      </w:pPr>
    </w:p>
    <w:p>
      <w:pPr>
        <w:ind w:right="200" w:firstLine="419"/>
        <w:spacing w:after="0" w:line="283" w:lineRule="auto"/>
        <w:rPr>
          <w:sz w:val="20"/>
          <w:szCs w:val="20"/>
          <w:color w:val="auto"/>
        </w:rPr>
      </w:pPr>
      <w:r>
        <w:rPr>
          <w:rFonts w:ascii="Arial" w:cs="Arial" w:eastAsia="Arial" w:hAnsi="Arial"/>
          <w:sz w:val="17"/>
          <w:szCs w:val="17"/>
          <w:color w:val="auto"/>
        </w:rPr>
        <w:t>Gains on sales of real estate increased by approximately $373.2 million for the nine months ended September 30, 2022 compared to 2021, as detailed below.</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4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Date Sold</w:t>
            </w: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Property Type</w:t>
            </w: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Square Feet</w:t>
            </w:r>
          </w:p>
        </w:tc>
        <w:tc>
          <w:tcPr>
            <w:tcW w:w="160" w:type="dxa"/>
            <w:vAlign w:val="bottom"/>
          </w:tcPr>
          <w:p>
            <w:pPr>
              <w:spacing w:after="0"/>
              <w:rPr>
                <w:sz w:val="14"/>
                <w:szCs w:val="14"/>
                <w:color w:val="auto"/>
              </w:rPr>
            </w:pPr>
          </w:p>
        </w:tc>
        <w:tc>
          <w:tcPr>
            <w:tcW w:w="9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Sale Price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Net Cash</w:t>
            </w:r>
          </w:p>
        </w:tc>
        <w:tc>
          <w:tcPr>
            <w:tcW w:w="11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Gain on Sale of</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2400" w:type="dxa"/>
            <w:vAlign w:val="bottom"/>
            <w:gridSpan w:val="2"/>
            <w:vMerge w:val="continue"/>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Proceeds</w:t>
            </w:r>
          </w:p>
        </w:tc>
        <w:tc>
          <w:tcPr>
            <w:tcW w:w="140" w:type="dxa"/>
            <w:vAlign w:val="bottom"/>
          </w:tcPr>
          <w:p>
            <w:pPr>
              <w:spacing w:after="0"/>
              <w:rPr>
                <w:sz w:val="15"/>
                <w:szCs w:val="15"/>
                <w:color w:val="auto"/>
              </w:rPr>
            </w:pPr>
          </w:p>
        </w:tc>
        <w:tc>
          <w:tcPr>
            <w:tcW w:w="980" w:type="dxa"/>
            <w:vAlign w:val="bottom"/>
          </w:tcPr>
          <w:p>
            <w:pPr>
              <w:jc w:val="right"/>
              <w:ind w:right="132"/>
              <w:spacing w:after="0"/>
              <w:rPr>
                <w:sz w:val="20"/>
                <w:szCs w:val="20"/>
                <w:color w:val="auto"/>
              </w:rPr>
            </w:pPr>
            <w:r>
              <w:rPr>
                <w:rFonts w:ascii="Arial" w:cs="Arial" w:eastAsia="Arial" w:hAnsi="Arial"/>
                <w:sz w:val="14"/>
                <w:szCs w:val="14"/>
                <w:b w:val="1"/>
                <w:bCs w:val="1"/>
                <w:color w:val="auto"/>
              </w:rPr>
              <w:t>Real Estate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20" w:type="dxa"/>
            <w:vAlign w:val="bottom"/>
            <w:tcBorders>
              <w:left w:val="single" w:sz="8" w:color="CCEEFF"/>
            </w:tcBorders>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w w:val="89"/>
              </w:rPr>
              <w:t>2022</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CCEEFF"/>
            </w:tcBorders>
            <w:shd w:val="clear" w:color="auto" w:fill="000000"/>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720" w:type="dxa"/>
            <w:vAlign w:val="bottom"/>
            <w:gridSpan w:val="3"/>
          </w:tcPr>
          <w:p>
            <w:pPr>
              <w:ind w:left="20"/>
              <w:spacing w:after="0"/>
              <w:rPr>
                <w:sz w:val="20"/>
                <w:szCs w:val="20"/>
                <w:color w:val="auto"/>
              </w:rPr>
            </w:pPr>
            <w:r>
              <w:rPr>
                <w:rFonts w:ascii="Arial" w:cs="Arial" w:eastAsia="Arial" w:hAnsi="Arial"/>
                <w:sz w:val="14"/>
                <w:szCs w:val="14"/>
                <w:color w:val="auto"/>
              </w:rPr>
              <w:t>195 West Street</w:t>
            </w: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March 31, 2022</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Office</w:t>
            </w:r>
          </w:p>
        </w:tc>
        <w:tc>
          <w:tcPr>
            <w:tcW w:w="1120" w:type="dxa"/>
            <w:vAlign w:val="bottom"/>
          </w:tcPr>
          <w:p>
            <w:pPr>
              <w:jc w:val="right"/>
              <w:spacing w:after="0"/>
              <w:rPr>
                <w:sz w:val="20"/>
                <w:szCs w:val="20"/>
                <w:color w:val="auto"/>
              </w:rPr>
            </w:pPr>
            <w:r>
              <w:rPr>
                <w:rFonts w:ascii="Arial" w:cs="Arial" w:eastAsia="Arial" w:hAnsi="Arial"/>
                <w:sz w:val="14"/>
                <w:szCs w:val="14"/>
                <w:color w:val="auto"/>
              </w:rPr>
              <w:t>63,500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37.7</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22.7</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2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Virginia 95 Office Park</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15, 2022</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Office/Flex</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733,421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20" w:type="dxa"/>
            <w:vAlign w:val="bottom"/>
            <w:gridSpan w:val="3"/>
          </w:tcPr>
          <w:p>
            <w:pPr>
              <w:ind w:left="20"/>
              <w:spacing w:after="0"/>
              <w:rPr>
                <w:sz w:val="20"/>
                <w:szCs w:val="20"/>
                <w:color w:val="auto"/>
              </w:rPr>
            </w:pPr>
            <w:r>
              <w:rPr>
                <w:rFonts w:ascii="Arial" w:cs="Arial" w:eastAsia="Arial" w:hAnsi="Arial"/>
                <w:sz w:val="14"/>
                <w:szCs w:val="14"/>
                <w:color w:val="auto"/>
              </w:rPr>
              <w:t>601 Massachusetts Avenue</w:t>
            </w: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August 30, 2022</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Office</w:t>
            </w:r>
          </w:p>
        </w:tc>
        <w:tc>
          <w:tcPr>
            <w:tcW w:w="1120" w:type="dxa"/>
            <w:vAlign w:val="bottom"/>
          </w:tcPr>
          <w:p>
            <w:pPr>
              <w:jc w:val="right"/>
              <w:spacing w:after="0"/>
              <w:rPr>
                <w:sz w:val="20"/>
                <w:szCs w:val="20"/>
                <w:color w:val="auto"/>
              </w:rPr>
            </w:pPr>
            <w:r>
              <w:rPr>
                <w:rFonts w:ascii="Arial" w:cs="Arial" w:eastAsia="Arial" w:hAnsi="Arial"/>
                <w:sz w:val="14"/>
                <w:szCs w:val="14"/>
                <w:color w:val="auto"/>
              </w:rPr>
              <w:t>478,667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512.3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237.4</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2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Broadrun Land Parcel</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15, 2022</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N/A</w:t>
            </w: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723.2</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695.2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380.7</w:t>
            </w:r>
          </w:p>
        </w:tc>
        <w:tc>
          <w:tcPr>
            <w:tcW w:w="440" w:type="dxa"/>
            <w:vAlign w:val="bottom"/>
          </w:tcPr>
          <w:p>
            <w:pPr>
              <w:jc w:val="right"/>
              <w:ind w:right="192"/>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20" w:type="dxa"/>
            <w:vAlign w:val="bottom"/>
            <w:tcBorders>
              <w:left w:val="single" w:sz="8" w:color="CCEEFF"/>
            </w:tcBorders>
            <w:shd w:val="clear" w:color="auto" w:fill="CCEEFF"/>
          </w:tcPr>
          <w:p>
            <w:pPr>
              <w:ind w:left="20"/>
              <w:spacing w:after="0" w:line="118" w:lineRule="exact"/>
              <w:rPr>
                <w:sz w:val="20"/>
                <w:szCs w:val="20"/>
                <w:color w:val="auto"/>
              </w:rPr>
            </w:pPr>
            <w:r>
              <w:rPr>
                <w:rFonts w:ascii="Arial" w:cs="Arial" w:eastAsia="Arial" w:hAnsi="Arial"/>
                <w:sz w:val="12"/>
                <w:szCs w:val="12"/>
                <w:b w:val="1"/>
                <w:bCs w:val="1"/>
                <w:color w:val="auto"/>
              </w:rPr>
              <w:t>2021</w:t>
            </w:r>
          </w:p>
        </w:tc>
        <w:tc>
          <w:tcPr>
            <w:tcW w:w="2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CCEEFF"/>
            </w:tcBorders>
            <w:shd w:val="clear" w:color="auto" w:fill="000000"/>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72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6595 Springfield Center Drive</w:t>
            </w:r>
          </w:p>
        </w:tc>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December 13, 2018</w:t>
            </w: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Office</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634,000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440" w:type="dxa"/>
            <w:vAlign w:val="bottom"/>
            <w:tcBorders>
              <w:bottom w:val="single" w:sz="8" w:color="CCEEFF"/>
            </w:tcBorders>
          </w:tcPr>
          <w:p>
            <w:pPr>
              <w:jc w:val="right"/>
              <w:ind w:right="192"/>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203"/>
        </w:trPr>
        <w:tc>
          <w:tcPr>
            <w:tcW w:w="320" w:type="dxa"/>
            <w:vAlign w:val="bottom"/>
            <w:tcBorders>
              <w:left w:val="single" w:sz="8" w:color="CCEEFF"/>
            </w:tcBorders>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_____________</w:t>
      </w:r>
    </w:p>
    <w:p>
      <w:pPr>
        <w:spacing w:after="0" w:line="26" w:lineRule="exact"/>
        <w:rPr>
          <w:sz w:val="20"/>
          <w:szCs w:val="20"/>
          <w:color w:val="auto"/>
        </w:rPr>
      </w:pPr>
    </w:p>
    <w:p>
      <w:pPr>
        <w:ind w:left="540" w:right="60" w:hanging="310"/>
        <w:spacing w:after="0" w:line="252" w:lineRule="auto"/>
        <w:tabs>
          <w:tab w:leader="none" w:pos="536" w:val="left"/>
        </w:tabs>
        <w:numPr>
          <w:ilvl w:val="0"/>
          <w:numId w:val="43"/>
        </w:numPr>
        <w:rPr>
          <w:rFonts w:ascii="Arial" w:cs="Arial" w:eastAsia="Arial" w:hAnsi="Arial"/>
          <w:sz w:val="15"/>
          <w:szCs w:val="15"/>
          <w:color w:val="auto"/>
        </w:rPr>
      </w:pPr>
      <w:r>
        <w:rPr>
          <w:rFonts w:ascii="Arial" w:cs="Arial" w:eastAsia="Arial" w:hAnsi="Arial"/>
          <w:sz w:val="15"/>
          <w:szCs w:val="15"/>
          <w:color w:val="auto"/>
        </w:rPr>
        <w:t>Excludes approximately $0.6 million of gains on sales of real estate recognized during the nine months ended September 30, 2022 related to gains on sales of real estate occurring in the prior periods.</w:t>
      </w:r>
    </w:p>
    <w:p>
      <w:pPr>
        <w:spacing w:after="0" w:line="1" w:lineRule="exact"/>
        <w:rPr>
          <w:rFonts w:ascii="Arial" w:cs="Arial" w:eastAsia="Arial" w:hAnsi="Arial"/>
          <w:sz w:val="15"/>
          <w:szCs w:val="15"/>
          <w:color w:val="auto"/>
        </w:rPr>
      </w:pPr>
    </w:p>
    <w:p>
      <w:pPr>
        <w:ind w:left="540" w:right="140" w:hanging="310"/>
        <w:spacing w:after="0" w:line="261" w:lineRule="auto"/>
        <w:tabs>
          <w:tab w:leader="none" w:pos="536" w:val="left"/>
        </w:tabs>
        <w:numPr>
          <w:ilvl w:val="0"/>
          <w:numId w:val="43"/>
        </w:numPr>
        <w:rPr>
          <w:rFonts w:ascii="Arial" w:cs="Arial" w:eastAsia="Arial" w:hAnsi="Arial"/>
          <w:sz w:val="15"/>
          <w:szCs w:val="15"/>
          <w:color w:val="auto"/>
        </w:rPr>
      </w:pPr>
      <w:r>
        <w:rPr>
          <w:rFonts w:ascii="Arial" w:cs="Arial" w:eastAsia="Arial" w:hAnsi="Arial"/>
          <w:sz w:val="15"/>
          <w:szCs w:val="15"/>
          <w:color w:val="auto"/>
        </w:rPr>
        <w:t>On December 13, 2018, we sold our 6595 Springfield Center Drive development project located in Springfield, Virginia. Concurrently with the sale, we agreed to act as development manager and guaranteed the completion of the project. The development project achieved final completion during the third quarter of 2021 at which time the total cost of development was determined to be below the estimated total investment at the time of sale. As a result, we recognized a gain of approximately $8.1 million.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BPLP</w:t>
      </w:r>
    </w:p>
    <w:p>
      <w:pPr>
        <w:spacing w:after="0" w:line="84" w:lineRule="exact"/>
        <w:rPr>
          <w:sz w:val="20"/>
          <w:szCs w:val="20"/>
          <w:color w:val="auto"/>
        </w:rPr>
      </w:pPr>
    </w:p>
    <w:p>
      <w:pPr>
        <w:ind w:right="200" w:firstLine="419"/>
        <w:spacing w:after="0" w:line="283" w:lineRule="auto"/>
        <w:rPr>
          <w:sz w:val="20"/>
          <w:szCs w:val="20"/>
          <w:color w:val="auto"/>
        </w:rPr>
      </w:pPr>
      <w:r>
        <w:rPr>
          <w:rFonts w:ascii="Arial" w:cs="Arial" w:eastAsia="Arial" w:hAnsi="Arial"/>
          <w:sz w:val="17"/>
          <w:szCs w:val="17"/>
          <w:color w:val="auto"/>
        </w:rPr>
        <w:t>Gains on sales of real estate increased by approximately $377.2 million for the nine months ended September 30, 2022 compared to 2021, as detailed below.</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4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Date Sold</w:t>
            </w: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Property Type</w:t>
            </w: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Square Feet</w:t>
            </w:r>
          </w:p>
        </w:tc>
        <w:tc>
          <w:tcPr>
            <w:tcW w:w="160" w:type="dxa"/>
            <w:vAlign w:val="bottom"/>
          </w:tcPr>
          <w:p>
            <w:pPr>
              <w:spacing w:after="0"/>
              <w:rPr>
                <w:sz w:val="14"/>
                <w:szCs w:val="14"/>
                <w:color w:val="auto"/>
              </w:rPr>
            </w:pPr>
          </w:p>
        </w:tc>
        <w:tc>
          <w:tcPr>
            <w:tcW w:w="9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Sale Price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Net Cash</w:t>
            </w:r>
          </w:p>
        </w:tc>
        <w:tc>
          <w:tcPr>
            <w:tcW w:w="11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Gain on Sale of</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0" w:type="dxa"/>
            <w:vAlign w:val="bottom"/>
          </w:tcPr>
          <w:p>
            <w:pPr>
              <w:spacing w:after="0"/>
              <w:rPr>
                <w:sz w:val="15"/>
                <w:szCs w:val="15"/>
                <w:color w:val="auto"/>
              </w:rPr>
            </w:pPr>
          </w:p>
        </w:tc>
        <w:tc>
          <w:tcPr>
            <w:tcW w:w="2400" w:type="dxa"/>
            <w:vAlign w:val="bottom"/>
            <w:gridSpan w:val="2"/>
            <w:vMerge w:val="continue"/>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Proceeds</w:t>
            </w:r>
          </w:p>
        </w:tc>
        <w:tc>
          <w:tcPr>
            <w:tcW w:w="140" w:type="dxa"/>
            <w:vAlign w:val="bottom"/>
          </w:tcPr>
          <w:p>
            <w:pPr>
              <w:spacing w:after="0"/>
              <w:rPr>
                <w:sz w:val="15"/>
                <w:szCs w:val="15"/>
                <w:color w:val="auto"/>
              </w:rPr>
            </w:pPr>
          </w:p>
        </w:tc>
        <w:tc>
          <w:tcPr>
            <w:tcW w:w="980" w:type="dxa"/>
            <w:vAlign w:val="bottom"/>
          </w:tcPr>
          <w:p>
            <w:pPr>
              <w:jc w:val="right"/>
              <w:ind w:right="132"/>
              <w:spacing w:after="0"/>
              <w:rPr>
                <w:sz w:val="20"/>
                <w:szCs w:val="20"/>
                <w:color w:val="auto"/>
              </w:rPr>
            </w:pPr>
            <w:r>
              <w:rPr>
                <w:rFonts w:ascii="Arial" w:cs="Arial" w:eastAsia="Arial" w:hAnsi="Arial"/>
                <w:sz w:val="14"/>
                <w:szCs w:val="14"/>
                <w:b w:val="1"/>
                <w:bCs w:val="1"/>
                <w:color w:val="auto"/>
              </w:rPr>
              <w:t>Real Estate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20" w:type="dxa"/>
            <w:vAlign w:val="bottom"/>
            <w:tcBorders>
              <w:left w:val="single" w:sz="8" w:color="CCEEFF"/>
            </w:tcBorders>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w w:val="89"/>
              </w:rPr>
              <w:t>2022</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CCEEFF"/>
            </w:tcBorders>
            <w:shd w:val="clear" w:color="auto" w:fill="000000"/>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720" w:type="dxa"/>
            <w:vAlign w:val="bottom"/>
            <w:gridSpan w:val="3"/>
          </w:tcPr>
          <w:p>
            <w:pPr>
              <w:ind w:left="20"/>
              <w:spacing w:after="0"/>
              <w:rPr>
                <w:sz w:val="20"/>
                <w:szCs w:val="20"/>
                <w:color w:val="auto"/>
              </w:rPr>
            </w:pPr>
            <w:r>
              <w:rPr>
                <w:rFonts w:ascii="Arial" w:cs="Arial" w:eastAsia="Arial" w:hAnsi="Arial"/>
                <w:sz w:val="14"/>
                <w:szCs w:val="14"/>
                <w:color w:val="auto"/>
              </w:rPr>
              <w:t>195 West Street</w:t>
            </w: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March 31, 2022</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Office</w:t>
            </w:r>
          </w:p>
        </w:tc>
        <w:tc>
          <w:tcPr>
            <w:tcW w:w="1120" w:type="dxa"/>
            <w:vAlign w:val="bottom"/>
          </w:tcPr>
          <w:p>
            <w:pPr>
              <w:jc w:val="right"/>
              <w:spacing w:after="0"/>
              <w:rPr>
                <w:sz w:val="20"/>
                <w:szCs w:val="20"/>
                <w:color w:val="auto"/>
              </w:rPr>
            </w:pPr>
            <w:r>
              <w:rPr>
                <w:rFonts w:ascii="Arial" w:cs="Arial" w:eastAsia="Arial" w:hAnsi="Arial"/>
                <w:sz w:val="14"/>
                <w:szCs w:val="14"/>
                <w:color w:val="auto"/>
              </w:rPr>
              <w:t>63,500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37.7</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23.4</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2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Virginia 95 Office Park</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15, 2022</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Office/Flex</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733,421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20" w:type="dxa"/>
            <w:vAlign w:val="bottom"/>
            <w:gridSpan w:val="3"/>
          </w:tcPr>
          <w:p>
            <w:pPr>
              <w:ind w:left="20"/>
              <w:spacing w:after="0"/>
              <w:rPr>
                <w:sz w:val="20"/>
                <w:szCs w:val="20"/>
                <w:color w:val="auto"/>
              </w:rPr>
            </w:pPr>
            <w:r>
              <w:rPr>
                <w:rFonts w:ascii="Arial" w:cs="Arial" w:eastAsia="Arial" w:hAnsi="Arial"/>
                <w:sz w:val="14"/>
                <w:szCs w:val="14"/>
                <w:color w:val="auto"/>
              </w:rPr>
              <w:t>601 Massachusetts Avenue</w:t>
            </w: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August 30, 2022</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Office</w:t>
            </w:r>
          </w:p>
        </w:tc>
        <w:tc>
          <w:tcPr>
            <w:tcW w:w="1120" w:type="dxa"/>
            <w:vAlign w:val="bottom"/>
          </w:tcPr>
          <w:p>
            <w:pPr>
              <w:jc w:val="right"/>
              <w:spacing w:after="0"/>
              <w:rPr>
                <w:sz w:val="20"/>
                <w:szCs w:val="20"/>
                <w:color w:val="auto"/>
              </w:rPr>
            </w:pPr>
            <w:r>
              <w:rPr>
                <w:rFonts w:ascii="Arial" w:cs="Arial" w:eastAsia="Arial" w:hAnsi="Arial"/>
                <w:sz w:val="14"/>
                <w:szCs w:val="14"/>
                <w:color w:val="auto"/>
              </w:rPr>
              <w:t>478,667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512.3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237.5</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2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Broadrun Land Parcel</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15, 2022</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N/A</w:t>
            </w: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723.2</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695.2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384.8</w:t>
            </w:r>
          </w:p>
        </w:tc>
        <w:tc>
          <w:tcPr>
            <w:tcW w:w="440" w:type="dxa"/>
            <w:vAlign w:val="bottom"/>
          </w:tcPr>
          <w:p>
            <w:pPr>
              <w:jc w:val="right"/>
              <w:ind w:right="192"/>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20" w:type="dxa"/>
            <w:vAlign w:val="bottom"/>
            <w:tcBorders>
              <w:left w:val="single" w:sz="8" w:color="CCEEFF"/>
            </w:tcBorders>
            <w:shd w:val="clear" w:color="auto" w:fill="CCEEFF"/>
          </w:tcPr>
          <w:p>
            <w:pPr>
              <w:ind w:left="20"/>
              <w:spacing w:after="0" w:line="118" w:lineRule="exact"/>
              <w:rPr>
                <w:sz w:val="20"/>
                <w:szCs w:val="20"/>
                <w:color w:val="auto"/>
              </w:rPr>
            </w:pPr>
            <w:r>
              <w:rPr>
                <w:rFonts w:ascii="Arial" w:cs="Arial" w:eastAsia="Arial" w:hAnsi="Arial"/>
                <w:sz w:val="12"/>
                <w:szCs w:val="12"/>
                <w:b w:val="1"/>
                <w:bCs w:val="1"/>
                <w:color w:val="auto"/>
              </w:rPr>
              <w:t>2021</w:t>
            </w:r>
          </w:p>
        </w:tc>
        <w:tc>
          <w:tcPr>
            <w:tcW w:w="2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CCEEFF"/>
            </w:tcBorders>
            <w:shd w:val="clear" w:color="auto" w:fill="000000"/>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72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6595 Springfield Center Drive</w:t>
            </w:r>
          </w:p>
        </w:tc>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December 13, 2018</w:t>
            </w: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Office</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634,000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440" w:type="dxa"/>
            <w:vAlign w:val="bottom"/>
            <w:tcBorders>
              <w:bottom w:val="single" w:sz="8" w:color="CCEEFF"/>
            </w:tcBorders>
          </w:tcPr>
          <w:p>
            <w:pPr>
              <w:jc w:val="right"/>
              <w:ind w:right="192"/>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203"/>
        </w:trPr>
        <w:tc>
          <w:tcPr>
            <w:tcW w:w="320" w:type="dxa"/>
            <w:vAlign w:val="bottom"/>
            <w:tcBorders>
              <w:left w:val="single" w:sz="8" w:color="CCEEFF"/>
            </w:tcBorders>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_____________</w:t>
      </w:r>
    </w:p>
    <w:p>
      <w:pPr>
        <w:spacing w:after="0" w:line="26" w:lineRule="exact"/>
        <w:rPr>
          <w:sz w:val="20"/>
          <w:szCs w:val="20"/>
          <w:color w:val="auto"/>
        </w:rPr>
      </w:pPr>
    </w:p>
    <w:p>
      <w:pPr>
        <w:ind w:left="540" w:right="60" w:hanging="304"/>
        <w:spacing w:after="0" w:line="256" w:lineRule="auto"/>
        <w:rPr>
          <w:sz w:val="20"/>
          <w:szCs w:val="20"/>
          <w:color w:val="auto"/>
        </w:rPr>
      </w:pPr>
      <w:r>
        <w:rPr>
          <w:rFonts w:ascii="Arial" w:cs="Arial" w:eastAsia="Arial" w:hAnsi="Arial"/>
          <w:sz w:val="15"/>
          <w:szCs w:val="15"/>
          <w:color w:val="auto"/>
        </w:rPr>
        <w:t>(1) Excludes approximately $0.5 million of gains on sales of real estate recognized during the nine months ended September 30, 2022 related to gains on sales of real estate occurring in the prior periods.</w:t>
      </w:r>
    </w:p>
    <w:p>
      <w:pPr>
        <w:ind w:left="540" w:right="140" w:hanging="310"/>
        <w:spacing w:after="0" w:line="259" w:lineRule="auto"/>
        <w:tabs>
          <w:tab w:leader="none" w:pos="536" w:val="left"/>
        </w:tabs>
        <w:numPr>
          <w:ilvl w:val="0"/>
          <w:numId w:val="44"/>
        </w:numPr>
        <w:rPr>
          <w:rFonts w:ascii="Arial" w:cs="Arial" w:eastAsia="Arial" w:hAnsi="Arial"/>
          <w:sz w:val="15"/>
          <w:szCs w:val="15"/>
          <w:color w:val="auto"/>
        </w:rPr>
      </w:pPr>
      <w:r>
        <w:rPr>
          <w:rFonts w:ascii="Arial" w:cs="Arial" w:eastAsia="Arial" w:hAnsi="Arial"/>
          <w:sz w:val="15"/>
          <w:szCs w:val="15"/>
          <w:color w:val="auto"/>
        </w:rPr>
        <w:t>On December 13, 2018, we sold our 6595 Springfield Center Drive development project located in Springfield, Virginia. Concurrently with the sale, we agreed to act as development manager and guaranteed the completion of the project. The development project achieved final completion during the third quarter of 2021 at which time the total cost of development was determined to be below the estimated total investment at the time of sale. As a result, we recognized a gain of approximately $8.1 million.</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Interest and Other Income (Loss)</w:t>
      </w:r>
    </w:p>
    <w:p>
      <w:pPr>
        <w:spacing w:after="0" w:line="96" w:lineRule="exact"/>
        <w:rPr>
          <w:sz w:val="20"/>
          <w:szCs w:val="20"/>
          <w:color w:val="auto"/>
        </w:rPr>
      </w:pPr>
    </w:p>
    <w:p>
      <w:pPr>
        <w:ind w:right="60" w:firstLine="419"/>
        <w:spacing w:after="0" w:line="283" w:lineRule="auto"/>
        <w:rPr>
          <w:sz w:val="20"/>
          <w:szCs w:val="20"/>
          <w:color w:val="auto"/>
        </w:rPr>
      </w:pPr>
      <w:r>
        <w:rPr>
          <w:rFonts w:ascii="Arial" w:cs="Arial" w:eastAsia="Arial" w:hAnsi="Arial"/>
          <w:sz w:val="17"/>
          <w:szCs w:val="17"/>
          <w:color w:val="auto"/>
        </w:rPr>
        <w:t>Interest and other income (loss) increased by approximately $2.0 million for the nine months ended September 30, 2022 compared to 2021, due primarily to an increase of approximately $2.0 million in interest income due to increased interest earned on our deposits.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Other Income - Assignment Fee</w:t>
      </w:r>
    </w:p>
    <w:p>
      <w:pPr>
        <w:spacing w:after="0" w:line="84" w:lineRule="exact"/>
        <w:rPr>
          <w:sz w:val="20"/>
          <w:szCs w:val="20"/>
          <w:color w:val="auto"/>
        </w:rPr>
      </w:pPr>
    </w:p>
    <w:p>
      <w:pPr>
        <w:ind w:right="20" w:firstLine="419"/>
        <w:spacing w:after="0" w:line="281" w:lineRule="auto"/>
        <w:rPr>
          <w:sz w:val="20"/>
          <w:szCs w:val="20"/>
          <w:color w:val="auto"/>
        </w:rPr>
      </w:pPr>
      <w:r>
        <w:rPr>
          <w:rFonts w:ascii="Arial" w:cs="Arial" w:eastAsia="Arial" w:hAnsi="Arial"/>
          <w:sz w:val="16"/>
          <w:szCs w:val="16"/>
          <w:color w:val="auto"/>
        </w:rPr>
        <w:t>On April 19, 2021, we entered into an agreement to acquire 11251 Roger Bacon Drive in Reston, Virginia for an aggregate purchase price of approximately $ 5.6 million. On April 7, 2022, we executed an agreement to assign the right to acquire 11251 Roger Bacon Drive to a third party for an assignment fee of approximately $6.9 million. Net cash proceeds totaled approximately $ 6.6 million and is reflected as Other income - assignment fee. 11251 Roger Bacon Drive is an approximately 65,000 square foot office building situated on approximately 2.6 acres. The property was 100% leased.</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Gains (Losses) from Investments in Securities</w:t>
      </w:r>
    </w:p>
    <w:p>
      <w:pPr>
        <w:spacing w:after="0" w:line="96" w:lineRule="exact"/>
        <w:rPr>
          <w:sz w:val="20"/>
          <w:szCs w:val="20"/>
          <w:color w:val="auto"/>
        </w:rPr>
      </w:pPr>
    </w:p>
    <w:p>
      <w:pPr>
        <w:ind w:right="20" w:firstLine="419"/>
        <w:spacing w:after="0" w:line="252" w:lineRule="auto"/>
        <w:rPr>
          <w:sz w:val="20"/>
          <w:szCs w:val="20"/>
          <w:color w:val="auto"/>
        </w:rPr>
      </w:pPr>
      <w:r>
        <w:rPr>
          <w:rFonts w:ascii="Arial" w:cs="Arial" w:eastAsia="Arial" w:hAnsi="Arial"/>
          <w:sz w:val="17"/>
          <w:szCs w:val="17"/>
          <w:color w:val="auto"/>
        </w:rPr>
        <w:t>Gains (losses) from investments in securities for the nine months ended September 30, 2022 and 2021 related to investments that we have made to reduce our market risk relating to deferred compensation plans that we maintain for BXP’s officers and former non-employee directors. Under the deferred compensation plans, each officer or non-employee director who is eligible to participate is permitted to defer a portion of the officer’s current income or the non-employee director’s compensation on a pre-tax basis and receive a tax-deferred return on these deferrals based on the performance of specific investments selected by the officer or non-employee director.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BXP’s officers or former non-employee directors under our deferred compensation plans with equivalent assets and thereby limit our market risk. The performance of these investments is recorded as gains (losses) from investments in securities. During the nine months ended September 30, 2022 and 2021, we recognized gains (losses) of approximately $(8.5) million and $3.7 million, respectively, on these investments. By comparison, our general and administrative expense increased (decreased) by approximately $(8.5) million and $3.7 million during the nine months ended September 30, 2022 and 2021, respectively, as a result of increases (decreases) in our liability under our deferred compensation plans that was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associated with the performance of the specific investments selected by officers and former non-employee directors of BXP participating in the plans.</w:t>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Losses From Early Extinguishment of Debt</w:t>
      </w:r>
    </w:p>
    <w:p>
      <w:pPr>
        <w:spacing w:after="0" w:line="96" w:lineRule="exact"/>
        <w:rPr>
          <w:sz w:val="20"/>
          <w:szCs w:val="20"/>
          <w:color w:val="auto"/>
        </w:rPr>
      </w:pPr>
    </w:p>
    <w:p>
      <w:pPr>
        <w:jc w:val="both"/>
        <w:ind w:right="100" w:firstLine="419"/>
        <w:spacing w:after="0" w:line="260" w:lineRule="auto"/>
        <w:rPr>
          <w:sz w:val="20"/>
          <w:szCs w:val="20"/>
          <w:color w:val="auto"/>
        </w:rPr>
      </w:pPr>
      <w:r>
        <w:rPr>
          <w:rFonts w:ascii="Arial" w:cs="Arial" w:eastAsia="Arial" w:hAnsi="Arial"/>
          <w:sz w:val="17"/>
          <w:szCs w:val="17"/>
          <w:color w:val="auto"/>
        </w:rPr>
        <w:t>On February 14, 2021, BPLP completed the redemption of $850.0 million in aggregate principal amount of its 4.125% senior notes due May 15, 2021. The redemption price was approximately $858.7 million, which was equal to the stated principal plus approximately $8.7 million of accrued and unpaid interest to, but not including, the redemption date. We recognized a loss from early extinguishment of debt totaling approximately $0.4 million related to unamortized origination costs.</w:t>
      </w:r>
    </w:p>
    <w:p>
      <w:pPr>
        <w:spacing w:after="0" w:line="118" w:lineRule="exact"/>
        <w:rPr>
          <w:sz w:val="20"/>
          <w:szCs w:val="20"/>
          <w:color w:val="auto"/>
        </w:rPr>
      </w:pPr>
    </w:p>
    <w:p>
      <w:pPr>
        <w:jc w:val="both"/>
        <w:ind w:right="380" w:firstLine="419"/>
        <w:spacing w:after="0" w:line="266" w:lineRule="auto"/>
        <w:rPr>
          <w:sz w:val="20"/>
          <w:szCs w:val="20"/>
          <w:color w:val="auto"/>
        </w:rPr>
      </w:pPr>
      <w:r>
        <w:rPr>
          <w:rFonts w:ascii="Arial" w:cs="Arial" w:eastAsia="Arial" w:hAnsi="Arial"/>
          <w:sz w:val="17"/>
          <w:szCs w:val="17"/>
          <w:color w:val="auto"/>
        </w:rPr>
        <w:t>On March 16, 2021, BPLP repaid $500.0 million, representing all amounts outstanding on its delayed draw term loan facility (“Delayed Draw Facility”) under its prior unsecured revolving credit agreement (the “2017 Credit Facility”). We recognized a loss from early extinguishment of debt totaling approximately $0.5 million related to the acceleration of remaining unamortized financing costs.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Interest expense decreased by approximately $2.8 million for the nine months ended September 30, 2022 compared to 2021, as detailed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center"/>
              <w:ind w:right="38"/>
              <w:spacing w:after="0"/>
              <w:rPr>
                <w:sz w:val="20"/>
                <w:szCs w:val="20"/>
                <w:color w:val="auto"/>
              </w:rPr>
            </w:pPr>
            <w:r>
              <w:rPr>
                <w:rFonts w:ascii="Arial" w:cs="Arial" w:eastAsia="Arial" w:hAnsi="Arial"/>
                <w:sz w:val="15"/>
                <w:szCs w:val="15"/>
                <w:b w:val="1"/>
                <w:bCs w:val="1"/>
                <w:color w:val="auto"/>
              </w:rPr>
              <w:t>Change in interest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2180" w:type="dxa"/>
            <w:vAlign w:val="bottom"/>
            <w:gridSpan w:val="2"/>
          </w:tcPr>
          <w:p>
            <w:pPr>
              <w:jc w:val="center"/>
              <w:spacing w:after="0" w:line="152" w:lineRule="exact"/>
              <w:rPr>
                <w:sz w:val="20"/>
                <w:szCs w:val="20"/>
                <w:color w:val="auto"/>
              </w:rPr>
            </w:pPr>
            <w:r>
              <w:rPr>
                <w:rFonts w:ascii="Arial" w:cs="Arial" w:eastAsia="Arial" w:hAnsi="Arial"/>
                <w:sz w:val="15"/>
                <w:szCs w:val="15"/>
                <w:b w:val="1"/>
                <w:bCs w:val="1"/>
                <w:color w:val="auto"/>
              </w:rPr>
              <w:t>expense for the nine months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jc w:val="center"/>
              <w:ind w:right="38"/>
              <w:spacing w:after="0" w:line="152" w:lineRule="exact"/>
              <w:rPr>
                <w:sz w:val="20"/>
                <w:szCs w:val="20"/>
                <w:color w:val="auto"/>
              </w:rPr>
            </w:pPr>
            <w:r>
              <w:rPr>
                <w:rFonts w:ascii="Arial" w:cs="Arial" w:eastAsia="Arial" w:hAnsi="Arial"/>
                <w:sz w:val="15"/>
                <w:szCs w:val="15"/>
                <w:b w:val="1"/>
                <w:bCs w:val="1"/>
                <w:color w:val="auto"/>
              </w:rPr>
              <w:t>ended September 30, 2022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0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Component</w:t>
            </w:r>
          </w:p>
        </w:tc>
        <w:tc>
          <w:tcPr>
            <w:tcW w:w="2180" w:type="dxa"/>
            <w:vAlign w:val="bottom"/>
            <w:gridSpan w:val="2"/>
          </w:tcPr>
          <w:p>
            <w:pPr>
              <w:jc w:val="center"/>
              <w:spacing w:after="0" w:line="152" w:lineRule="exact"/>
              <w:rPr>
                <w:sz w:val="20"/>
                <w:szCs w:val="20"/>
                <w:color w:val="auto"/>
              </w:rPr>
            </w:pPr>
            <w:r>
              <w:rPr>
                <w:rFonts w:ascii="Arial" w:cs="Arial" w:eastAsia="Arial" w:hAnsi="Arial"/>
                <w:sz w:val="15"/>
                <w:szCs w:val="15"/>
                <w:b w:val="1"/>
                <w:bCs w:val="1"/>
                <w:color w:val="auto"/>
              </w:rPr>
              <w:t>compared to September 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center"/>
              <w:ind w:right="38"/>
              <w:spacing w:after="0" w:line="164" w:lineRule="exact"/>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jc w:val="center"/>
              <w:ind w:right="38"/>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Increases to interest expense due to:</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00"/>
              <w:spacing w:after="0"/>
              <w:rPr>
                <w:sz w:val="20"/>
                <w:szCs w:val="20"/>
                <w:color w:val="auto"/>
              </w:rPr>
            </w:pPr>
            <w:r>
              <w:rPr>
                <w:rFonts w:ascii="Arial" w:cs="Arial" w:eastAsia="Arial" w:hAnsi="Arial"/>
                <w:sz w:val="17"/>
                <w:szCs w:val="17"/>
                <w:color w:val="auto"/>
              </w:rPr>
              <w:t>Issuance of $850 million in aggregate principal of 2.450% senior notes due 2033 on September 29, 2021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060" w:type="dxa"/>
            <w:vAlign w:val="bottom"/>
          </w:tcPr>
          <w:p>
            <w:pPr>
              <w:jc w:val="right"/>
              <w:spacing w:after="0"/>
              <w:rPr>
                <w:sz w:val="20"/>
                <w:szCs w:val="20"/>
                <w:color w:val="auto"/>
              </w:rPr>
            </w:pPr>
            <w:r>
              <w:rPr>
                <w:rFonts w:ascii="Arial" w:cs="Arial" w:eastAsia="Arial" w:hAnsi="Arial"/>
                <w:sz w:val="17"/>
                <w:szCs w:val="17"/>
                <w:color w:val="auto"/>
              </w:rPr>
              <w:t>15,521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0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Increase in interest associated with unsecured credit facilities and term loans</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00"/>
              <w:spacing w:after="0"/>
              <w:rPr>
                <w:sz w:val="20"/>
                <w:szCs w:val="20"/>
                <w:color w:val="auto"/>
              </w:rPr>
            </w:pPr>
            <w:r>
              <w:rPr>
                <w:rFonts w:ascii="Arial" w:cs="Arial" w:eastAsia="Arial" w:hAnsi="Arial"/>
                <w:sz w:val="17"/>
                <w:szCs w:val="17"/>
                <w:color w:val="auto"/>
              </w:rPr>
              <w:t>Issuance of $850 million in aggregate principal of 2.550% senior notes due 2032 on March 16, 2021</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4,577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0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Amortization expense of financing fees primarily related to the unsecured term loan</w:t>
            </w:r>
          </w:p>
        </w:tc>
        <w:tc>
          <w:tcPr>
            <w:tcW w:w="1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7"/>
                <w:szCs w:val="17"/>
                <w:color w:val="auto"/>
              </w:rPr>
              <w:t>Total increases to interest expense</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31,978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Decreases to interest expense due to:</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00"/>
              <w:spacing w:after="0"/>
              <w:rPr>
                <w:sz w:val="20"/>
                <w:szCs w:val="20"/>
                <w:color w:val="auto"/>
              </w:rPr>
            </w:pPr>
            <w:r>
              <w:rPr>
                <w:rFonts w:ascii="Arial" w:cs="Arial" w:eastAsia="Arial" w:hAnsi="Arial"/>
                <w:sz w:val="17"/>
                <w:szCs w:val="17"/>
                <w:color w:val="auto"/>
              </w:rPr>
              <w:t>Redemption of $1.0 billion in aggregate principal of 3.85% senior notes due 2023 on October 15, 2021</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(29,051)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0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Redemption of $850 million in aggregate principal of 4.125% senior notes due 2021 on February 14, 2021</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00"/>
              <w:spacing w:after="0"/>
              <w:rPr>
                <w:sz w:val="20"/>
                <w:szCs w:val="20"/>
                <w:color w:val="auto"/>
              </w:rPr>
            </w:pPr>
            <w:r>
              <w:rPr>
                <w:rFonts w:ascii="Arial" w:cs="Arial" w:eastAsia="Arial" w:hAnsi="Arial"/>
                <w:sz w:val="17"/>
                <w:szCs w:val="17"/>
                <w:color w:val="auto"/>
              </w:rPr>
              <w:t>Increase in capitalized interest related to development projects</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(855)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0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Other interest expense (excluding senior notes)</w:t>
            </w:r>
          </w:p>
        </w:tc>
        <w:tc>
          <w:tcPr>
            <w:tcW w:w="1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90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Total decreases to interest expense</w:t>
            </w: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(34,777)</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9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change in interest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right="220" w:firstLine="419"/>
        <w:spacing w:after="0" w:line="260" w:lineRule="auto"/>
        <w:rPr>
          <w:sz w:val="20"/>
          <w:szCs w:val="20"/>
          <w:color w:val="auto"/>
        </w:rPr>
      </w:pPr>
      <w:r>
        <w:rPr>
          <w:rFonts w:ascii="Arial" w:cs="Arial" w:eastAsia="Arial" w:hAnsi="Arial"/>
          <w:sz w:val="17"/>
          <w:szCs w:val="17"/>
          <w:color w:val="auto"/>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nine months ended September 30, 2022 and 2021 was approximately $40.0 million and $39.3 million, respectively. These costs are not included in the interest expense referenced above.</w:t>
      </w:r>
    </w:p>
    <w:p>
      <w:pPr>
        <w:spacing w:after="0" w:line="118" w:lineRule="exact"/>
        <w:rPr>
          <w:sz w:val="20"/>
          <w:szCs w:val="20"/>
          <w:color w:val="auto"/>
        </w:rPr>
      </w:pPr>
    </w:p>
    <w:p>
      <w:pPr>
        <w:ind w:right="580" w:firstLine="381"/>
        <w:spacing w:after="0" w:line="266" w:lineRule="auto"/>
        <w:rPr>
          <w:sz w:val="20"/>
          <w:szCs w:val="20"/>
          <w:color w:val="auto"/>
        </w:rPr>
      </w:pPr>
      <w:r>
        <w:rPr>
          <w:rFonts w:ascii="Arial" w:cs="Arial" w:eastAsia="Arial" w:hAnsi="Arial"/>
          <w:sz w:val="17"/>
          <w:szCs w:val="17"/>
          <w:color w:val="auto"/>
        </w:rPr>
        <w:t>We expect our interest expense will be materially greater in 2023 compared to 2022 due to the cessation of capitalized interest on our development deliveries, acquisitions funded by debt, higher interest rates on our floating rate debt, and the impact of refinancing our 2023 debt maturities at materially higher interest rates.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80" w:firstLine="419"/>
        <w:spacing w:after="0" w:line="281" w:lineRule="auto"/>
        <w:rPr>
          <w:sz w:val="20"/>
          <w:szCs w:val="20"/>
          <w:color w:val="auto"/>
        </w:rPr>
      </w:pPr>
      <w:r>
        <w:rPr>
          <w:rFonts w:ascii="Arial" w:cs="Arial" w:eastAsia="Arial" w:hAnsi="Arial"/>
          <w:sz w:val="16"/>
          <w:szCs w:val="16"/>
          <w:color w:val="auto"/>
        </w:rPr>
        <w:t>At September 30, 2022, our variable rate debt consisted of BPLP’s $1.5 billion revolving facility (the “Revolving Facility”) and BPLP’s $730.0 million unsecured credit agreement (the “Unsecured Term Loan”.) The Revolving Facility and Unsecured Term Loan had approximately $1.1 billion outstanding as of September 30, 2022. For a summary of our consolidated debt as of September 30, 2022 and 2021 refer to the heading “</w:t>
      </w:r>
      <w:r>
        <w:rPr>
          <w:rFonts w:ascii="Arial" w:cs="Arial" w:eastAsia="Arial" w:hAnsi="Arial"/>
          <w:sz w:val="16"/>
          <w:szCs w:val="16"/>
          <w:i w:val="1"/>
          <w:iCs w:val="1"/>
          <w:color w:val="auto"/>
        </w:rPr>
        <w:t>Liquidity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Capital Resources—Debt Financing” </w:t>
      </w:r>
      <w:r>
        <w:rPr>
          <w:rFonts w:ascii="Arial" w:cs="Arial" w:eastAsia="Arial" w:hAnsi="Arial"/>
          <w:sz w:val="16"/>
          <w:szCs w:val="16"/>
          <w:color w:val="auto"/>
        </w:rPr>
        <w:t>within “</w:t>
      </w:r>
      <w:r>
        <w:rPr>
          <w:rFonts w:ascii="Arial" w:cs="Arial" w:eastAsia="Arial" w:hAnsi="Arial"/>
          <w:sz w:val="16"/>
          <w:szCs w:val="16"/>
          <w:i w:val="1"/>
          <w:iCs w:val="1"/>
          <w:color w:val="auto"/>
        </w:rPr>
        <w:t>Item 2—Management’s Discussion and Analysis of Financial Condition and Results of Operations.</w:t>
      </w:r>
      <w:r>
        <w:rPr>
          <w:rFonts w:ascii="Arial" w:cs="Arial" w:eastAsia="Arial" w:hAnsi="Arial"/>
          <w:sz w:val="16"/>
          <w:szCs w:val="16"/>
          <w:color w:val="auto"/>
        </w:rPr>
        <w:t>”</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Noncontrolling Interests in Property Partnerships</w:t>
      </w:r>
    </w:p>
    <w:p>
      <w:pPr>
        <w:spacing w:after="0" w:line="84" w:lineRule="exact"/>
        <w:rPr>
          <w:sz w:val="20"/>
          <w:szCs w:val="20"/>
          <w:color w:val="auto"/>
        </w:rPr>
      </w:pPr>
    </w:p>
    <w:p>
      <w:pPr>
        <w:ind w:right="620" w:firstLine="419"/>
        <w:spacing w:after="0" w:line="283" w:lineRule="auto"/>
        <w:rPr>
          <w:sz w:val="20"/>
          <w:szCs w:val="20"/>
          <w:color w:val="auto"/>
        </w:rPr>
      </w:pPr>
      <w:r>
        <w:rPr>
          <w:rFonts w:ascii="Arial" w:cs="Arial" w:eastAsia="Arial" w:hAnsi="Arial"/>
          <w:sz w:val="17"/>
          <w:szCs w:val="17"/>
          <w:color w:val="auto"/>
        </w:rPr>
        <w:t>Noncontrolling interests in property partnerships increased by approximately $2.3 million for the nine months ended September 30, 2022 compared to 2021, as detailed below.</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gridSpan w:val="7"/>
          </w:tcPr>
          <w:p>
            <w:pPr>
              <w:jc w:val="center"/>
              <w:ind w:right="97"/>
              <w:spacing w:after="0"/>
              <w:rPr>
                <w:sz w:val="20"/>
                <w:szCs w:val="20"/>
                <w:color w:val="auto"/>
              </w:rPr>
            </w:pPr>
            <w:r>
              <w:rPr>
                <w:rFonts w:ascii="Arial" w:cs="Arial" w:eastAsia="Arial" w:hAnsi="Arial"/>
                <w:sz w:val="15"/>
                <w:szCs w:val="15"/>
                <w:b w:val="1"/>
                <w:bCs w:val="1"/>
                <w:color w:val="auto"/>
              </w:rPr>
              <w:t>Noncontrolling Interests in Property Partnerships for the nine</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6"/>
          </w:tcPr>
          <w:p>
            <w:pPr>
              <w:jc w:val="center"/>
              <w:ind w:left="938"/>
              <w:spacing w:after="0"/>
              <w:rPr>
                <w:sz w:val="20"/>
                <w:szCs w:val="20"/>
                <w:color w:val="auto"/>
              </w:rPr>
            </w:pPr>
            <w:r>
              <w:rPr>
                <w:rFonts w:ascii="Arial" w:cs="Arial" w:eastAsia="Arial" w:hAnsi="Arial"/>
                <w:sz w:val="15"/>
                <w:szCs w:val="15"/>
                <w:b w:val="1"/>
                <w:bCs w:val="1"/>
                <w:color w:val="auto"/>
              </w:rPr>
              <w:t>months ended September 30,</w:t>
            </w:r>
          </w:p>
        </w:tc>
        <w:tc>
          <w:tcPr>
            <w:tcW w:w="1200" w:type="dxa"/>
            <w:vAlign w:val="bottom"/>
            <w:tcBorders>
              <w:bottom w:val="single" w:sz="8" w:color="auto"/>
            </w:tcBorders>
          </w:tcPr>
          <w:p>
            <w:pPr>
              <w:spacing w:after="0"/>
              <w:rPr>
                <w:sz w:val="17"/>
                <w:szCs w:val="17"/>
                <w:color w:val="auto"/>
              </w:rPr>
            </w:pPr>
          </w:p>
        </w:tc>
      </w:tr>
      <w:tr>
        <w:trPr>
          <w:trHeight w:val="221"/>
        </w:trPr>
        <w:tc>
          <w:tcPr>
            <w:tcW w:w="6320" w:type="dxa"/>
            <w:vAlign w:val="bottom"/>
            <w:gridSpan w:val="3"/>
          </w:tcPr>
          <w:p>
            <w:pPr>
              <w:ind w:left="20"/>
              <w:spacing w:after="0"/>
              <w:rPr>
                <w:sz w:val="20"/>
                <w:szCs w:val="20"/>
                <w:color w:val="auto"/>
              </w:rPr>
            </w:pPr>
            <w:r>
              <w:rPr>
                <w:rFonts w:ascii="Arial" w:cs="Arial" w:eastAsia="Arial" w:hAnsi="Arial"/>
                <w:sz w:val="15"/>
                <w:szCs w:val="15"/>
                <w:b w:val="1"/>
                <w:bCs w:val="1"/>
                <w:color w:val="auto"/>
              </w:rPr>
              <w:t>Property</w:t>
            </w:r>
          </w:p>
        </w:tc>
        <w:tc>
          <w:tcPr>
            <w:tcW w:w="160" w:type="dxa"/>
            <w:vAlign w:val="bottom"/>
          </w:tcPr>
          <w:p>
            <w:pPr>
              <w:spacing w:after="0"/>
              <w:rPr>
                <w:sz w:val="19"/>
                <w:szCs w:val="19"/>
                <w:color w:val="auto"/>
              </w:rPr>
            </w:pPr>
          </w:p>
        </w:tc>
        <w:tc>
          <w:tcPr>
            <w:tcW w:w="1300" w:type="dxa"/>
            <w:vAlign w:val="bottom"/>
          </w:tcPr>
          <w:p>
            <w:pPr>
              <w:jc w:val="right"/>
              <w:ind w:right="478"/>
              <w:spacing w:after="0"/>
              <w:rPr>
                <w:sz w:val="20"/>
                <w:szCs w:val="20"/>
                <w:color w:val="auto"/>
              </w:rPr>
            </w:pPr>
            <w:r>
              <w:rPr>
                <w:rFonts w:ascii="Arial" w:cs="Arial" w:eastAsia="Arial" w:hAnsi="Arial"/>
                <w:sz w:val="15"/>
                <w:szCs w:val="15"/>
                <w:b w:val="1"/>
                <w:bCs w:val="1"/>
                <w:color w:val="auto"/>
              </w:rPr>
              <w:t>2022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98"/>
              <w:spacing w:after="0"/>
              <w:rPr>
                <w:sz w:val="20"/>
                <w:szCs w:val="20"/>
                <w:color w:val="auto"/>
              </w:rPr>
            </w:pPr>
            <w:r>
              <w:rPr>
                <w:rFonts w:ascii="Arial" w:cs="Arial" w:eastAsia="Arial" w:hAnsi="Arial"/>
                <w:sz w:val="15"/>
                <w:szCs w:val="15"/>
                <w:b w:val="1"/>
                <w:bCs w:val="1"/>
                <w:color w:val="auto"/>
              </w:rPr>
              <w:t>2021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77"/>
              <w:spacing w:after="0"/>
              <w:rPr>
                <w:sz w:val="20"/>
                <w:szCs w:val="20"/>
                <w:color w:val="auto"/>
              </w:rPr>
            </w:pPr>
            <w:r>
              <w:rPr>
                <w:rFonts w:ascii="Arial" w:cs="Arial" w:eastAsia="Arial" w:hAnsi="Arial"/>
                <w:sz w:val="15"/>
                <w:szCs w:val="15"/>
                <w:b w:val="1"/>
                <w:bCs w:val="1"/>
                <w:color w:val="auto"/>
              </w:rPr>
              <w:t>Change</w:t>
            </w:r>
          </w:p>
        </w:tc>
      </w:tr>
      <w:tr>
        <w:trPr>
          <w:trHeight w:val="196"/>
        </w:trPr>
        <w:tc>
          <w:tcPr>
            <w:tcW w:w="320" w:type="dxa"/>
            <w:vAlign w:val="bottom"/>
            <w:tcBorders>
              <w:top w:val="single" w:sz="8" w:color="auto"/>
            </w:tcBorders>
          </w:tcPr>
          <w:p>
            <w:pPr>
              <w:spacing w:after="0"/>
              <w:rPr>
                <w:sz w:val="17"/>
                <w:szCs w:val="17"/>
                <w:color w:val="auto"/>
              </w:rPr>
            </w:pPr>
          </w:p>
        </w:tc>
        <w:tc>
          <w:tcPr>
            <w:tcW w:w="5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5"/>
                <w:szCs w:val="15"/>
                <w:b w:val="1"/>
                <w:bCs w:val="1"/>
                <w:color w:val="auto"/>
              </w:rPr>
              <w:t>(in thousands)</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16"/>
        </w:trPr>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767</w:t>
            </w: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Fifth Avenue (the General Motors Building)</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w:t>
            </w:r>
          </w:p>
        </w:tc>
      </w:tr>
      <w:tr>
        <w:trPr>
          <w:trHeight w:val="216"/>
        </w:trPr>
        <w:tc>
          <w:tcPr>
            <w:tcW w:w="6320" w:type="dxa"/>
            <w:vAlign w:val="bottom"/>
            <w:gridSpan w:val="3"/>
          </w:tcPr>
          <w:p>
            <w:pPr>
              <w:ind w:left="20"/>
              <w:spacing w:after="0"/>
              <w:rPr>
                <w:sz w:val="20"/>
                <w:szCs w:val="20"/>
                <w:color w:val="auto"/>
              </w:rPr>
            </w:pPr>
            <w:r>
              <w:rPr>
                <w:rFonts w:ascii="Arial" w:cs="Arial" w:eastAsia="Arial" w:hAnsi="Arial"/>
                <w:sz w:val="17"/>
                <w:szCs w:val="17"/>
                <w:color w:val="auto"/>
              </w:rPr>
              <w:t>Times Square Tower</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15,394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14,915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479</w:t>
            </w:r>
          </w:p>
        </w:tc>
      </w:tr>
      <w:tr>
        <w:trPr>
          <w:trHeight w:val="216"/>
        </w:trPr>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601</w:t>
            </w: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Lexington Avenue (1)</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(1,964)</w:t>
            </w:r>
          </w:p>
        </w:tc>
      </w:tr>
      <w:tr>
        <w:trPr>
          <w:trHeight w:val="216"/>
        </w:trPr>
        <w:tc>
          <w:tcPr>
            <w:tcW w:w="320" w:type="dxa"/>
            <w:vAlign w:val="bottom"/>
          </w:tcPr>
          <w:p>
            <w:pPr>
              <w:ind w:left="20"/>
              <w:spacing w:after="0"/>
              <w:rPr>
                <w:sz w:val="20"/>
                <w:szCs w:val="20"/>
                <w:color w:val="auto"/>
              </w:rPr>
            </w:pPr>
            <w:r>
              <w:rPr>
                <w:rFonts w:ascii="Arial" w:cs="Arial" w:eastAsia="Arial" w:hAnsi="Arial"/>
                <w:sz w:val="17"/>
                <w:szCs w:val="17"/>
                <w:color w:val="auto"/>
                <w:w w:val="98"/>
              </w:rPr>
              <w:t>100</w:t>
            </w:r>
          </w:p>
        </w:tc>
        <w:tc>
          <w:tcPr>
            <w:tcW w:w="6000" w:type="dxa"/>
            <w:vAlign w:val="bottom"/>
            <w:gridSpan w:val="2"/>
          </w:tcPr>
          <w:p>
            <w:pPr>
              <w:ind w:left="20"/>
              <w:spacing w:after="0"/>
              <w:rPr>
                <w:sz w:val="20"/>
                <w:szCs w:val="20"/>
                <w:color w:val="auto"/>
              </w:rPr>
            </w:pPr>
            <w:r>
              <w:rPr>
                <w:rFonts w:ascii="Arial" w:cs="Arial" w:eastAsia="Arial" w:hAnsi="Arial"/>
                <w:sz w:val="17"/>
                <w:szCs w:val="17"/>
                <w:color w:val="auto"/>
              </w:rPr>
              <w:t>Federal Street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9,814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10,211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(397)</w:t>
            </w:r>
          </w:p>
        </w:tc>
      </w:tr>
      <w:tr>
        <w:trPr>
          <w:trHeight w:val="216"/>
        </w:trPr>
        <w:tc>
          <w:tcPr>
            <w:tcW w:w="63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Atlantic Wharf Office Building (2)</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11,069</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7,358</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3,711</w:t>
            </w:r>
          </w:p>
        </w:tc>
      </w:tr>
      <w:tr>
        <w:trPr>
          <w:trHeight w:val="208"/>
        </w:trPr>
        <w:tc>
          <w:tcPr>
            <w:tcW w:w="3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54,896</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52,602</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2,294</w:t>
            </w:r>
          </w:p>
        </w:tc>
      </w:tr>
      <w:tr>
        <w:trPr>
          <w:trHeight w:val="20"/>
        </w:trPr>
        <w:tc>
          <w:tcPr>
            <w:tcW w:w="3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_____________</w:t>
      </w:r>
    </w:p>
    <w:p>
      <w:pPr>
        <w:spacing w:after="0" w:line="26" w:lineRule="exact"/>
        <w:rPr>
          <w:sz w:val="20"/>
          <w:szCs w:val="20"/>
          <w:color w:val="auto"/>
        </w:rPr>
      </w:pPr>
    </w:p>
    <w:p>
      <w:pPr>
        <w:ind w:left="540" w:hanging="310"/>
        <w:spacing w:after="0"/>
        <w:tabs>
          <w:tab w:leader="none" w:pos="5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decrease was primarily attributable to an increase in operating expenses.</w:t>
      </w:r>
    </w:p>
    <w:p>
      <w:pPr>
        <w:spacing w:after="0" w:line="5" w:lineRule="exact"/>
        <w:rPr>
          <w:rFonts w:ascii="Arial" w:cs="Arial" w:eastAsia="Arial" w:hAnsi="Arial"/>
          <w:sz w:val="15"/>
          <w:szCs w:val="15"/>
          <w:color w:val="auto"/>
        </w:rPr>
      </w:pPr>
    </w:p>
    <w:p>
      <w:pPr>
        <w:ind w:left="540" w:hanging="310"/>
        <w:spacing w:after="0"/>
        <w:tabs>
          <w:tab w:leader="none" w:pos="5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increase was primarily attributable to an increase in lease revenue from our clients.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Noncontrolling Interest—Common Units of the Operating Partnership</w:t>
      </w:r>
    </w:p>
    <w:p>
      <w:pPr>
        <w:spacing w:after="0" w:line="96" w:lineRule="exact"/>
        <w:rPr>
          <w:sz w:val="20"/>
          <w:szCs w:val="20"/>
          <w:color w:val="auto"/>
        </w:rPr>
      </w:pPr>
    </w:p>
    <w:p>
      <w:pPr>
        <w:ind w:right="120" w:firstLine="419"/>
        <w:spacing w:after="0" w:line="266" w:lineRule="auto"/>
        <w:rPr>
          <w:sz w:val="20"/>
          <w:szCs w:val="20"/>
          <w:color w:val="auto"/>
        </w:rPr>
      </w:pPr>
      <w:r>
        <w:rPr>
          <w:rFonts w:ascii="Arial" w:cs="Arial" w:eastAsia="Arial" w:hAnsi="Arial"/>
          <w:sz w:val="17"/>
          <w:szCs w:val="17"/>
          <w:color w:val="auto"/>
        </w:rPr>
        <w:t>For BXP, noncontrolling interest—common units of the Operating Partnership increased by approximately $47.4 million for the nine months ended September 30, 2022 compared to 2021 due primarily to an increase in allocable income, which was the result of recognizing a greater gain on sales of real estate amount during 2022. Due to our ownership structure, there is no corresponding line item on BPLP’s financial statements.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Preferred Stock/Unit Redemption Charge</w:t>
      </w:r>
    </w:p>
    <w:p>
      <w:pPr>
        <w:spacing w:after="0" w:line="84" w:lineRule="exact"/>
        <w:rPr>
          <w:sz w:val="20"/>
          <w:szCs w:val="20"/>
          <w:color w:val="auto"/>
        </w:rPr>
      </w:pPr>
    </w:p>
    <w:p>
      <w:pPr>
        <w:ind w:right="220" w:firstLine="419"/>
        <w:spacing w:after="0" w:line="253" w:lineRule="auto"/>
        <w:rPr>
          <w:sz w:val="20"/>
          <w:szCs w:val="20"/>
          <w:color w:val="auto"/>
        </w:rPr>
      </w:pPr>
      <w:r>
        <w:rPr>
          <w:rFonts w:ascii="Arial" w:cs="Arial" w:eastAsia="Arial" w:hAnsi="Arial"/>
          <w:sz w:val="17"/>
          <w:szCs w:val="17"/>
          <w:color w:val="auto"/>
        </w:rPr>
        <w:t>On March 2, 2021, BXP issued a redemption notice for 80,000 shares of its Series B Preferred Stock, which constituted all of the outstanding Series B Preferred Stock, and the corresponding Depositary Shares, each representing 1/100th of a share of Series B Preferred Stock. The redemption price per share of Series B Preferred Stock was $2,500, plus all accrued and unpaid dividend to, but not including, the redemption date, totaling $2,516.41 per share. On March 31, 2021, we transferred the full redemption price for all outstanding shares of Series B Preferred Stock of approximately $201.3 million, including approximately $1.3 million of accrued and unpaid dividends to, but not including, the redemption date, to the redemption agent. The excess of the redemption price over the carrying value of the Series B Preferred Stock and Series B Preferred Units of approximately $6.4 million relates to the original issuance costs and is reflected as a reduction to Net Income Attributable to Boston Properties, Inc. common shareholders and Net Income Attributable to Boston Properties Limited Partnership common unitholders on the Consolidated Income Statement.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the Three Months Ended September 30, 2022 and 2021</w:t>
      </w:r>
    </w:p>
    <w:p>
      <w:pPr>
        <w:spacing w:after="0" w:line="96" w:lineRule="exact"/>
        <w:rPr>
          <w:sz w:val="20"/>
          <w:szCs w:val="20"/>
          <w:color w:val="auto"/>
        </w:rPr>
      </w:pPr>
    </w:p>
    <w:p>
      <w:pPr>
        <w:ind w:right="100" w:firstLine="406"/>
        <w:spacing w:after="0" w:line="260" w:lineRule="auto"/>
        <w:rPr>
          <w:sz w:val="20"/>
          <w:szCs w:val="20"/>
          <w:color w:val="auto"/>
        </w:rPr>
      </w:pPr>
      <w:r>
        <w:rPr>
          <w:rFonts w:ascii="Arial" w:cs="Arial" w:eastAsia="Arial" w:hAnsi="Arial"/>
          <w:sz w:val="17"/>
          <w:szCs w:val="17"/>
          <w:color w:val="auto"/>
        </w:rPr>
        <w:t>Net income attributable to Boston Properties, Inc. and net income attributable to Boston Properties Limited Partnership increased approximately $252.7 million and $281.6 million for the three months ended September 30, 2022 compared to 2021, respectively, as detailed in the following tables and for the reasons discussed below under the heading “</w:t>
      </w:r>
      <w:r>
        <w:rPr>
          <w:rFonts w:ascii="Arial" w:cs="Arial" w:eastAsia="Arial" w:hAnsi="Arial"/>
          <w:sz w:val="17"/>
          <w:szCs w:val="17"/>
          <w:i w:val="1"/>
          <w:iCs w:val="1"/>
          <w:color w:val="auto"/>
        </w:rPr>
        <w:t>Comparison of the three months ended September 30, 2022 to the three months ended</w:t>
      </w:r>
      <w:r>
        <w:rPr>
          <w:rFonts w:ascii="Arial" w:cs="Arial" w:eastAsia="Arial" w:hAnsi="Arial"/>
          <w:sz w:val="17"/>
          <w:szCs w:val="17"/>
          <w:color w:val="auto"/>
        </w:rPr>
        <w:t xml:space="preserve"> </w:t>
      </w:r>
      <w:r>
        <w:rPr>
          <w:rFonts w:ascii="Arial" w:cs="Arial" w:eastAsia="Arial" w:hAnsi="Arial"/>
          <w:sz w:val="17"/>
          <w:szCs w:val="17"/>
          <w:i w:val="1"/>
          <w:iCs w:val="1"/>
          <w:color w:val="auto"/>
        </w:rPr>
        <w:t>September 30, 2021” within “Item 2—Management’s Discussion and Analysis of Financial Condition and Results of Operations.</w:t>
      </w:r>
      <w:r>
        <w:rPr>
          <w:rFonts w:ascii="Arial" w:cs="Arial" w:eastAsia="Arial" w:hAnsi="Arial"/>
          <w:sz w:val="17"/>
          <w:szCs w:val="17"/>
          <w:color w:val="auto"/>
        </w:rPr>
        <w:t>”</w:t>
      </w:r>
    </w:p>
    <w:p>
      <w:pPr>
        <w:spacing w:after="0" w:line="118" w:lineRule="exact"/>
        <w:rPr>
          <w:sz w:val="20"/>
          <w:szCs w:val="20"/>
          <w:color w:val="auto"/>
        </w:rPr>
      </w:pPr>
    </w:p>
    <w:p>
      <w:pPr>
        <w:ind w:right="120" w:firstLine="419"/>
        <w:spacing w:after="0" w:line="266" w:lineRule="auto"/>
        <w:rPr>
          <w:sz w:val="20"/>
          <w:szCs w:val="20"/>
          <w:color w:val="auto"/>
        </w:rPr>
      </w:pPr>
      <w:r>
        <w:rPr>
          <w:rFonts w:ascii="Arial" w:cs="Arial" w:eastAsia="Arial" w:hAnsi="Arial"/>
          <w:sz w:val="17"/>
          <w:szCs w:val="17"/>
          <w:color w:val="auto"/>
        </w:rPr>
        <w:t>The following are reconciliations of Net Income Attributable to Boston Properties, Inc. to Net Operating Income and Net Income Attributable to Boston Properties Limited Partnership to Net Operating Income for the three months ended September 30, 2022 and 2021. For a detailed discussion of NOI, including the reasons management believes NOI is useful to investors, see page 68.</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BXP</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7"/>
          </w:tcPr>
          <w:p>
            <w:pPr>
              <w:ind w:left="40"/>
              <w:spacing w:after="0"/>
              <w:rPr>
                <w:sz w:val="20"/>
                <w:szCs w:val="20"/>
                <w:color w:val="auto"/>
              </w:rPr>
            </w:pPr>
            <w:r>
              <w:rPr>
                <w:rFonts w:ascii="Arial" w:cs="Arial" w:eastAsia="Arial" w:hAnsi="Arial"/>
                <w:sz w:val="15"/>
                <w:szCs w:val="15"/>
                <w:b w:val="1"/>
                <w:bCs w:val="1"/>
                <w:color w:val="auto"/>
              </w:rPr>
              <w:t>Three months ended September 30,</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6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center"/>
              <w:ind w:right="520"/>
              <w:spacing w:after="0" w:line="146" w:lineRule="exact"/>
              <w:rPr>
                <w:sz w:val="20"/>
                <w:szCs w:val="20"/>
                <w:color w:val="auto"/>
              </w:rPr>
            </w:pPr>
            <w:r>
              <w:rPr>
                <w:rFonts w:ascii="Arial" w:cs="Arial" w:eastAsia="Arial" w:hAnsi="Arial"/>
                <w:sz w:val="15"/>
                <w:szCs w:val="15"/>
                <w:b w:val="1"/>
                <w:bCs w:val="1"/>
                <w:color w:val="auto"/>
              </w:rPr>
              <w:t>Increase/</w:t>
            </w:r>
          </w:p>
        </w:tc>
        <w:tc>
          <w:tcPr>
            <w:tcW w:w="1120" w:type="dxa"/>
            <w:vAlign w:val="bottom"/>
          </w:tcPr>
          <w:p>
            <w:pPr>
              <w:jc w:val="right"/>
              <w:ind w:right="564"/>
              <w:spacing w:after="0" w:line="146"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5"/>
                <w:szCs w:val="15"/>
                <w:b w:val="1"/>
                <w:bCs w:val="1"/>
                <w:color w:val="auto"/>
              </w:rPr>
              <w:t>(Decrease)</w:t>
            </w: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gridSpan w:val="6"/>
          </w:tcPr>
          <w:p>
            <w:pPr>
              <w:ind w:left="540"/>
              <w:spacing w:after="0"/>
              <w:rPr>
                <w:sz w:val="20"/>
                <w:szCs w:val="20"/>
                <w:color w:val="auto"/>
              </w:rPr>
            </w:pPr>
            <w:r>
              <w:rPr>
                <w:rFonts w:ascii="Arial" w:cs="Arial" w:eastAsia="Arial" w:hAnsi="Arial"/>
                <w:sz w:val="15"/>
                <w:szCs w:val="15"/>
                <w:b w:val="1"/>
                <w:bCs w:val="1"/>
                <w:color w:val="auto"/>
              </w:rPr>
              <w:t>(in thousands)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Attributable to Boston Properties, Inc.</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360,977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108,297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252,680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233.32 %</w:t>
            </w:r>
          </w:p>
        </w:tc>
        <w:tc>
          <w:tcPr>
            <w:tcW w:w="0" w:type="dxa"/>
            <w:vAlign w:val="bottom"/>
          </w:tcPr>
          <w:p>
            <w:pPr>
              <w:spacing w:after="0"/>
              <w:rPr>
                <w:sz w:val="1"/>
                <w:szCs w:val="1"/>
                <w:color w:val="auto"/>
              </w:rPr>
            </w:pPr>
          </w:p>
        </w:tc>
      </w:tr>
      <w:tr>
        <w:trPr>
          <w:trHeight w:val="202"/>
        </w:trPr>
        <w:tc>
          <w:tcPr>
            <w:tcW w:w="6140" w:type="dxa"/>
            <w:vAlign w:val="bottom"/>
          </w:tcPr>
          <w:p>
            <w:pPr>
              <w:ind w:left="20"/>
              <w:spacing w:after="0"/>
              <w:rPr>
                <w:sz w:val="20"/>
                <w:szCs w:val="20"/>
                <w:color w:val="auto"/>
              </w:rPr>
            </w:pPr>
            <w:r>
              <w:rPr>
                <w:rFonts w:ascii="Arial" w:cs="Arial" w:eastAsia="Arial" w:hAnsi="Arial"/>
                <w:sz w:val="15"/>
                <w:szCs w:val="15"/>
                <w:color w:val="auto"/>
              </w:rPr>
              <w:t>Net Income Attributable to Noncontrolling Interests: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Noncontrolling interest—common units of the Operating Partnership</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40,883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11,982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28,901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241.20 %</w:t>
            </w:r>
          </w:p>
        </w:tc>
        <w:tc>
          <w:tcPr>
            <w:tcW w:w="0" w:type="dxa"/>
            <w:vAlign w:val="bottom"/>
          </w:tcPr>
          <w:p>
            <w:pPr>
              <w:spacing w:after="0"/>
              <w:rPr>
                <w:sz w:val="1"/>
                <w:szCs w:val="1"/>
                <w:color w:val="auto"/>
              </w:rPr>
            </w:pPr>
          </w:p>
        </w:tc>
      </w:tr>
      <w:tr>
        <w:trPr>
          <w:trHeight w:val="202"/>
        </w:trPr>
        <w:tc>
          <w:tcPr>
            <w:tcW w:w="61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Noncontrolling interests in property partnerships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18,801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18,971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(0.90)%</w:t>
            </w:r>
          </w:p>
        </w:tc>
        <w:tc>
          <w:tcPr>
            <w:tcW w:w="0" w:type="dxa"/>
            <w:vAlign w:val="bottom"/>
          </w:tcPr>
          <w:p>
            <w:pPr>
              <w:spacing w:after="0"/>
              <w:rPr>
                <w:sz w:val="1"/>
                <w:szCs w:val="1"/>
                <w:color w:val="auto"/>
              </w:rPr>
            </w:pPr>
          </w:p>
        </w:tc>
      </w:tr>
      <w:tr>
        <w:trPr>
          <w:trHeight w:val="197"/>
        </w:trPr>
        <w:tc>
          <w:tcPr>
            <w:tcW w:w="6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420,661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139,250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281,411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202.09 %</w:t>
            </w:r>
          </w:p>
        </w:tc>
        <w:tc>
          <w:tcPr>
            <w:tcW w:w="0" w:type="dxa"/>
            <w:vAlign w:val="bottom"/>
          </w:tcPr>
          <w:p>
            <w:pPr>
              <w:spacing w:after="0"/>
              <w:rPr>
                <w:sz w:val="1"/>
                <w:szCs w:val="1"/>
                <w:color w:val="auto"/>
              </w:rPr>
            </w:pPr>
          </w:p>
        </w:tc>
      </w:tr>
      <w:tr>
        <w:trPr>
          <w:trHeight w:val="202"/>
        </w:trPr>
        <w:tc>
          <w:tcPr>
            <w:tcW w:w="6140" w:type="dxa"/>
            <w:vAlign w:val="bottom"/>
          </w:tcPr>
          <w:p>
            <w:pPr>
              <w:ind w:left="20"/>
              <w:spacing w:after="0"/>
              <w:rPr>
                <w:sz w:val="20"/>
                <w:szCs w:val="20"/>
                <w:color w:val="auto"/>
              </w:rPr>
            </w:pPr>
            <w:r>
              <w:rPr>
                <w:rFonts w:ascii="Arial" w:cs="Arial" w:eastAsia="Arial" w:hAnsi="Arial"/>
                <w:sz w:val="15"/>
                <w:szCs w:val="15"/>
                <w:color w:val="auto"/>
              </w:rPr>
              <w:t>Other Expenses: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40" w:type="dxa"/>
            <w:vAlign w:val="bottom"/>
          </w:tcPr>
          <w:p>
            <w:pPr>
              <w:ind w:left="320"/>
              <w:spacing w:after="0"/>
              <w:rPr>
                <w:sz w:val="20"/>
                <w:szCs w:val="20"/>
                <w:color w:val="auto"/>
              </w:rPr>
            </w:pPr>
            <w:r>
              <w:rPr>
                <w:rFonts w:ascii="Arial" w:cs="Arial" w:eastAsia="Arial" w:hAnsi="Arial"/>
                <w:sz w:val="15"/>
                <w:szCs w:val="15"/>
                <w:color w:val="auto"/>
              </w:rPr>
              <w:t>Interest expense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111,846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105,794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6,052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5.72 %</w:t>
            </w:r>
          </w:p>
        </w:tc>
        <w:tc>
          <w:tcPr>
            <w:tcW w:w="0" w:type="dxa"/>
            <w:vAlign w:val="bottom"/>
          </w:tcPr>
          <w:p>
            <w:pPr>
              <w:spacing w:after="0"/>
              <w:rPr>
                <w:sz w:val="1"/>
                <w:szCs w:val="1"/>
                <w:color w:val="auto"/>
              </w:rPr>
            </w:pPr>
          </w:p>
        </w:tc>
      </w:tr>
      <w:tr>
        <w:trPr>
          <w:trHeight w:val="204"/>
        </w:trPr>
        <w:tc>
          <w:tcPr>
            <w:tcW w:w="61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Losses from investments in securities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1,381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726.84 %</w:t>
            </w:r>
          </w:p>
        </w:tc>
        <w:tc>
          <w:tcPr>
            <w:tcW w:w="0" w:type="dxa"/>
            <w:vAlign w:val="bottom"/>
          </w:tcPr>
          <w:p>
            <w:pPr>
              <w:spacing w:after="0"/>
              <w:rPr>
                <w:sz w:val="1"/>
                <w:szCs w:val="1"/>
                <w:color w:val="auto"/>
              </w:rPr>
            </w:pPr>
          </w:p>
        </w:tc>
      </w:tr>
      <w:tr>
        <w:trPr>
          <w:trHeight w:val="202"/>
        </w:trPr>
        <w:tc>
          <w:tcPr>
            <w:tcW w:w="6140" w:type="dxa"/>
            <w:vAlign w:val="bottom"/>
          </w:tcPr>
          <w:p>
            <w:pPr>
              <w:ind w:left="320"/>
              <w:spacing w:after="0"/>
              <w:rPr>
                <w:sz w:val="20"/>
                <w:szCs w:val="20"/>
                <w:color w:val="auto"/>
              </w:rPr>
            </w:pPr>
            <w:r>
              <w:rPr>
                <w:rFonts w:ascii="Arial" w:cs="Arial" w:eastAsia="Arial" w:hAnsi="Arial"/>
                <w:sz w:val="15"/>
                <w:szCs w:val="15"/>
                <w:color w:val="auto"/>
              </w:rPr>
              <w:t>Loss from unconsolidated joint ventures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3,524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5,597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(2,073)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(37.04)%</w:t>
            </w:r>
          </w:p>
        </w:tc>
        <w:tc>
          <w:tcPr>
            <w:tcW w:w="0" w:type="dxa"/>
            <w:vAlign w:val="bottom"/>
          </w:tcPr>
          <w:p>
            <w:pPr>
              <w:spacing w:after="0"/>
              <w:rPr>
                <w:sz w:val="1"/>
                <w:szCs w:val="1"/>
                <w:color w:val="auto"/>
              </w:rPr>
            </w:pPr>
          </w:p>
        </w:tc>
      </w:tr>
      <w:tr>
        <w:trPr>
          <w:trHeight w:val="204"/>
        </w:trPr>
        <w:tc>
          <w:tcPr>
            <w:tcW w:w="6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40" w:type="dxa"/>
            <w:vAlign w:val="bottom"/>
          </w:tcPr>
          <w:p>
            <w:pPr>
              <w:ind w:left="20"/>
              <w:spacing w:after="0"/>
              <w:rPr>
                <w:sz w:val="20"/>
                <w:szCs w:val="20"/>
                <w:color w:val="auto"/>
              </w:rPr>
            </w:pPr>
            <w:r>
              <w:rPr>
                <w:rFonts w:ascii="Arial" w:cs="Arial" w:eastAsia="Arial" w:hAnsi="Arial"/>
                <w:sz w:val="15"/>
                <w:szCs w:val="15"/>
                <w:color w:val="auto"/>
              </w:rPr>
              <w:t>Less: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Interest and other income (loss)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145.26 %</w:t>
            </w:r>
          </w:p>
        </w:tc>
        <w:tc>
          <w:tcPr>
            <w:tcW w:w="0" w:type="dxa"/>
            <w:vAlign w:val="bottom"/>
          </w:tcPr>
          <w:p>
            <w:pPr>
              <w:spacing w:after="0"/>
              <w:rPr>
                <w:sz w:val="1"/>
                <w:szCs w:val="1"/>
                <w:color w:val="auto"/>
              </w:rPr>
            </w:pPr>
          </w:p>
        </w:tc>
      </w:tr>
      <w:tr>
        <w:trPr>
          <w:trHeight w:val="202"/>
        </w:trPr>
        <w:tc>
          <w:tcPr>
            <w:tcW w:w="6140" w:type="dxa"/>
            <w:vAlign w:val="bottom"/>
          </w:tcPr>
          <w:p>
            <w:pPr>
              <w:ind w:left="320"/>
              <w:spacing w:after="0"/>
              <w:rPr>
                <w:sz w:val="20"/>
                <w:szCs w:val="20"/>
                <w:color w:val="auto"/>
              </w:rPr>
            </w:pPr>
            <w:r>
              <w:rPr>
                <w:rFonts w:ascii="Arial" w:cs="Arial" w:eastAsia="Arial" w:hAnsi="Arial"/>
                <w:sz w:val="15"/>
                <w:szCs w:val="15"/>
                <w:color w:val="auto"/>
              </w:rPr>
              <w:t>Gains on sales of real estate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262,345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348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261,997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75,286.49 %</w:t>
            </w:r>
          </w:p>
        </w:tc>
        <w:tc>
          <w:tcPr>
            <w:tcW w:w="0" w:type="dxa"/>
            <w:vAlign w:val="bottom"/>
          </w:tcPr>
          <w:p>
            <w:pPr>
              <w:spacing w:after="0"/>
              <w:rPr>
                <w:sz w:val="1"/>
                <w:szCs w:val="1"/>
                <w:color w:val="auto"/>
              </w:rPr>
            </w:pPr>
          </w:p>
        </w:tc>
      </w:tr>
      <w:tr>
        <w:trPr>
          <w:trHeight w:val="204"/>
        </w:trPr>
        <w:tc>
          <w:tcPr>
            <w:tcW w:w="6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Expenses: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40" w:type="dxa"/>
            <w:vAlign w:val="bottom"/>
          </w:tcPr>
          <w:p>
            <w:pPr>
              <w:ind w:left="20"/>
              <w:spacing w:after="0"/>
              <w:rPr>
                <w:sz w:val="20"/>
                <w:szCs w:val="20"/>
                <w:color w:val="auto"/>
              </w:rPr>
            </w:pPr>
            <w:r>
              <w:rPr>
                <w:rFonts w:ascii="Arial" w:cs="Arial" w:eastAsia="Arial" w:hAnsi="Arial"/>
                <w:sz w:val="15"/>
                <w:szCs w:val="15"/>
                <w:color w:val="auto"/>
              </w:rPr>
              <w:t>Add: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Depreciation and amortization expense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190,675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179,412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11,263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6.28 %</w:t>
            </w:r>
          </w:p>
        </w:tc>
        <w:tc>
          <w:tcPr>
            <w:tcW w:w="0" w:type="dxa"/>
            <w:vAlign w:val="bottom"/>
          </w:tcPr>
          <w:p>
            <w:pPr>
              <w:spacing w:after="0"/>
              <w:rPr>
                <w:sz w:val="1"/>
                <w:szCs w:val="1"/>
                <w:color w:val="auto"/>
              </w:rPr>
            </w:pPr>
          </w:p>
        </w:tc>
      </w:tr>
      <w:tr>
        <w:trPr>
          <w:trHeight w:val="202"/>
        </w:trPr>
        <w:tc>
          <w:tcPr>
            <w:tcW w:w="6140" w:type="dxa"/>
            <w:vAlign w:val="bottom"/>
          </w:tcPr>
          <w:p>
            <w:pPr>
              <w:ind w:left="320"/>
              <w:spacing w:after="0"/>
              <w:rPr>
                <w:sz w:val="20"/>
                <w:szCs w:val="20"/>
                <w:color w:val="auto"/>
              </w:rPr>
            </w:pPr>
            <w:r>
              <w:rPr>
                <w:rFonts w:ascii="Arial" w:cs="Arial" w:eastAsia="Arial" w:hAnsi="Arial"/>
                <w:sz w:val="15"/>
                <w:szCs w:val="15"/>
                <w:color w:val="auto"/>
              </w:rPr>
              <w:t>Transaction costs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1,888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(12.61)%</w:t>
            </w:r>
          </w:p>
        </w:tc>
        <w:tc>
          <w:tcPr>
            <w:tcW w:w="0" w:type="dxa"/>
            <w:vAlign w:val="bottom"/>
          </w:tcPr>
          <w:p>
            <w:pPr>
              <w:spacing w:after="0"/>
              <w:rPr>
                <w:sz w:val="1"/>
                <w:szCs w:val="1"/>
                <w:color w:val="auto"/>
              </w:rPr>
            </w:pPr>
          </w:p>
        </w:tc>
      </w:tr>
      <w:tr>
        <w:trPr>
          <w:trHeight w:val="204"/>
        </w:trPr>
        <w:tc>
          <w:tcPr>
            <w:tcW w:w="61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Payroll and related costs from management services contracts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894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29.74 %</w:t>
            </w:r>
          </w:p>
        </w:tc>
        <w:tc>
          <w:tcPr>
            <w:tcW w:w="0" w:type="dxa"/>
            <w:vAlign w:val="bottom"/>
          </w:tcPr>
          <w:p>
            <w:pPr>
              <w:spacing w:after="0"/>
              <w:rPr>
                <w:sz w:val="1"/>
                <w:szCs w:val="1"/>
                <w:color w:val="auto"/>
              </w:rPr>
            </w:pPr>
          </w:p>
        </w:tc>
      </w:tr>
      <w:tr>
        <w:trPr>
          <w:trHeight w:val="202"/>
        </w:trPr>
        <w:tc>
          <w:tcPr>
            <w:tcW w:w="6140" w:type="dxa"/>
            <w:vAlign w:val="bottom"/>
          </w:tcPr>
          <w:p>
            <w:pPr>
              <w:ind w:left="320"/>
              <w:spacing w:after="0"/>
              <w:rPr>
                <w:sz w:val="20"/>
                <w:szCs w:val="20"/>
                <w:color w:val="auto"/>
              </w:rPr>
            </w:pPr>
            <w:r>
              <w:rPr>
                <w:rFonts w:ascii="Arial" w:cs="Arial" w:eastAsia="Arial" w:hAnsi="Arial"/>
                <w:sz w:val="15"/>
                <w:szCs w:val="15"/>
                <w:color w:val="auto"/>
              </w:rPr>
              <w:t>General and administrative expense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32,519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34,560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(5.91)%</w:t>
            </w:r>
          </w:p>
        </w:tc>
        <w:tc>
          <w:tcPr>
            <w:tcW w:w="0" w:type="dxa"/>
            <w:vAlign w:val="bottom"/>
          </w:tcPr>
          <w:p>
            <w:pPr>
              <w:spacing w:after="0"/>
              <w:rPr>
                <w:sz w:val="1"/>
                <w:szCs w:val="1"/>
                <w:color w:val="auto"/>
              </w:rPr>
            </w:pPr>
          </w:p>
        </w:tc>
      </w:tr>
      <w:tr>
        <w:trPr>
          <w:trHeight w:val="204"/>
        </w:trPr>
        <w:tc>
          <w:tcPr>
            <w:tcW w:w="6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Revenue: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40" w:type="dxa"/>
            <w:vAlign w:val="bottom"/>
          </w:tcPr>
          <w:p>
            <w:pPr>
              <w:ind w:left="20"/>
              <w:spacing w:after="0"/>
              <w:rPr>
                <w:sz w:val="20"/>
                <w:szCs w:val="20"/>
                <w:color w:val="auto"/>
              </w:rPr>
            </w:pPr>
            <w:r>
              <w:rPr>
                <w:rFonts w:ascii="Arial" w:cs="Arial" w:eastAsia="Arial" w:hAnsi="Arial"/>
                <w:sz w:val="15"/>
                <w:szCs w:val="15"/>
                <w:color w:val="auto"/>
              </w:rPr>
              <w:t>Less: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6140" w:type="dxa"/>
            <w:vAlign w:val="bottom"/>
            <w:shd w:val="clear" w:color="auto" w:fill="CCEEFF"/>
          </w:tcPr>
          <w:p>
            <w:pPr>
              <w:ind w:left="320"/>
              <w:spacing w:after="0" w:line="154" w:lineRule="exact"/>
              <w:rPr>
                <w:sz w:val="20"/>
                <w:szCs w:val="20"/>
                <w:color w:val="auto"/>
              </w:rPr>
            </w:pPr>
            <w:r>
              <w:rPr>
                <w:rFonts w:ascii="Arial" w:cs="Arial" w:eastAsia="Arial" w:hAnsi="Arial"/>
                <w:sz w:val="15"/>
                <w:szCs w:val="15"/>
                <w:color w:val="auto"/>
              </w:rPr>
              <w:t>Direct reimbursements of payroll and related costs from management services</w:t>
            </w:r>
          </w:p>
        </w:tc>
        <w:tc>
          <w:tcPr>
            <w:tcW w:w="2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3,900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3,006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894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29.74 %</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480"/>
              <w:spacing w:after="0"/>
              <w:rPr>
                <w:sz w:val="20"/>
                <w:szCs w:val="20"/>
                <w:color w:val="auto"/>
              </w:rPr>
            </w:pPr>
            <w:r>
              <w:rPr>
                <w:rFonts w:ascii="Arial" w:cs="Arial" w:eastAsia="Arial" w:hAnsi="Arial"/>
                <w:sz w:val="15"/>
                <w:szCs w:val="15"/>
                <w:color w:val="auto"/>
              </w:rPr>
              <w:t>contracts</w:t>
            </w:r>
          </w:p>
        </w:tc>
        <w:tc>
          <w:tcPr>
            <w:tcW w:w="2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Development and management services revenue</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7,465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6,094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1,371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22.50 %</w:t>
            </w:r>
          </w:p>
        </w:tc>
        <w:tc>
          <w:tcPr>
            <w:tcW w:w="0" w:type="dxa"/>
            <w:vAlign w:val="bottom"/>
          </w:tcPr>
          <w:p>
            <w:pPr>
              <w:spacing w:after="0"/>
              <w:rPr>
                <w:sz w:val="1"/>
                <w:szCs w:val="1"/>
                <w:color w:val="auto"/>
              </w:rPr>
            </w:pPr>
          </w:p>
        </w:tc>
      </w:tr>
      <w:tr>
        <w:trPr>
          <w:trHeight w:val="222"/>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Operating Income</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488,908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458,729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30,179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6.58 %</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BPLP</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7"/>
          </w:tcPr>
          <w:p>
            <w:pPr>
              <w:ind w:left="20"/>
              <w:spacing w:after="0"/>
              <w:rPr>
                <w:sz w:val="20"/>
                <w:szCs w:val="20"/>
                <w:color w:val="auto"/>
              </w:rPr>
            </w:pPr>
            <w:r>
              <w:rPr>
                <w:rFonts w:ascii="Arial" w:cs="Arial" w:eastAsia="Arial" w:hAnsi="Arial"/>
                <w:sz w:val="15"/>
                <w:szCs w:val="15"/>
                <w:b w:val="1"/>
                <w:bCs w:val="1"/>
                <w:color w:val="auto"/>
              </w:rPr>
              <w:t>Three months ended September 30,</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6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center"/>
              <w:ind w:right="520"/>
              <w:spacing w:after="0" w:line="146" w:lineRule="exact"/>
              <w:rPr>
                <w:sz w:val="20"/>
                <w:szCs w:val="20"/>
                <w:color w:val="auto"/>
              </w:rPr>
            </w:pPr>
            <w:r>
              <w:rPr>
                <w:rFonts w:ascii="Arial" w:cs="Arial" w:eastAsia="Arial" w:hAnsi="Arial"/>
                <w:sz w:val="15"/>
                <w:szCs w:val="15"/>
                <w:b w:val="1"/>
                <w:bCs w:val="1"/>
                <w:color w:val="auto"/>
              </w:rPr>
              <w:t>Increase/</w:t>
            </w:r>
          </w:p>
        </w:tc>
        <w:tc>
          <w:tcPr>
            <w:tcW w:w="1100" w:type="dxa"/>
            <w:vAlign w:val="bottom"/>
          </w:tcPr>
          <w:p>
            <w:pPr>
              <w:jc w:val="right"/>
              <w:ind w:right="524"/>
              <w:spacing w:after="0" w:line="146"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5"/>
                <w:szCs w:val="15"/>
                <w:b w:val="1"/>
                <w:bCs w:val="1"/>
                <w:color w:val="auto"/>
              </w:rPr>
              <w:t>(Decrease)</w:t>
            </w:r>
          </w:p>
        </w:tc>
        <w:tc>
          <w:tcPr>
            <w:tcW w:w="110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6"/>
          </w:tcPr>
          <w:p>
            <w:pPr>
              <w:ind w:left="560"/>
              <w:spacing w:after="0"/>
              <w:rPr>
                <w:sz w:val="20"/>
                <w:szCs w:val="20"/>
                <w:color w:val="auto"/>
              </w:rPr>
            </w:pPr>
            <w:r>
              <w:rPr>
                <w:rFonts w:ascii="Arial" w:cs="Arial" w:eastAsia="Arial" w:hAnsi="Arial"/>
                <w:sz w:val="15"/>
                <w:szCs w:val="15"/>
                <w:b w:val="1"/>
                <w:bCs w:val="1"/>
                <w:color w:val="auto"/>
              </w:rPr>
              <w:t>(in thousands)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Attributable to Boston Properties Limited Partnership</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403,578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122,014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281,564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230.76 %</w:t>
            </w:r>
          </w:p>
        </w:tc>
        <w:tc>
          <w:tcPr>
            <w:tcW w:w="0" w:type="dxa"/>
            <w:vAlign w:val="bottom"/>
          </w:tcPr>
          <w:p>
            <w:pPr>
              <w:spacing w:after="0"/>
              <w:rPr>
                <w:sz w:val="1"/>
                <w:szCs w:val="1"/>
                <w:color w:val="auto"/>
              </w:rPr>
            </w:pPr>
          </w:p>
        </w:tc>
      </w:tr>
      <w:tr>
        <w:trPr>
          <w:trHeight w:val="202"/>
        </w:trPr>
        <w:tc>
          <w:tcPr>
            <w:tcW w:w="6140" w:type="dxa"/>
            <w:vAlign w:val="bottom"/>
          </w:tcPr>
          <w:p>
            <w:pPr>
              <w:ind w:left="20"/>
              <w:spacing w:after="0"/>
              <w:rPr>
                <w:sz w:val="20"/>
                <w:szCs w:val="20"/>
                <w:color w:val="auto"/>
              </w:rPr>
            </w:pPr>
            <w:r>
              <w:rPr>
                <w:rFonts w:ascii="Arial" w:cs="Arial" w:eastAsia="Arial" w:hAnsi="Arial"/>
                <w:sz w:val="15"/>
                <w:szCs w:val="15"/>
                <w:color w:val="auto"/>
              </w:rPr>
              <w:t>Net Income Attributable to Noncontrolling Interests: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Noncontrolling interests in property partnerships</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18,801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18,971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(0.90)%</w:t>
            </w:r>
          </w:p>
        </w:tc>
        <w:tc>
          <w:tcPr>
            <w:tcW w:w="0" w:type="dxa"/>
            <w:vAlign w:val="bottom"/>
          </w:tcPr>
          <w:p>
            <w:pPr>
              <w:spacing w:after="0"/>
              <w:rPr>
                <w:sz w:val="1"/>
                <w:szCs w:val="1"/>
                <w:color w:val="auto"/>
              </w:rPr>
            </w:pPr>
          </w:p>
        </w:tc>
      </w:tr>
      <w:tr>
        <w:trPr>
          <w:trHeight w:val="194"/>
        </w:trPr>
        <w:tc>
          <w:tcPr>
            <w:tcW w:w="61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60" w:type="dxa"/>
            <w:vAlign w:val="bottom"/>
          </w:tcPr>
          <w:p>
            <w:pPr>
              <w:spacing w:after="0"/>
              <w:rPr>
                <w:sz w:val="16"/>
                <w:szCs w:val="16"/>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422,379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140,985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281,394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199.59 %</w:t>
            </w:r>
          </w:p>
        </w:tc>
        <w:tc>
          <w:tcPr>
            <w:tcW w:w="0" w:type="dxa"/>
            <w:vAlign w:val="bottom"/>
          </w:tcPr>
          <w:p>
            <w:pPr>
              <w:spacing w:after="0"/>
              <w:rPr>
                <w:sz w:val="1"/>
                <w:szCs w:val="1"/>
                <w:color w:val="auto"/>
              </w:rPr>
            </w:pPr>
          </w:p>
        </w:tc>
      </w:tr>
      <w:tr>
        <w:trPr>
          <w:trHeight w:val="204"/>
        </w:trPr>
        <w:tc>
          <w:tcPr>
            <w:tcW w:w="6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Expenses: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40" w:type="dxa"/>
            <w:vAlign w:val="bottom"/>
          </w:tcPr>
          <w:p>
            <w:pPr>
              <w:ind w:left="20"/>
              <w:spacing w:after="0"/>
              <w:rPr>
                <w:sz w:val="20"/>
                <w:szCs w:val="20"/>
                <w:color w:val="auto"/>
              </w:rPr>
            </w:pPr>
            <w:r>
              <w:rPr>
                <w:rFonts w:ascii="Arial" w:cs="Arial" w:eastAsia="Arial" w:hAnsi="Arial"/>
                <w:sz w:val="15"/>
                <w:szCs w:val="15"/>
                <w:color w:val="auto"/>
              </w:rPr>
              <w:t>Add: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Interest expense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111,846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105,794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6,052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5.72 %</w:t>
            </w:r>
          </w:p>
        </w:tc>
        <w:tc>
          <w:tcPr>
            <w:tcW w:w="0" w:type="dxa"/>
            <w:vAlign w:val="bottom"/>
          </w:tcPr>
          <w:p>
            <w:pPr>
              <w:spacing w:after="0"/>
              <w:rPr>
                <w:sz w:val="1"/>
                <w:szCs w:val="1"/>
                <w:color w:val="auto"/>
              </w:rPr>
            </w:pPr>
          </w:p>
        </w:tc>
      </w:tr>
      <w:tr>
        <w:trPr>
          <w:trHeight w:val="202"/>
        </w:trPr>
        <w:tc>
          <w:tcPr>
            <w:tcW w:w="6140" w:type="dxa"/>
            <w:vAlign w:val="bottom"/>
          </w:tcPr>
          <w:p>
            <w:pPr>
              <w:ind w:left="320"/>
              <w:spacing w:after="0"/>
              <w:rPr>
                <w:sz w:val="20"/>
                <w:szCs w:val="20"/>
                <w:color w:val="auto"/>
              </w:rPr>
            </w:pPr>
            <w:r>
              <w:rPr>
                <w:rFonts w:ascii="Arial" w:cs="Arial" w:eastAsia="Arial" w:hAnsi="Arial"/>
                <w:sz w:val="15"/>
                <w:szCs w:val="15"/>
                <w:color w:val="auto"/>
              </w:rPr>
              <w:t>Losses from investments in securities</w:t>
            </w:r>
          </w:p>
        </w:tc>
        <w:tc>
          <w:tcPr>
            <w:tcW w:w="26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1,571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726.84 %</w:t>
            </w:r>
          </w:p>
        </w:tc>
        <w:tc>
          <w:tcPr>
            <w:tcW w:w="0" w:type="dxa"/>
            <w:vAlign w:val="bottom"/>
          </w:tcPr>
          <w:p>
            <w:pPr>
              <w:spacing w:after="0"/>
              <w:rPr>
                <w:sz w:val="1"/>
                <w:szCs w:val="1"/>
                <w:color w:val="auto"/>
              </w:rPr>
            </w:pPr>
          </w:p>
        </w:tc>
      </w:tr>
      <w:tr>
        <w:trPr>
          <w:trHeight w:val="204"/>
        </w:trPr>
        <w:tc>
          <w:tcPr>
            <w:tcW w:w="61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Loss from unconsolidated joint ventures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(37.04)%</w:t>
            </w:r>
          </w:p>
        </w:tc>
        <w:tc>
          <w:tcPr>
            <w:tcW w:w="0" w:type="dxa"/>
            <w:vAlign w:val="bottom"/>
          </w:tcPr>
          <w:p>
            <w:pPr>
              <w:spacing w:after="0"/>
              <w:rPr>
                <w:sz w:val="1"/>
                <w:szCs w:val="1"/>
                <w:color w:val="auto"/>
              </w:rPr>
            </w:pPr>
          </w:p>
        </w:tc>
      </w:tr>
      <w:tr>
        <w:trPr>
          <w:trHeight w:val="202"/>
        </w:trPr>
        <w:tc>
          <w:tcPr>
            <w:tcW w:w="6140" w:type="dxa"/>
            <w:vAlign w:val="bottom"/>
          </w:tcPr>
          <w:p>
            <w:pPr>
              <w:ind w:left="20"/>
              <w:spacing w:after="0"/>
              <w:rPr>
                <w:sz w:val="20"/>
                <w:szCs w:val="20"/>
                <w:color w:val="auto"/>
              </w:rPr>
            </w:pPr>
            <w:r>
              <w:rPr>
                <w:rFonts w:ascii="Arial" w:cs="Arial" w:eastAsia="Arial" w:hAnsi="Arial"/>
                <w:sz w:val="15"/>
                <w:szCs w:val="15"/>
                <w:color w:val="auto"/>
              </w:rPr>
              <w:t>Other Income: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40" w:type="dxa"/>
            <w:vAlign w:val="bottom"/>
          </w:tcPr>
          <w:p>
            <w:pPr>
              <w:ind w:left="320"/>
              <w:spacing w:after="0"/>
              <w:rPr>
                <w:sz w:val="20"/>
                <w:szCs w:val="20"/>
                <w:color w:val="auto"/>
              </w:rPr>
            </w:pPr>
            <w:r>
              <w:rPr>
                <w:rFonts w:ascii="Arial" w:cs="Arial" w:eastAsia="Arial" w:hAnsi="Arial"/>
                <w:sz w:val="15"/>
                <w:szCs w:val="15"/>
                <w:color w:val="auto"/>
              </w:rPr>
              <w:t>Interest and other income (loss)</w:t>
            </w:r>
          </w:p>
        </w:tc>
        <w:tc>
          <w:tcPr>
            <w:tcW w:w="26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3,728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145.26 %</w:t>
            </w:r>
          </w:p>
        </w:tc>
        <w:tc>
          <w:tcPr>
            <w:tcW w:w="0" w:type="dxa"/>
            <w:vAlign w:val="bottom"/>
          </w:tcPr>
          <w:p>
            <w:pPr>
              <w:spacing w:after="0"/>
              <w:rPr>
                <w:sz w:val="1"/>
                <w:szCs w:val="1"/>
                <w:color w:val="auto"/>
              </w:rPr>
            </w:pPr>
          </w:p>
        </w:tc>
      </w:tr>
      <w:tr>
        <w:trPr>
          <w:trHeight w:val="204"/>
        </w:trPr>
        <w:tc>
          <w:tcPr>
            <w:tcW w:w="61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Gains on sales of real estate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262,357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262,009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75,289.94 %</w:t>
            </w:r>
          </w:p>
        </w:tc>
        <w:tc>
          <w:tcPr>
            <w:tcW w:w="0" w:type="dxa"/>
            <w:vAlign w:val="bottom"/>
          </w:tcPr>
          <w:p>
            <w:pPr>
              <w:spacing w:after="0"/>
              <w:rPr>
                <w:sz w:val="1"/>
                <w:szCs w:val="1"/>
                <w:color w:val="auto"/>
              </w:rPr>
            </w:pPr>
          </w:p>
        </w:tc>
      </w:tr>
      <w:tr>
        <w:trPr>
          <w:trHeight w:val="202"/>
        </w:trPr>
        <w:tc>
          <w:tcPr>
            <w:tcW w:w="6140" w:type="dxa"/>
            <w:vAlign w:val="bottom"/>
          </w:tcPr>
          <w:p>
            <w:pPr>
              <w:ind w:left="20"/>
              <w:spacing w:after="0"/>
              <w:rPr>
                <w:sz w:val="20"/>
                <w:szCs w:val="20"/>
                <w:color w:val="auto"/>
              </w:rPr>
            </w:pPr>
            <w:r>
              <w:rPr>
                <w:rFonts w:ascii="Arial" w:cs="Arial" w:eastAsia="Arial" w:hAnsi="Arial"/>
                <w:sz w:val="15"/>
                <w:szCs w:val="15"/>
                <w:color w:val="auto"/>
              </w:rPr>
              <w:t>Other Expenses: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40" w:type="dxa"/>
            <w:vAlign w:val="bottom"/>
          </w:tcPr>
          <w:p>
            <w:pPr>
              <w:ind w:left="320"/>
              <w:spacing w:after="0"/>
              <w:rPr>
                <w:sz w:val="20"/>
                <w:szCs w:val="20"/>
                <w:color w:val="auto"/>
              </w:rPr>
            </w:pPr>
            <w:r>
              <w:rPr>
                <w:rFonts w:ascii="Arial" w:cs="Arial" w:eastAsia="Arial" w:hAnsi="Arial"/>
                <w:sz w:val="15"/>
                <w:szCs w:val="15"/>
                <w:color w:val="auto"/>
              </w:rPr>
              <w:t>Depreciation and amortization expense</w:t>
            </w:r>
          </w:p>
        </w:tc>
        <w:tc>
          <w:tcPr>
            <w:tcW w:w="26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188,969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177,677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11,292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6.36 %</w:t>
            </w:r>
          </w:p>
        </w:tc>
        <w:tc>
          <w:tcPr>
            <w:tcW w:w="0" w:type="dxa"/>
            <w:vAlign w:val="bottom"/>
          </w:tcPr>
          <w:p>
            <w:pPr>
              <w:spacing w:after="0"/>
              <w:rPr>
                <w:sz w:val="1"/>
                <w:szCs w:val="1"/>
                <w:color w:val="auto"/>
              </w:rPr>
            </w:pPr>
          </w:p>
        </w:tc>
      </w:tr>
      <w:tr>
        <w:trPr>
          <w:trHeight w:val="204"/>
        </w:trPr>
        <w:tc>
          <w:tcPr>
            <w:tcW w:w="61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Transaction costs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(12.61)%</w:t>
            </w:r>
          </w:p>
        </w:tc>
        <w:tc>
          <w:tcPr>
            <w:tcW w:w="0" w:type="dxa"/>
            <w:vAlign w:val="bottom"/>
          </w:tcPr>
          <w:p>
            <w:pPr>
              <w:spacing w:after="0"/>
              <w:rPr>
                <w:sz w:val="1"/>
                <w:szCs w:val="1"/>
                <w:color w:val="auto"/>
              </w:rPr>
            </w:pPr>
          </w:p>
        </w:tc>
      </w:tr>
      <w:tr>
        <w:trPr>
          <w:trHeight w:val="202"/>
        </w:trPr>
        <w:tc>
          <w:tcPr>
            <w:tcW w:w="6140" w:type="dxa"/>
            <w:vAlign w:val="bottom"/>
          </w:tcPr>
          <w:p>
            <w:pPr>
              <w:ind w:left="320"/>
              <w:spacing w:after="0"/>
              <w:rPr>
                <w:sz w:val="20"/>
                <w:szCs w:val="20"/>
                <w:color w:val="auto"/>
              </w:rPr>
            </w:pPr>
            <w:r>
              <w:rPr>
                <w:rFonts w:ascii="Arial" w:cs="Arial" w:eastAsia="Arial" w:hAnsi="Arial"/>
                <w:sz w:val="15"/>
                <w:szCs w:val="15"/>
                <w:color w:val="auto"/>
              </w:rPr>
              <w:t>Payroll and related costs from management services contracts</w:t>
            </w:r>
          </w:p>
        </w:tc>
        <w:tc>
          <w:tcPr>
            <w:tcW w:w="26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3,900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3,006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894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29.74 %</w:t>
            </w:r>
          </w:p>
        </w:tc>
        <w:tc>
          <w:tcPr>
            <w:tcW w:w="0" w:type="dxa"/>
            <w:vAlign w:val="bottom"/>
          </w:tcPr>
          <w:p>
            <w:pPr>
              <w:spacing w:after="0"/>
              <w:rPr>
                <w:sz w:val="1"/>
                <w:szCs w:val="1"/>
                <w:color w:val="auto"/>
              </w:rPr>
            </w:pPr>
          </w:p>
        </w:tc>
      </w:tr>
      <w:tr>
        <w:trPr>
          <w:trHeight w:val="204"/>
        </w:trPr>
        <w:tc>
          <w:tcPr>
            <w:tcW w:w="61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General and administrative expense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32,519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w:t>
            </w:r>
          </w:p>
        </w:tc>
        <w:tc>
          <w:tcPr>
            <w:tcW w:w="0" w:type="dxa"/>
            <w:vAlign w:val="bottom"/>
          </w:tcPr>
          <w:p>
            <w:pPr>
              <w:spacing w:after="0"/>
              <w:rPr>
                <w:sz w:val="1"/>
                <w:szCs w:val="1"/>
                <w:color w:val="auto"/>
              </w:rPr>
            </w:pPr>
          </w:p>
        </w:tc>
      </w:tr>
      <w:tr>
        <w:trPr>
          <w:trHeight w:val="202"/>
        </w:trPr>
        <w:tc>
          <w:tcPr>
            <w:tcW w:w="6140" w:type="dxa"/>
            <w:vAlign w:val="bottom"/>
          </w:tcPr>
          <w:p>
            <w:pPr>
              <w:ind w:left="20"/>
              <w:spacing w:after="0"/>
              <w:rPr>
                <w:sz w:val="20"/>
                <w:szCs w:val="20"/>
                <w:color w:val="auto"/>
              </w:rPr>
            </w:pPr>
            <w:r>
              <w:rPr>
                <w:rFonts w:ascii="Arial" w:cs="Arial" w:eastAsia="Arial" w:hAnsi="Arial"/>
                <w:sz w:val="15"/>
                <w:szCs w:val="15"/>
                <w:color w:val="auto"/>
              </w:rPr>
              <w:t>Other Revenue: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140" w:type="dxa"/>
            <w:vAlign w:val="bottom"/>
          </w:tcPr>
          <w:p>
            <w:pPr>
              <w:ind w:left="320"/>
              <w:spacing w:after="0" w:line="153" w:lineRule="exact"/>
              <w:rPr>
                <w:sz w:val="20"/>
                <w:szCs w:val="20"/>
                <w:color w:val="auto"/>
              </w:rPr>
            </w:pPr>
            <w:r>
              <w:rPr>
                <w:rFonts w:ascii="Arial" w:cs="Arial" w:eastAsia="Arial" w:hAnsi="Arial"/>
                <w:sz w:val="15"/>
                <w:szCs w:val="15"/>
                <w:color w:val="auto"/>
              </w:rPr>
              <w:t>Direct reimbursements of payroll and related costs from management services</w:t>
            </w:r>
          </w:p>
        </w:tc>
        <w:tc>
          <w:tcPr>
            <w:tcW w:w="260" w:type="dxa"/>
            <w:vAlign w:val="bottom"/>
          </w:tcPr>
          <w:p>
            <w:pPr>
              <w:spacing w:after="0"/>
              <w:rPr>
                <w:sz w:val="13"/>
                <w:szCs w:val="13"/>
                <w:color w:val="auto"/>
              </w:rPr>
            </w:pPr>
          </w:p>
        </w:tc>
        <w:tc>
          <w:tcPr>
            <w:tcW w:w="880" w:type="dxa"/>
            <w:vAlign w:val="bottom"/>
            <w:vMerge w:val="restart"/>
          </w:tcPr>
          <w:p>
            <w:pPr>
              <w:jc w:val="right"/>
              <w:ind w:right="4"/>
              <w:spacing w:after="0"/>
              <w:rPr>
                <w:sz w:val="20"/>
                <w:szCs w:val="20"/>
                <w:color w:val="auto"/>
              </w:rPr>
            </w:pPr>
            <w:r>
              <w:rPr>
                <w:rFonts w:ascii="Arial" w:cs="Arial" w:eastAsia="Arial" w:hAnsi="Arial"/>
                <w:sz w:val="15"/>
                <w:szCs w:val="15"/>
                <w:color w:val="auto"/>
              </w:rPr>
              <w:t>3,900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3,006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894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29.74 %</w:t>
            </w:r>
          </w:p>
        </w:tc>
        <w:tc>
          <w:tcPr>
            <w:tcW w:w="0" w:type="dxa"/>
            <w:vAlign w:val="bottom"/>
          </w:tcPr>
          <w:p>
            <w:pPr>
              <w:spacing w:after="0"/>
              <w:rPr>
                <w:sz w:val="1"/>
                <w:szCs w:val="1"/>
                <w:color w:val="auto"/>
              </w:rPr>
            </w:pPr>
          </w:p>
        </w:tc>
      </w:tr>
      <w:tr>
        <w:trPr>
          <w:trHeight w:val="201"/>
        </w:trPr>
        <w:tc>
          <w:tcPr>
            <w:tcW w:w="6140" w:type="dxa"/>
            <w:vAlign w:val="bottom"/>
          </w:tcPr>
          <w:p>
            <w:pPr>
              <w:ind w:left="480"/>
              <w:spacing w:after="0"/>
              <w:rPr>
                <w:sz w:val="20"/>
                <w:szCs w:val="20"/>
                <w:color w:val="auto"/>
              </w:rPr>
            </w:pPr>
            <w:r>
              <w:rPr>
                <w:rFonts w:ascii="Arial" w:cs="Arial" w:eastAsia="Arial" w:hAnsi="Arial"/>
                <w:sz w:val="15"/>
                <w:szCs w:val="15"/>
                <w:color w:val="auto"/>
              </w:rPr>
              <w:t>contracts</w:t>
            </w: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Development and management services revenue</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7,465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6,094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22.50 %</w:t>
            </w:r>
          </w:p>
        </w:tc>
        <w:tc>
          <w:tcPr>
            <w:tcW w:w="0" w:type="dxa"/>
            <w:vAlign w:val="bottom"/>
          </w:tcPr>
          <w:p>
            <w:pPr>
              <w:spacing w:after="0"/>
              <w:rPr>
                <w:sz w:val="1"/>
                <w:szCs w:val="1"/>
                <w:color w:val="auto"/>
              </w:rPr>
            </w:pPr>
          </w:p>
        </w:tc>
      </w:tr>
      <w:tr>
        <w:trPr>
          <w:trHeight w:val="197"/>
        </w:trPr>
        <w:tc>
          <w:tcPr>
            <w:tcW w:w="6140" w:type="dxa"/>
            <w:vAlign w:val="bottom"/>
          </w:tcPr>
          <w:p>
            <w:pPr>
              <w:ind w:left="20"/>
              <w:spacing w:after="0"/>
              <w:rPr>
                <w:sz w:val="20"/>
                <w:szCs w:val="20"/>
                <w:color w:val="auto"/>
              </w:rPr>
            </w:pPr>
            <w:r>
              <w:rPr>
                <w:rFonts w:ascii="Arial" w:cs="Arial" w:eastAsia="Arial" w:hAnsi="Arial"/>
                <w:sz w:val="15"/>
                <w:szCs w:val="15"/>
                <w:color w:val="auto"/>
              </w:rPr>
              <w:t>Net Operating Income</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488,908</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458,729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30,179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6.58 %</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firstLine="419"/>
        <w:spacing w:after="0" w:line="251" w:lineRule="auto"/>
        <w:rPr>
          <w:sz w:val="20"/>
          <w:szCs w:val="20"/>
          <w:color w:val="auto"/>
        </w:rPr>
      </w:pPr>
      <w:r>
        <w:rPr>
          <w:rFonts w:ascii="Arial" w:cs="Arial" w:eastAsia="Arial" w:hAnsi="Arial"/>
          <w:sz w:val="17"/>
          <w:szCs w:val="17"/>
          <w:color w:val="auto"/>
        </w:rPr>
        <w:t>NOI is a non-GAAP financial measure equal to net income attributable to Boston Properties, Inc. and net income attributable to Boston Properties Limited Partnership, as applicable, the most directly comparable GAAP financial measures, plus (1) net income attributable to noncontrolling interests, interest expense, losses from investments in securities, loss from unconsolidated joint ventures, depreciation and amortization expense, transaction costs, payroll and related costs from management services contracts and corporate general and administrative expense less (2) interest and other income (loss), gains on sales of real estate, direct reimbursements of payroll and related costs from management services contracts and development and management services revenue. We use NOI internally as a performance measure and believe it provides useful information to investors regarding our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and net income attributable to Boston Properties Limited Partnership.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us may not be comparable to NOI reported by other REITs or real estate companies that define NOI differently.</w:t>
      </w:r>
    </w:p>
    <w:p>
      <w:pPr>
        <w:spacing w:after="0" w:line="146" w:lineRule="exact"/>
        <w:rPr>
          <w:sz w:val="20"/>
          <w:szCs w:val="20"/>
          <w:color w:val="auto"/>
        </w:rPr>
      </w:pPr>
    </w:p>
    <w:p>
      <w:pPr>
        <w:jc w:val="both"/>
        <w:ind w:right="380" w:firstLine="419"/>
        <w:spacing w:after="0" w:line="266" w:lineRule="auto"/>
        <w:rPr>
          <w:sz w:val="20"/>
          <w:szCs w:val="20"/>
          <w:color w:val="auto"/>
        </w:rPr>
      </w:pPr>
      <w:r>
        <w:rPr>
          <w:rFonts w:ascii="Arial" w:cs="Arial" w:eastAsia="Arial" w:hAnsi="Arial"/>
          <w:sz w:val="17"/>
          <w:szCs w:val="17"/>
          <w:color w:val="auto"/>
        </w:rPr>
        <w:t>We believe that in order to understand our operating results, NOI should be examined in conjunction with net income attributable to Boston Properties, Inc. and net income attributable to Boston Properties Limited Partnership as presented in our Consolidated Financial Statements. NOI should not be considered as a substitute for net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income attributable to Boston Properties, Inc. or net income attributable to Boston Properties Limited Partnership (determined in accordance with GAAP) or any other GAAP financial measures and should only be considered together with and as a supplement to our financial information prepared in accordance with GAAP.</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Comparison of the three months ended September 30, 2022 to the three months ended September 30, 2021</w:t>
      </w:r>
    </w:p>
    <w:p>
      <w:pPr>
        <w:spacing w:after="0" w:line="96" w:lineRule="exact"/>
        <w:rPr>
          <w:sz w:val="20"/>
          <w:szCs w:val="20"/>
          <w:color w:val="auto"/>
        </w:rPr>
      </w:pPr>
    </w:p>
    <w:p>
      <w:pPr>
        <w:ind w:firstLine="419"/>
        <w:spacing w:after="0" w:line="254" w:lineRule="auto"/>
        <w:rPr>
          <w:sz w:val="20"/>
          <w:szCs w:val="20"/>
          <w:color w:val="auto"/>
        </w:rPr>
      </w:pPr>
      <w:r>
        <w:rPr>
          <w:rFonts w:ascii="Arial" w:cs="Arial" w:eastAsia="Arial" w:hAnsi="Arial"/>
          <w:sz w:val="17"/>
          <w:szCs w:val="17"/>
          <w:color w:val="auto"/>
        </w:rPr>
        <w:t>The table below shows selected operating information for the Same Property Portfolio and the Total Property Portfolio. The Same Property Portfolio consists of 128 properties totaling approximately 38.6 million net rentable square feet, excluding unconsolidated joint ventures. The Same Property Portfolio includes properties acquired or placed in-service on or prior to July 1, 2021 and owned and in-service through September 30, 2022. The Total Property Portfolio includes the effects of the other properties either acquired, placed in-service, in development or redevelopment after July 1, 2021 or disposed of on or prior to September 30, 2022. This table includes a reconciliation from the Same Property Portfolio to the Total Property Portfolio by also providing information for the three months ended September 30, 2022 and 2021 with respect to the properties that were acquired, placed in-service, in development or redevelopment or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80"/>
          </w:cols>
          <w:pgMar w:left="320" w:top="275" w:right="39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6"/>
            <w:vMerge w:val="restart"/>
          </w:tcPr>
          <w:p>
            <w:pPr>
              <w:jc w:val="center"/>
              <w:ind w:right="80"/>
              <w:spacing w:after="0"/>
              <w:rPr>
                <w:sz w:val="20"/>
                <w:szCs w:val="20"/>
                <w:color w:val="auto"/>
              </w:rPr>
            </w:pPr>
            <w:r>
              <w:rPr>
                <w:rFonts w:ascii="Arial" w:cs="Arial" w:eastAsia="Arial" w:hAnsi="Arial"/>
                <w:sz w:val="12"/>
                <w:szCs w:val="12"/>
                <w:b w:val="1"/>
                <w:bCs w:val="1"/>
                <w:color w:val="auto"/>
                <w:w w:val="97"/>
              </w:rPr>
              <w:t>Properties</w:t>
            </w:r>
          </w:p>
        </w:tc>
        <w:tc>
          <w:tcPr>
            <w:tcW w:w="80" w:type="dxa"/>
            <w:vAlign w:val="bottom"/>
          </w:tcPr>
          <w:p>
            <w:pPr>
              <w:spacing w:after="0"/>
              <w:rPr>
                <w:sz w:val="12"/>
                <w:szCs w:val="12"/>
                <w:color w:val="auto"/>
              </w:rPr>
            </w:pPr>
          </w:p>
        </w:tc>
        <w:tc>
          <w:tcPr>
            <w:tcW w:w="1080" w:type="dxa"/>
            <w:vAlign w:val="bottom"/>
            <w:gridSpan w:val="5"/>
          </w:tcPr>
          <w:p>
            <w:pPr>
              <w:jc w:val="center"/>
              <w:ind w:right="160"/>
              <w:spacing w:after="0"/>
              <w:rPr>
                <w:sz w:val="20"/>
                <w:szCs w:val="20"/>
                <w:color w:val="auto"/>
              </w:rPr>
            </w:pPr>
            <w:r>
              <w:rPr>
                <w:rFonts w:ascii="Arial" w:cs="Arial" w:eastAsia="Arial" w:hAnsi="Arial"/>
                <w:sz w:val="12"/>
                <w:szCs w:val="12"/>
                <w:b w:val="1"/>
                <w:bCs w:val="1"/>
                <w:color w:val="auto"/>
                <w:w w:val="98"/>
              </w:rPr>
              <w:t>Properties in</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5"/>
            <w:vMerge w:val="restart"/>
          </w:tcPr>
          <w:p>
            <w:pPr>
              <w:jc w:val="center"/>
              <w:ind w:right="80"/>
              <w:spacing w:after="0"/>
              <w:rPr>
                <w:sz w:val="20"/>
                <w:szCs w:val="20"/>
                <w:color w:val="auto"/>
              </w:rPr>
            </w:pPr>
            <w:r>
              <w:rPr>
                <w:rFonts w:ascii="Arial" w:cs="Arial" w:eastAsia="Arial" w:hAnsi="Arial"/>
                <w:sz w:val="12"/>
                <w:szCs w:val="12"/>
                <w:b w:val="1"/>
                <w:bCs w:val="1"/>
                <w:color w:val="auto"/>
                <w:w w:val="97"/>
              </w:rPr>
              <w:t>Properties</w:t>
            </w:r>
          </w:p>
        </w:tc>
        <w:tc>
          <w:tcPr>
            <w:tcW w:w="118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5"/>
          </w:tcPr>
          <w:p>
            <w:pPr>
              <w:jc w:val="center"/>
              <w:ind w:right="160"/>
              <w:spacing w:after="0" w:line="114" w:lineRule="exact"/>
              <w:rPr>
                <w:sz w:val="20"/>
                <w:szCs w:val="20"/>
                <w:color w:val="auto"/>
              </w:rPr>
            </w:pPr>
            <w:r>
              <w:rPr>
                <w:rFonts w:ascii="Arial" w:cs="Arial" w:eastAsia="Arial" w:hAnsi="Arial"/>
                <w:sz w:val="12"/>
                <w:szCs w:val="12"/>
                <w:b w:val="1"/>
                <w:bCs w:val="1"/>
                <w:color w:val="auto"/>
                <w:w w:val="96"/>
              </w:rPr>
              <w:t>Development or</w:t>
            </w:r>
          </w:p>
        </w:tc>
        <w:tc>
          <w:tcPr>
            <w:tcW w:w="1140" w:type="dxa"/>
            <w:vAlign w:val="bottom"/>
            <w:gridSpan w:val="4"/>
            <w:vMerge w:val="restart"/>
          </w:tcPr>
          <w:p>
            <w:pPr>
              <w:ind w:left="100"/>
              <w:spacing w:after="0"/>
              <w:rPr>
                <w:sz w:val="20"/>
                <w:szCs w:val="20"/>
                <w:color w:val="auto"/>
              </w:rPr>
            </w:pPr>
            <w:r>
              <w:rPr>
                <w:rFonts w:ascii="Arial" w:cs="Arial" w:eastAsia="Arial" w:hAnsi="Arial"/>
                <w:sz w:val="12"/>
                <w:szCs w:val="12"/>
                <w:b w:val="1"/>
                <w:bCs w:val="1"/>
                <w:color w:val="auto"/>
              </w:rPr>
              <w:t>Properties Sold</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8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Same Property Portfolio</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5"/>
            <w:vMerge w:val="continue"/>
          </w:tcPr>
          <w:p>
            <w:pPr>
              <w:spacing w:after="0"/>
              <w:rPr>
                <w:sz w:val="9"/>
                <w:szCs w:val="9"/>
                <w:color w:val="auto"/>
              </w:rPr>
            </w:pPr>
          </w:p>
        </w:tc>
        <w:tc>
          <w:tcPr>
            <w:tcW w:w="1180" w:type="dxa"/>
            <w:vAlign w:val="bottom"/>
            <w:gridSpan w:val="6"/>
          </w:tcPr>
          <w:p>
            <w:pPr>
              <w:jc w:val="center"/>
              <w:ind w:right="80"/>
              <w:spacing w:after="0" w:line="114" w:lineRule="exact"/>
              <w:rPr>
                <w:sz w:val="20"/>
                <w:szCs w:val="20"/>
                <w:color w:val="auto"/>
              </w:rPr>
            </w:pPr>
            <w:r>
              <w:rPr>
                <w:rFonts w:ascii="Arial" w:cs="Arial" w:eastAsia="Arial" w:hAnsi="Arial"/>
                <w:sz w:val="12"/>
                <w:szCs w:val="12"/>
                <w:b w:val="1"/>
                <w:bCs w:val="1"/>
                <w:color w:val="auto"/>
                <w:w w:val="98"/>
              </w:rPr>
              <w:t>Placed In-Service</w:t>
            </w:r>
          </w:p>
        </w:tc>
        <w:tc>
          <w:tcPr>
            <w:tcW w:w="80" w:type="dxa"/>
            <w:vAlign w:val="bottom"/>
          </w:tcPr>
          <w:p>
            <w:pPr>
              <w:spacing w:after="0"/>
              <w:rPr>
                <w:sz w:val="9"/>
                <w:szCs w:val="9"/>
                <w:color w:val="auto"/>
              </w:rPr>
            </w:pPr>
          </w:p>
        </w:tc>
        <w:tc>
          <w:tcPr>
            <w:tcW w:w="1080" w:type="dxa"/>
            <w:vAlign w:val="bottom"/>
            <w:gridSpan w:val="5"/>
          </w:tcPr>
          <w:p>
            <w:pPr>
              <w:jc w:val="center"/>
              <w:ind w:right="160"/>
              <w:spacing w:after="0" w:line="114" w:lineRule="exact"/>
              <w:rPr>
                <w:sz w:val="20"/>
                <w:szCs w:val="20"/>
                <w:color w:val="auto"/>
              </w:rPr>
            </w:pPr>
            <w:r>
              <w:rPr>
                <w:rFonts w:ascii="Arial" w:cs="Arial" w:eastAsia="Arial" w:hAnsi="Arial"/>
                <w:sz w:val="12"/>
                <w:szCs w:val="12"/>
                <w:b w:val="1"/>
                <w:bCs w:val="1"/>
                <w:color w:val="auto"/>
                <w:w w:val="98"/>
              </w:rPr>
              <w:t>Redevelopment</w:t>
            </w:r>
          </w:p>
        </w:tc>
        <w:tc>
          <w:tcPr>
            <w:tcW w:w="114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5"/>
            <w:vMerge w:val="restart"/>
          </w:tcPr>
          <w:p>
            <w:pPr>
              <w:ind w:left="20"/>
              <w:spacing w:after="0"/>
              <w:rPr>
                <w:sz w:val="20"/>
                <w:szCs w:val="20"/>
                <w:color w:val="auto"/>
              </w:rPr>
            </w:pPr>
            <w:r>
              <w:rPr>
                <w:rFonts w:ascii="Arial" w:cs="Arial" w:eastAsia="Arial" w:hAnsi="Arial"/>
                <w:sz w:val="12"/>
                <w:szCs w:val="12"/>
                <w:b w:val="1"/>
                <w:bCs w:val="1"/>
                <w:color w:val="auto"/>
                <w:w w:val="99"/>
              </w:rPr>
              <w:t>Total Property Portfolio</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80" w:type="dxa"/>
            <w:vAlign w:val="bottom"/>
            <w:gridSpan w:val="6"/>
            <w:vMerge w:val="continue"/>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7"/>
              </w:rPr>
              <w:t>Acquired Portfolio</w:t>
            </w:r>
          </w:p>
        </w:tc>
        <w:tc>
          <w:tcPr>
            <w:tcW w:w="1180" w:type="dxa"/>
            <w:vAlign w:val="bottom"/>
            <w:gridSpan w:val="6"/>
          </w:tcPr>
          <w:p>
            <w:pPr>
              <w:jc w:val="center"/>
              <w:ind w:right="80"/>
              <w:spacing w:after="0"/>
              <w:rPr>
                <w:sz w:val="20"/>
                <w:szCs w:val="20"/>
                <w:color w:val="auto"/>
              </w:rPr>
            </w:pPr>
            <w:r>
              <w:rPr>
                <w:rFonts w:ascii="Arial" w:cs="Arial" w:eastAsia="Arial" w:hAnsi="Arial"/>
                <w:sz w:val="12"/>
                <w:szCs w:val="12"/>
                <w:b w:val="1"/>
                <w:bCs w:val="1"/>
                <w:color w:val="auto"/>
              </w:rPr>
              <w:t>Portfolio</w:t>
            </w:r>
          </w:p>
        </w:tc>
        <w:tc>
          <w:tcPr>
            <w:tcW w:w="80" w:type="dxa"/>
            <w:vAlign w:val="bottom"/>
          </w:tcPr>
          <w:p>
            <w:pPr>
              <w:spacing w:after="0"/>
              <w:rPr>
                <w:sz w:val="15"/>
                <w:szCs w:val="15"/>
                <w:color w:val="auto"/>
              </w:rPr>
            </w:pPr>
          </w:p>
        </w:tc>
        <w:tc>
          <w:tcPr>
            <w:tcW w:w="1080" w:type="dxa"/>
            <w:vAlign w:val="bottom"/>
            <w:gridSpan w:val="5"/>
          </w:tcPr>
          <w:p>
            <w:pPr>
              <w:jc w:val="center"/>
              <w:ind w:right="160"/>
              <w:spacing w:after="0"/>
              <w:rPr>
                <w:sz w:val="20"/>
                <w:szCs w:val="20"/>
                <w:color w:val="auto"/>
              </w:rPr>
            </w:pPr>
            <w:r>
              <w:rPr>
                <w:rFonts w:ascii="Arial" w:cs="Arial" w:eastAsia="Arial" w:hAnsi="Arial"/>
                <w:sz w:val="12"/>
                <w:szCs w:val="12"/>
                <w:b w:val="1"/>
                <w:bCs w:val="1"/>
                <w:color w:val="auto"/>
                <w:w w:val="97"/>
              </w:rPr>
              <w:t>Portfolio</w:t>
            </w:r>
          </w:p>
        </w:tc>
        <w:tc>
          <w:tcPr>
            <w:tcW w:w="1140" w:type="dxa"/>
            <w:vAlign w:val="bottom"/>
            <w:gridSpan w:val="4"/>
          </w:tcPr>
          <w:p>
            <w:pPr>
              <w:ind w:left="280"/>
              <w:spacing w:after="0"/>
              <w:rPr>
                <w:sz w:val="20"/>
                <w:szCs w:val="20"/>
                <w:color w:val="auto"/>
              </w:rPr>
            </w:pPr>
            <w:r>
              <w:rPr>
                <w:rFonts w:ascii="Arial" w:cs="Arial" w:eastAsia="Arial" w:hAnsi="Arial"/>
                <w:sz w:val="12"/>
                <w:szCs w:val="12"/>
                <w:b w:val="1"/>
                <w:bCs w:val="1"/>
                <w:color w:val="auto"/>
              </w:rPr>
              <w:t>Portfolio</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5"/>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1100" w:type="dxa"/>
            <w:vAlign w:val="bottom"/>
          </w:tcPr>
          <w:p>
            <w:pPr>
              <w:spacing w:after="0"/>
              <w:rPr>
                <w:sz w:val="9"/>
                <w:szCs w:val="9"/>
                <w:color w:val="auto"/>
              </w:rPr>
            </w:pPr>
          </w:p>
        </w:tc>
        <w:tc>
          <w:tcPr>
            <w:tcW w:w="600" w:type="dxa"/>
            <w:vAlign w:val="bottom"/>
            <w:tcBorders>
              <w:top w:val="single" w:sz="8" w:color="auto"/>
            </w:tcBorders>
            <w:vMerge w:val="restart"/>
          </w:tcPr>
          <w:p>
            <w:pPr>
              <w:jc w:val="right"/>
              <w:ind w:right="121"/>
              <w:spacing w:after="0"/>
              <w:rPr>
                <w:sz w:val="20"/>
                <w:szCs w:val="20"/>
                <w:color w:val="auto"/>
              </w:rPr>
            </w:pPr>
            <w:r>
              <w:rPr>
                <w:rFonts w:ascii="Arial" w:cs="Arial" w:eastAsia="Arial" w:hAnsi="Arial"/>
                <w:sz w:val="12"/>
                <w:szCs w:val="12"/>
                <w:b w:val="1"/>
                <w:bCs w:val="1"/>
                <w:color w:val="auto"/>
              </w:rPr>
              <w:t>2022</w:t>
            </w:r>
          </w:p>
        </w:tc>
        <w:tc>
          <w:tcPr>
            <w:tcW w:w="680" w:type="dxa"/>
            <w:vAlign w:val="bottom"/>
            <w:tcBorders>
              <w:top w:val="single" w:sz="8" w:color="auto"/>
            </w:tcBorders>
            <w:gridSpan w:val="2"/>
            <w:vMerge w:val="restart"/>
          </w:tcPr>
          <w:p>
            <w:pPr>
              <w:jc w:val="right"/>
              <w:ind w:right="121"/>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3"/>
          </w:tcPr>
          <w:p>
            <w:pPr>
              <w:ind w:left="60"/>
              <w:spacing w:after="0" w:line="110" w:lineRule="exact"/>
              <w:rPr>
                <w:sz w:val="20"/>
                <w:szCs w:val="20"/>
                <w:color w:val="auto"/>
              </w:rPr>
            </w:pPr>
            <w:r>
              <w:rPr>
                <w:rFonts w:ascii="Arial" w:cs="Arial" w:eastAsia="Arial" w:hAnsi="Arial"/>
                <w:sz w:val="12"/>
                <w:szCs w:val="12"/>
                <w:b w:val="1"/>
                <w:bCs w:val="1"/>
                <w:color w:val="auto"/>
              </w:rPr>
              <w:t>Increase/</w:t>
            </w:r>
          </w:p>
        </w:tc>
        <w:tc>
          <w:tcPr>
            <w:tcW w:w="600" w:type="dxa"/>
            <w:vAlign w:val="bottom"/>
            <w:tcBorders>
              <w:top w:val="single" w:sz="8" w:color="auto"/>
            </w:tcBorders>
          </w:tcPr>
          <w:p>
            <w:pPr>
              <w:jc w:val="right"/>
              <w:ind w:right="181"/>
              <w:spacing w:after="0" w:line="110"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9"/>
                <w:szCs w:val="9"/>
                <w:color w:val="auto"/>
              </w:rPr>
            </w:pPr>
          </w:p>
        </w:tc>
        <w:tc>
          <w:tcPr>
            <w:tcW w:w="56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2"/>
                <w:szCs w:val="12"/>
                <w:b w:val="1"/>
                <w:bCs w:val="1"/>
                <w:color w:val="auto"/>
                <w:w w:val="97"/>
              </w:rPr>
              <w:t>2021</w:t>
            </w:r>
          </w:p>
        </w:tc>
        <w:tc>
          <w:tcPr>
            <w:tcW w:w="80" w:type="dxa"/>
            <w:vAlign w:val="bottom"/>
          </w:tcPr>
          <w:p>
            <w:pPr>
              <w:spacing w:after="0"/>
              <w:rPr>
                <w:sz w:val="9"/>
                <w:szCs w:val="9"/>
                <w:color w:val="auto"/>
              </w:rPr>
            </w:pPr>
          </w:p>
        </w:tc>
        <w:tc>
          <w:tcPr>
            <w:tcW w:w="50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2"/>
                <w:szCs w:val="12"/>
                <w:b w:val="1"/>
                <w:bCs w:val="1"/>
                <w:color w:val="auto"/>
              </w:rPr>
              <w:t>2022</w:t>
            </w: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2"/>
                <w:szCs w:val="12"/>
                <w:b w:val="1"/>
                <w:bCs w:val="1"/>
                <w:color w:val="auto"/>
                <w:w w:val="97"/>
              </w:rPr>
              <w:t>2021</w:t>
            </w: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2"/>
                <w:szCs w:val="12"/>
                <w:b w:val="1"/>
                <w:bCs w:val="1"/>
                <w:color w:val="auto"/>
                <w:w w:val="97"/>
              </w:rPr>
              <w:t>2021</w:t>
            </w:r>
          </w:p>
        </w:tc>
        <w:tc>
          <w:tcPr>
            <w:tcW w:w="80" w:type="dxa"/>
            <w:vAlign w:val="bottom"/>
          </w:tcPr>
          <w:p>
            <w:pPr>
              <w:spacing w:after="0"/>
              <w:rPr>
                <w:sz w:val="9"/>
                <w:szCs w:val="9"/>
                <w:color w:val="auto"/>
              </w:rPr>
            </w:pPr>
          </w:p>
        </w:tc>
        <w:tc>
          <w:tcPr>
            <w:tcW w:w="460" w:type="dxa"/>
            <w:vAlign w:val="bottom"/>
            <w:tcBorders>
              <w:top w:val="single" w:sz="8" w:color="auto"/>
            </w:tcBorders>
            <w:vMerge w:val="restart"/>
          </w:tcPr>
          <w:p>
            <w:pPr>
              <w:ind w:left="100"/>
              <w:spacing w:after="0"/>
              <w:rPr>
                <w:sz w:val="20"/>
                <w:szCs w:val="20"/>
                <w:color w:val="auto"/>
              </w:rPr>
            </w:pPr>
            <w:r>
              <w:rPr>
                <w:rFonts w:ascii="Arial" w:cs="Arial" w:eastAsia="Arial" w:hAnsi="Arial"/>
                <w:sz w:val="12"/>
                <w:szCs w:val="12"/>
                <w:b w:val="1"/>
                <w:bCs w:val="1"/>
                <w:color w:val="auto"/>
              </w:rPr>
              <w:t>2022</w:t>
            </w: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9"/>
                <w:szCs w:val="9"/>
                <w:color w:val="auto"/>
              </w:rPr>
            </w:pPr>
          </w:p>
        </w:tc>
        <w:tc>
          <w:tcPr>
            <w:tcW w:w="600" w:type="dxa"/>
            <w:vAlign w:val="bottom"/>
            <w:tcBorders>
              <w:top w:val="single" w:sz="8" w:color="auto"/>
            </w:tcBorders>
            <w:vMerge w:val="restart"/>
          </w:tcPr>
          <w:p>
            <w:pPr>
              <w:jc w:val="right"/>
              <w:ind w:right="121"/>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vMerge w:val="restart"/>
          </w:tcPr>
          <w:p>
            <w:pPr>
              <w:jc w:val="right"/>
              <w:ind w:right="101"/>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3"/>
          </w:tcPr>
          <w:p>
            <w:pPr>
              <w:ind w:left="80"/>
              <w:spacing w:after="0" w:line="110" w:lineRule="exact"/>
              <w:rPr>
                <w:sz w:val="20"/>
                <w:szCs w:val="20"/>
                <w:color w:val="auto"/>
              </w:rPr>
            </w:pPr>
            <w:r>
              <w:rPr>
                <w:rFonts w:ascii="Arial" w:cs="Arial" w:eastAsia="Arial" w:hAnsi="Arial"/>
                <w:sz w:val="12"/>
                <w:szCs w:val="12"/>
                <w:b w:val="1"/>
                <w:bCs w:val="1"/>
                <w:color w:val="auto"/>
              </w:rPr>
              <w:t>Increase/</w:t>
            </w:r>
          </w:p>
        </w:tc>
        <w:tc>
          <w:tcPr>
            <w:tcW w:w="660" w:type="dxa"/>
            <w:vAlign w:val="bottom"/>
            <w:tcBorders>
              <w:top w:val="single" w:sz="8" w:color="auto"/>
            </w:tcBorders>
          </w:tcPr>
          <w:p>
            <w:pPr>
              <w:jc w:val="right"/>
              <w:ind w:right="221"/>
              <w:spacing w:after="0" w:line="110"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4"/>
        </w:trPr>
        <w:tc>
          <w:tcPr>
            <w:tcW w:w="110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(Decrease)</w:t>
            </w: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Change</w:t>
            </w:r>
          </w:p>
        </w:tc>
        <w:tc>
          <w:tcPr>
            <w:tcW w:w="5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(Decrease)</w:t>
            </w: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60"/>
        </w:trPr>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gridSpan w:val="8"/>
          </w:tcPr>
          <w:p>
            <w:pPr>
              <w:ind w:left="20"/>
              <w:spacing w:after="0"/>
              <w:rPr>
                <w:sz w:val="20"/>
                <w:szCs w:val="20"/>
                <w:color w:val="auto"/>
              </w:rPr>
            </w:pPr>
            <w:r>
              <w:rPr>
                <w:rFonts w:ascii="Arial" w:cs="Arial" w:eastAsia="Arial" w:hAnsi="Arial"/>
                <w:sz w:val="12"/>
                <w:szCs w:val="12"/>
                <w:b w:val="1"/>
                <w:bCs w:val="1"/>
                <w:color w:val="auto"/>
                <w:w w:val="97"/>
              </w:rPr>
              <w:t>(dollars in thousands)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100" w:type="dxa"/>
            <w:vAlign w:val="bottom"/>
            <w:shd w:val="clear" w:color="auto" w:fill="CCEEFF"/>
          </w:tcPr>
          <w:p>
            <w:pPr>
              <w:ind w:left="20"/>
              <w:spacing w:after="0" w:line="115" w:lineRule="exact"/>
              <w:rPr>
                <w:sz w:val="20"/>
                <w:szCs w:val="20"/>
                <w:color w:val="auto"/>
              </w:rPr>
            </w:pPr>
            <w:r>
              <w:rPr>
                <w:rFonts w:ascii="Arial" w:cs="Arial" w:eastAsia="Arial" w:hAnsi="Arial"/>
                <w:sz w:val="12"/>
                <w:szCs w:val="12"/>
                <w:color w:val="auto"/>
              </w:rPr>
              <w:t>Rental Revenue:</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(1)</w:t>
            </w: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100" w:type="dxa"/>
            <w:vAlign w:val="bottom"/>
          </w:tcPr>
          <w:p>
            <w:pPr>
              <w:ind w:left="180"/>
              <w:spacing w:after="0" w:line="114" w:lineRule="exact"/>
              <w:rPr>
                <w:sz w:val="20"/>
                <w:szCs w:val="20"/>
                <w:color w:val="auto"/>
              </w:rPr>
            </w:pPr>
            <w:r>
              <w:rPr>
                <w:rFonts w:ascii="Arial" w:cs="Arial" w:eastAsia="Arial" w:hAnsi="Arial"/>
                <w:sz w:val="12"/>
                <w:szCs w:val="12"/>
                <w:color w:val="auto"/>
              </w:rPr>
              <w:t>Lease Revenue</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100" w:type="dxa"/>
            <w:vAlign w:val="bottom"/>
          </w:tcPr>
          <w:p>
            <w:pPr>
              <w:ind w:left="320"/>
              <w:spacing w:after="0" w:line="114" w:lineRule="exact"/>
              <w:rPr>
                <w:sz w:val="20"/>
                <w:szCs w:val="20"/>
                <w:color w:val="auto"/>
              </w:rPr>
            </w:pPr>
            <w:r>
              <w:rPr>
                <w:rFonts w:ascii="Arial" w:cs="Arial" w:eastAsia="Arial" w:hAnsi="Arial"/>
                <w:sz w:val="12"/>
                <w:szCs w:val="12"/>
                <w:color w:val="auto"/>
              </w:rPr>
              <w:t>(Excluding</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100" w:type="dxa"/>
            <w:vAlign w:val="bottom"/>
          </w:tcPr>
          <w:p>
            <w:pPr>
              <w:ind w:left="320"/>
              <w:spacing w:after="0" w:line="124" w:lineRule="exact"/>
              <w:rPr>
                <w:sz w:val="20"/>
                <w:szCs w:val="20"/>
                <w:color w:val="auto"/>
              </w:rPr>
            </w:pPr>
            <w:r>
              <w:rPr>
                <w:rFonts w:ascii="Arial" w:cs="Arial" w:eastAsia="Arial" w:hAnsi="Arial"/>
                <w:sz w:val="12"/>
                <w:szCs w:val="12"/>
                <w:color w:val="auto"/>
              </w:rPr>
              <w:t>Termination</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100" w:type="dxa"/>
            <w:vAlign w:val="bottom"/>
          </w:tcPr>
          <w:p>
            <w:pPr>
              <w:ind w:left="320"/>
              <w:spacing w:after="0"/>
              <w:rPr>
                <w:sz w:val="20"/>
                <w:szCs w:val="20"/>
                <w:color w:val="auto"/>
              </w:rPr>
            </w:pPr>
            <w:r>
              <w:rPr>
                <w:rFonts w:ascii="Arial" w:cs="Arial" w:eastAsia="Arial" w:hAnsi="Arial"/>
                <w:sz w:val="12"/>
                <w:szCs w:val="12"/>
                <w:color w:val="auto"/>
              </w:rPr>
              <w:t>Income)</w:t>
            </w:r>
          </w:p>
        </w:tc>
        <w:tc>
          <w:tcPr>
            <w:tcW w:w="600" w:type="dxa"/>
            <w:vAlign w:val="bottom"/>
          </w:tcPr>
          <w:p>
            <w:pPr>
              <w:jc w:val="right"/>
              <w:ind w:right="1"/>
              <w:spacing w:after="0"/>
              <w:rPr>
                <w:sz w:val="20"/>
                <w:szCs w:val="20"/>
                <w:color w:val="auto"/>
              </w:rPr>
            </w:pPr>
            <w:r>
              <w:rPr>
                <w:rFonts w:ascii="Arial" w:cs="Arial" w:eastAsia="Arial" w:hAnsi="Arial"/>
                <w:sz w:val="12"/>
                <w:szCs w:val="12"/>
                <w:color w:val="auto"/>
                <w:w w:val="97"/>
              </w:rPr>
              <w:t>$ 678,399</w:t>
            </w:r>
          </w:p>
        </w:tc>
        <w:tc>
          <w:tcPr>
            <w:tcW w:w="680" w:type="dxa"/>
            <w:vAlign w:val="bottom"/>
            <w:gridSpan w:val="2"/>
          </w:tcPr>
          <w:p>
            <w:pPr>
              <w:jc w:val="right"/>
              <w:ind w:right="1"/>
              <w:spacing w:after="0"/>
              <w:rPr>
                <w:sz w:val="20"/>
                <w:szCs w:val="20"/>
                <w:color w:val="auto"/>
              </w:rPr>
            </w:pPr>
            <w:r>
              <w:rPr>
                <w:rFonts w:ascii="Arial" w:cs="Arial" w:eastAsia="Arial" w:hAnsi="Arial"/>
                <w:sz w:val="12"/>
                <w:szCs w:val="12"/>
                <w:color w:val="auto"/>
              </w:rPr>
              <w:t>$ 657,377</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21,022</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3.20 %</w:t>
            </w:r>
          </w:p>
        </w:tc>
        <w:tc>
          <w:tcPr>
            <w:tcW w:w="80" w:type="dxa"/>
            <w:vAlign w:val="bottom"/>
          </w:tcPr>
          <w:p>
            <w:pPr>
              <w:spacing w:after="0"/>
              <w:rPr>
                <w:sz w:val="14"/>
                <w:szCs w:val="14"/>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$ 13,444</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ind w:right="1"/>
              <w:spacing w:after="0"/>
              <w:rPr>
                <w:sz w:val="20"/>
                <w:szCs w:val="20"/>
                <w:color w:val="auto"/>
              </w:rPr>
            </w:pPr>
            <w:r>
              <w:rPr>
                <w:rFonts w:ascii="Arial" w:cs="Arial" w:eastAsia="Arial" w:hAnsi="Arial"/>
                <w:sz w:val="12"/>
                <w:szCs w:val="12"/>
                <w:color w:val="auto"/>
              </w:rPr>
              <w:t>495</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98"/>
              </w:rPr>
              <w:t>$ 24,744</w:t>
            </w:r>
          </w:p>
        </w:tc>
        <w:tc>
          <w:tcPr>
            <w:tcW w:w="2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1"/>
              <w:spacing w:after="0"/>
              <w:rPr>
                <w:sz w:val="20"/>
                <w:szCs w:val="20"/>
                <w:color w:val="auto"/>
              </w:rPr>
            </w:pPr>
            <w:r>
              <w:rPr>
                <w:rFonts w:ascii="Arial" w:cs="Arial" w:eastAsia="Arial" w:hAnsi="Arial"/>
                <w:sz w:val="12"/>
                <w:szCs w:val="12"/>
                <w:color w:val="auto"/>
              </w:rPr>
              <w:t>1,752</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ind w:right="1"/>
              <w:spacing w:after="0"/>
              <w:rPr>
                <w:sz w:val="20"/>
                <w:szCs w:val="20"/>
                <w:color w:val="auto"/>
              </w:rPr>
            </w:pPr>
            <w:r>
              <w:rPr>
                <w:rFonts w:ascii="Arial" w:cs="Arial" w:eastAsia="Arial" w:hAnsi="Arial"/>
                <w:sz w:val="12"/>
                <w:szCs w:val="12"/>
                <w:color w:val="auto"/>
              </w:rPr>
              <w:t>1,366</w:t>
            </w:r>
          </w:p>
        </w:tc>
        <w:tc>
          <w:tcPr>
            <w:tcW w:w="80" w:type="dxa"/>
            <w:vAlign w:val="bottom"/>
          </w:tcPr>
          <w:p>
            <w:pPr>
              <w:spacing w:after="0"/>
              <w:rPr>
                <w:sz w:val="14"/>
                <w:szCs w:val="14"/>
                <w:color w:val="auto"/>
              </w:rPr>
            </w:pPr>
          </w:p>
        </w:tc>
        <w:tc>
          <w:tcPr>
            <w:tcW w:w="460" w:type="dxa"/>
            <w:vAlign w:val="bottom"/>
          </w:tcPr>
          <w:p>
            <w:pPr>
              <w:jc w:val="right"/>
              <w:ind w:right="1"/>
              <w:spacing w:after="0"/>
              <w:rPr>
                <w:sz w:val="20"/>
                <w:szCs w:val="20"/>
                <w:color w:val="auto"/>
              </w:rPr>
            </w:pPr>
            <w:r>
              <w:rPr>
                <w:rFonts w:ascii="Arial" w:cs="Arial" w:eastAsia="Arial" w:hAnsi="Arial"/>
                <w:sz w:val="12"/>
                <w:szCs w:val="12"/>
                <w:color w:val="auto"/>
                <w:w w:val="94"/>
              </w:rPr>
              <w:t>$ 6,855</w:t>
            </w:r>
          </w:p>
        </w:tc>
        <w:tc>
          <w:tcPr>
            <w:tcW w:w="60" w:type="dxa"/>
            <w:vAlign w:val="bottom"/>
          </w:tcPr>
          <w:p>
            <w:pPr>
              <w:spacing w:after="0"/>
              <w:rPr>
                <w:sz w:val="14"/>
                <w:szCs w:val="14"/>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w w:val="98"/>
              </w:rPr>
              <w:t>$ 18,754</w:t>
            </w:r>
          </w:p>
        </w:tc>
        <w:tc>
          <w:tcPr>
            <w:tcW w:w="80" w:type="dxa"/>
            <w:vAlign w:val="bottom"/>
          </w:tcPr>
          <w:p>
            <w:pPr>
              <w:spacing w:after="0"/>
              <w:rPr>
                <w:sz w:val="14"/>
                <w:szCs w:val="14"/>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w w:val="97"/>
              </w:rPr>
              <w:t>$ 723,442</w:t>
            </w:r>
          </w:p>
        </w:tc>
        <w:tc>
          <w:tcPr>
            <w:tcW w:w="80" w:type="dxa"/>
            <w:vAlign w:val="bottom"/>
          </w:tcPr>
          <w:p>
            <w:pPr>
              <w:spacing w:after="0"/>
              <w:rPr>
                <w:sz w:val="14"/>
                <w:szCs w:val="14"/>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w w:val="93"/>
              </w:rPr>
              <w:t>$ 679,744</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43,698</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6.43 %</w:t>
            </w:r>
          </w:p>
        </w:tc>
        <w:tc>
          <w:tcPr>
            <w:tcW w:w="0" w:type="dxa"/>
            <w:vAlign w:val="bottom"/>
          </w:tcPr>
          <w:p>
            <w:pPr>
              <w:spacing w:after="0"/>
              <w:rPr>
                <w:sz w:val="1"/>
                <w:szCs w:val="1"/>
                <w:color w:val="auto"/>
              </w:rPr>
            </w:pPr>
          </w:p>
        </w:tc>
      </w:tr>
      <w:tr>
        <w:trPr>
          <w:trHeight w:val="121"/>
        </w:trPr>
        <w:tc>
          <w:tcPr>
            <w:tcW w:w="1100" w:type="dxa"/>
            <w:vAlign w:val="bottom"/>
            <w:shd w:val="clear" w:color="auto" w:fill="CCEEFF"/>
          </w:tcPr>
          <w:p>
            <w:pPr>
              <w:ind w:left="180"/>
              <w:spacing w:after="0" w:line="121" w:lineRule="exact"/>
              <w:rPr>
                <w:sz w:val="20"/>
                <w:szCs w:val="20"/>
                <w:color w:val="auto"/>
              </w:rPr>
            </w:pPr>
            <w:r>
              <w:rPr>
                <w:rFonts w:ascii="Arial" w:cs="Arial" w:eastAsia="Arial" w:hAnsi="Arial"/>
                <w:sz w:val="12"/>
                <w:szCs w:val="12"/>
                <w:color w:val="auto"/>
              </w:rPr>
              <w:t>Termination</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1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Income</w:t>
            </w: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1,711</w:t>
            </w:r>
          </w:p>
        </w:tc>
        <w:tc>
          <w:tcPr>
            <w:tcW w:w="680" w:type="dxa"/>
            <w:vAlign w:val="bottom"/>
            <w:gridSpan w:val="2"/>
            <w:shd w:val="clear" w:color="auto" w:fill="CCEEFF"/>
          </w:tcPr>
          <w:p>
            <w:pPr>
              <w:jc w:val="right"/>
              <w:ind w:right="1"/>
              <w:spacing w:after="0"/>
              <w:rPr>
                <w:sz w:val="20"/>
                <w:szCs w:val="20"/>
                <w:color w:val="auto"/>
              </w:rPr>
            </w:pPr>
            <w:r>
              <w:rPr>
                <w:rFonts w:ascii="Arial" w:cs="Arial" w:eastAsia="Arial" w:hAnsi="Arial"/>
                <w:sz w:val="12"/>
                <w:szCs w:val="12"/>
                <w:color w:val="auto"/>
              </w:rPr>
              <w:t>1,874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1,980</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1,874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106</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5.66 %</w:t>
            </w:r>
          </w:p>
        </w:tc>
        <w:tc>
          <w:tcPr>
            <w:tcW w:w="0" w:type="dxa"/>
            <w:vAlign w:val="bottom"/>
          </w:tcPr>
          <w:p>
            <w:pPr>
              <w:spacing w:after="0"/>
              <w:rPr>
                <w:sz w:val="1"/>
                <w:szCs w:val="1"/>
                <w:color w:val="auto"/>
              </w:rPr>
            </w:pPr>
          </w:p>
        </w:tc>
      </w:tr>
      <w:tr>
        <w:trPr>
          <w:trHeight w:val="153"/>
        </w:trPr>
        <w:tc>
          <w:tcPr>
            <w:tcW w:w="1100" w:type="dxa"/>
            <w:vAlign w:val="bottom"/>
          </w:tcPr>
          <w:p>
            <w:pPr>
              <w:ind w:left="180"/>
              <w:spacing w:after="0"/>
              <w:rPr>
                <w:sz w:val="20"/>
                <w:szCs w:val="20"/>
                <w:color w:val="auto"/>
              </w:rPr>
            </w:pPr>
            <w:r>
              <w:rPr>
                <w:rFonts w:ascii="Arial" w:cs="Arial" w:eastAsia="Arial" w:hAnsi="Arial"/>
                <w:sz w:val="12"/>
                <w:szCs w:val="12"/>
                <w:color w:val="auto"/>
              </w:rPr>
              <w:t>Lease Revenue</w:t>
            </w:r>
          </w:p>
        </w:tc>
        <w:tc>
          <w:tcPr>
            <w:tcW w:w="6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680,110</w:t>
            </w:r>
          </w:p>
        </w:tc>
        <w:tc>
          <w:tcPr>
            <w:tcW w:w="80" w:type="dxa"/>
            <w:vAlign w:val="bottom"/>
          </w:tcPr>
          <w:p>
            <w:pPr>
              <w:spacing w:after="0"/>
              <w:rPr>
                <w:sz w:val="13"/>
                <w:szCs w:val="13"/>
                <w:color w:val="auto"/>
              </w:rPr>
            </w:pPr>
          </w:p>
        </w:tc>
        <w:tc>
          <w:tcPr>
            <w:tcW w:w="6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659,251</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20,859</w:t>
            </w:r>
          </w:p>
        </w:tc>
        <w:tc>
          <w:tcPr>
            <w:tcW w:w="6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3.16 %</w:t>
            </w: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13,713</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495</w:t>
            </w:r>
          </w:p>
        </w:tc>
        <w:tc>
          <w:tcPr>
            <w:tcW w:w="8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24,744</w:t>
            </w: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1,752</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1,366</w:t>
            </w:r>
          </w:p>
        </w:tc>
        <w:tc>
          <w:tcPr>
            <w:tcW w:w="80" w:type="dxa"/>
            <w:vAlign w:val="bottom"/>
          </w:tcPr>
          <w:p>
            <w:pPr>
              <w:spacing w:after="0"/>
              <w:rPr>
                <w:sz w:val="13"/>
                <w:szCs w:val="13"/>
                <w:color w:val="auto"/>
              </w:rPr>
            </w:pPr>
          </w:p>
        </w:tc>
        <w:tc>
          <w:tcPr>
            <w:tcW w:w="4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6,855</w:t>
            </w:r>
          </w:p>
        </w:tc>
        <w:tc>
          <w:tcPr>
            <w:tcW w:w="60" w:type="dxa"/>
            <w:vAlign w:val="bottom"/>
          </w:tcPr>
          <w:p>
            <w:pPr>
              <w:spacing w:after="0"/>
              <w:rPr>
                <w:sz w:val="13"/>
                <w:szCs w:val="13"/>
                <w:color w:val="auto"/>
              </w:rPr>
            </w:pPr>
          </w:p>
        </w:tc>
        <w:tc>
          <w:tcPr>
            <w:tcW w:w="5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18,754</w:t>
            </w:r>
          </w:p>
        </w:tc>
        <w:tc>
          <w:tcPr>
            <w:tcW w:w="80" w:type="dxa"/>
            <w:vAlign w:val="bottom"/>
          </w:tcPr>
          <w:p>
            <w:pPr>
              <w:spacing w:after="0"/>
              <w:rPr>
                <w:sz w:val="13"/>
                <w:szCs w:val="13"/>
                <w:color w:val="auto"/>
              </w:rPr>
            </w:pPr>
          </w:p>
        </w:tc>
        <w:tc>
          <w:tcPr>
            <w:tcW w:w="6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725,422</w:t>
            </w:r>
          </w:p>
        </w:tc>
        <w:tc>
          <w:tcPr>
            <w:tcW w:w="80" w:type="dxa"/>
            <w:vAlign w:val="bottom"/>
          </w:tcPr>
          <w:p>
            <w:pPr>
              <w:spacing w:after="0"/>
              <w:rPr>
                <w:sz w:val="13"/>
                <w:szCs w:val="13"/>
                <w:color w:val="auto"/>
              </w:rPr>
            </w:pPr>
          </w:p>
        </w:tc>
        <w:tc>
          <w:tcPr>
            <w:tcW w:w="58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681,618</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43,804</w:t>
            </w:r>
          </w:p>
        </w:tc>
        <w:tc>
          <w:tcPr>
            <w:tcW w:w="6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6.43 %</w:t>
            </w:r>
          </w:p>
        </w:tc>
        <w:tc>
          <w:tcPr>
            <w:tcW w:w="0" w:type="dxa"/>
            <w:vAlign w:val="bottom"/>
          </w:tcPr>
          <w:p>
            <w:pPr>
              <w:spacing w:after="0"/>
              <w:rPr>
                <w:sz w:val="1"/>
                <w:szCs w:val="1"/>
                <w:color w:val="auto"/>
              </w:rPr>
            </w:pPr>
          </w:p>
        </w:tc>
      </w:tr>
      <w:tr>
        <w:trPr>
          <w:trHeight w:val="119"/>
        </w:trPr>
        <w:tc>
          <w:tcPr>
            <w:tcW w:w="110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Parking and</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1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Other</w:t>
            </w: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26,511</w:t>
            </w:r>
          </w:p>
        </w:tc>
        <w:tc>
          <w:tcPr>
            <w:tcW w:w="680" w:type="dxa"/>
            <w:vAlign w:val="bottom"/>
            <w:gridSpan w:val="2"/>
            <w:shd w:val="clear" w:color="auto" w:fill="CCEEFF"/>
          </w:tcPr>
          <w:p>
            <w:pPr>
              <w:jc w:val="right"/>
              <w:ind w:right="1"/>
              <w:spacing w:after="0"/>
              <w:rPr>
                <w:sz w:val="20"/>
                <w:szCs w:val="20"/>
                <w:color w:val="auto"/>
              </w:rPr>
            </w:pPr>
            <w:r>
              <w:rPr>
                <w:rFonts w:ascii="Arial" w:cs="Arial" w:eastAsia="Arial" w:hAnsi="Arial"/>
                <w:sz w:val="12"/>
                <w:szCs w:val="12"/>
                <w:color w:val="auto"/>
              </w:rPr>
              <w:t>22,972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3,539</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15.41 %</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937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199</w:t>
            </w: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283</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27,647</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23,255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4,392</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18.89 %</w:t>
            </w:r>
          </w:p>
        </w:tc>
        <w:tc>
          <w:tcPr>
            <w:tcW w:w="0" w:type="dxa"/>
            <w:vAlign w:val="bottom"/>
          </w:tcPr>
          <w:p>
            <w:pPr>
              <w:spacing w:after="0"/>
              <w:rPr>
                <w:sz w:val="1"/>
                <w:szCs w:val="1"/>
                <w:color w:val="auto"/>
              </w:rPr>
            </w:pPr>
          </w:p>
        </w:tc>
      </w:tr>
      <w:tr>
        <w:trPr>
          <w:trHeight w:val="94"/>
        </w:trPr>
        <w:tc>
          <w:tcPr>
            <w:tcW w:w="1100" w:type="dxa"/>
            <w:vAlign w:val="bottom"/>
          </w:tcPr>
          <w:p>
            <w:pPr>
              <w:ind w:left="20"/>
              <w:spacing w:after="0" w:line="94" w:lineRule="exact"/>
              <w:rPr>
                <w:sz w:val="20"/>
                <w:szCs w:val="20"/>
                <w:color w:val="auto"/>
              </w:rPr>
            </w:pPr>
            <w:r>
              <w:rPr>
                <w:rFonts w:ascii="Arial" w:cs="Arial" w:eastAsia="Arial" w:hAnsi="Arial"/>
                <w:sz w:val="9"/>
                <w:szCs w:val="9"/>
                <w:color w:val="auto"/>
              </w:rPr>
              <w:t>Total Rental</w:t>
            </w: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1100" w:type="dxa"/>
            <w:vAlign w:val="bottom"/>
          </w:tcPr>
          <w:p>
            <w:pPr>
              <w:ind w:left="20"/>
              <w:spacing w:after="0"/>
              <w:rPr>
                <w:sz w:val="20"/>
                <w:szCs w:val="20"/>
                <w:color w:val="auto"/>
              </w:rPr>
            </w:pPr>
            <w:r>
              <w:rPr>
                <w:rFonts w:ascii="Arial" w:cs="Arial" w:eastAsia="Arial" w:hAnsi="Arial"/>
                <w:sz w:val="12"/>
                <w:szCs w:val="12"/>
                <w:color w:val="auto"/>
              </w:rPr>
              <w:t>Revenue (1)</w:t>
            </w: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706,621</w:t>
            </w:r>
          </w:p>
        </w:tc>
        <w:tc>
          <w:tcPr>
            <w:tcW w:w="680" w:type="dxa"/>
            <w:vAlign w:val="bottom"/>
            <w:gridSpan w:val="2"/>
          </w:tcPr>
          <w:p>
            <w:pPr>
              <w:jc w:val="right"/>
              <w:ind w:right="1"/>
              <w:spacing w:after="0"/>
              <w:rPr>
                <w:sz w:val="20"/>
                <w:szCs w:val="20"/>
                <w:color w:val="auto"/>
              </w:rPr>
            </w:pPr>
            <w:r>
              <w:rPr>
                <w:rFonts w:ascii="Arial" w:cs="Arial" w:eastAsia="Arial" w:hAnsi="Arial"/>
                <w:sz w:val="12"/>
                <w:szCs w:val="12"/>
                <w:color w:val="auto"/>
              </w:rPr>
              <w:t>682,223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24,398</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3.58 %</w:t>
            </w:r>
          </w:p>
        </w:tc>
        <w:tc>
          <w:tcPr>
            <w:tcW w:w="80" w:type="dxa"/>
            <w:vAlign w:val="bottom"/>
          </w:tcPr>
          <w:p>
            <w:pPr>
              <w:spacing w:after="0"/>
              <w:rPr>
                <w:sz w:val="14"/>
                <w:szCs w:val="14"/>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14,650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1"/>
              <w:spacing w:after="0"/>
              <w:rPr>
                <w:sz w:val="20"/>
                <w:szCs w:val="20"/>
                <w:color w:val="auto"/>
              </w:rPr>
            </w:pPr>
            <w:r>
              <w:rPr>
                <w:rFonts w:ascii="Arial" w:cs="Arial" w:eastAsia="Arial" w:hAnsi="Arial"/>
                <w:sz w:val="12"/>
                <w:szCs w:val="12"/>
                <w:color w:val="auto"/>
              </w:rPr>
              <w:t>495</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24,744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
              <w:spacing w:after="0"/>
              <w:rPr>
                <w:sz w:val="20"/>
                <w:szCs w:val="20"/>
                <w:color w:val="auto"/>
              </w:rPr>
            </w:pPr>
            <w:r>
              <w:rPr>
                <w:rFonts w:ascii="Arial" w:cs="Arial" w:eastAsia="Arial" w:hAnsi="Arial"/>
                <w:sz w:val="12"/>
                <w:szCs w:val="12"/>
                <w:color w:val="auto"/>
              </w:rPr>
              <w:t>1,752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400" w:type="dxa"/>
            <w:vAlign w:val="bottom"/>
          </w:tcPr>
          <w:p>
            <w:pPr>
              <w:jc w:val="right"/>
              <w:ind w:right="1"/>
              <w:spacing w:after="0"/>
              <w:rPr>
                <w:sz w:val="20"/>
                <w:szCs w:val="20"/>
                <w:color w:val="auto"/>
              </w:rPr>
            </w:pPr>
            <w:r>
              <w:rPr>
                <w:rFonts w:ascii="Arial" w:cs="Arial" w:eastAsia="Arial" w:hAnsi="Arial"/>
                <w:sz w:val="12"/>
                <w:szCs w:val="12"/>
                <w:color w:val="auto"/>
              </w:rPr>
              <w:t>1,366</w:t>
            </w:r>
          </w:p>
        </w:tc>
        <w:tc>
          <w:tcPr>
            <w:tcW w:w="80" w:type="dxa"/>
            <w:vAlign w:val="bottom"/>
          </w:tcPr>
          <w:p>
            <w:pPr>
              <w:spacing w:after="0"/>
              <w:rPr>
                <w:sz w:val="14"/>
                <w:szCs w:val="14"/>
                <w:color w:val="auto"/>
              </w:rPr>
            </w:pPr>
          </w:p>
        </w:tc>
        <w:tc>
          <w:tcPr>
            <w:tcW w:w="460" w:type="dxa"/>
            <w:vAlign w:val="bottom"/>
          </w:tcPr>
          <w:p>
            <w:pPr>
              <w:jc w:val="right"/>
              <w:ind w:right="1"/>
              <w:spacing w:after="0"/>
              <w:rPr>
                <w:sz w:val="20"/>
                <w:szCs w:val="20"/>
                <w:color w:val="auto"/>
              </w:rPr>
            </w:pPr>
            <w:r>
              <w:rPr>
                <w:rFonts w:ascii="Arial" w:cs="Arial" w:eastAsia="Arial" w:hAnsi="Arial"/>
                <w:sz w:val="12"/>
                <w:szCs w:val="12"/>
                <w:color w:val="auto"/>
              </w:rPr>
              <w:t>7,054</w:t>
            </w:r>
          </w:p>
        </w:tc>
        <w:tc>
          <w:tcPr>
            <w:tcW w:w="60" w:type="dxa"/>
            <w:vAlign w:val="bottom"/>
          </w:tcPr>
          <w:p>
            <w:pPr>
              <w:spacing w:after="0"/>
              <w:rPr>
                <w:sz w:val="14"/>
                <w:szCs w:val="14"/>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19,037</w:t>
            </w:r>
          </w:p>
        </w:tc>
        <w:tc>
          <w:tcPr>
            <w:tcW w:w="80" w:type="dxa"/>
            <w:vAlign w:val="bottom"/>
          </w:tcPr>
          <w:p>
            <w:pPr>
              <w:spacing w:after="0"/>
              <w:rPr>
                <w:sz w:val="14"/>
                <w:szCs w:val="14"/>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753,069</w:t>
            </w:r>
          </w:p>
        </w:tc>
        <w:tc>
          <w:tcPr>
            <w:tcW w:w="80" w:type="dxa"/>
            <w:vAlign w:val="bottom"/>
          </w:tcPr>
          <w:p>
            <w:pPr>
              <w:spacing w:after="0"/>
              <w:rPr>
                <w:sz w:val="14"/>
                <w:szCs w:val="14"/>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704,873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48,196</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6.84 %</w:t>
            </w:r>
          </w:p>
        </w:tc>
        <w:tc>
          <w:tcPr>
            <w:tcW w:w="0" w:type="dxa"/>
            <w:vAlign w:val="bottom"/>
          </w:tcPr>
          <w:p>
            <w:pPr>
              <w:spacing w:after="0"/>
              <w:rPr>
                <w:sz w:val="1"/>
                <w:szCs w:val="1"/>
                <w:color w:val="auto"/>
              </w:rPr>
            </w:pPr>
          </w:p>
        </w:tc>
      </w:tr>
      <w:tr>
        <w:trPr>
          <w:trHeight w:val="121"/>
        </w:trPr>
        <w:tc>
          <w:tcPr>
            <w:tcW w:w="110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Real Estate</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100" w:type="dxa"/>
            <w:vAlign w:val="bottom"/>
            <w:shd w:val="clear" w:color="auto" w:fill="CCEEFF"/>
          </w:tcPr>
          <w:p>
            <w:pPr>
              <w:ind w:left="180"/>
              <w:spacing w:after="0" w:line="114" w:lineRule="exact"/>
              <w:rPr>
                <w:sz w:val="20"/>
                <w:szCs w:val="20"/>
                <w:color w:val="auto"/>
              </w:rPr>
            </w:pPr>
            <w:r>
              <w:rPr>
                <w:rFonts w:ascii="Arial" w:cs="Arial" w:eastAsia="Arial" w:hAnsi="Arial"/>
                <w:sz w:val="12"/>
                <w:szCs w:val="12"/>
                <w:color w:val="auto"/>
              </w:rPr>
              <w:t>Operating</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11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Expenses</w:t>
            </w: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262,076</w:t>
            </w:r>
          </w:p>
        </w:tc>
        <w:tc>
          <w:tcPr>
            <w:tcW w:w="680" w:type="dxa"/>
            <w:vAlign w:val="bottom"/>
            <w:gridSpan w:val="2"/>
            <w:shd w:val="clear" w:color="auto" w:fill="CCEEFF"/>
          </w:tcPr>
          <w:p>
            <w:pPr>
              <w:jc w:val="right"/>
              <w:ind w:right="1"/>
              <w:spacing w:after="0"/>
              <w:rPr>
                <w:sz w:val="20"/>
                <w:szCs w:val="20"/>
                <w:color w:val="auto"/>
              </w:rPr>
            </w:pPr>
            <w:r>
              <w:rPr>
                <w:rFonts w:ascii="Arial" w:cs="Arial" w:eastAsia="Arial" w:hAnsi="Arial"/>
                <w:sz w:val="12"/>
                <w:szCs w:val="12"/>
                <w:color w:val="auto"/>
              </w:rPr>
              <w:t>244,283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17,793</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7.28 %</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3,894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334</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5,947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1,162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560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2,260</w:t>
            </w: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5,897</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274,678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252,236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22,442</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8.90 %</w:t>
            </w:r>
          </w:p>
        </w:tc>
        <w:tc>
          <w:tcPr>
            <w:tcW w:w="0" w:type="dxa"/>
            <w:vAlign w:val="bottom"/>
          </w:tcPr>
          <w:p>
            <w:pPr>
              <w:spacing w:after="0"/>
              <w:rPr>
                <w:sz w:val="1"/>
                <w:szCs w:val="1"/>
                <w:color w:val="auto"/>
              </w:rPr>
            </w:pPr>
          </w:p>
        </w:tc>
      </w:tr>
      <w:tr>
        <w:trPr>
          <w:trHeight w:val="94"/>
        </w:trPr>
        <w:tc>
          <w:tcPr>
            <w:tcW w:w="1100" w:type="dxa"/>
            <w:vAlign w:val="bottom"/>
          </w:tcPr>
          <w:p>
            <w:pPr>
              <w:ind w:left="20"/>
              <w:spacing w:after="0" w:line="94" w:lineRule="exact"/>
              <w:rPr>
                <w:sz w:val="20"/>
                <w:szCs w:val="20"/>
                <w:color w:val="auto"/>
              </w:rPr>
            </w:pPr>
            <w:r>
              <w:rPr>
                <w:rFonts w:ascii="Arial" w:cs="Arial" w:eastAsia="Arial" w:hAnsi="Arial"/>
                <w:sz w:val="9"/>
                <w:szCs w:val="9"/>
                <w:color w:val="auto"/>
              </w:rPr>
              <w:t>Net Operating</w:t>
            </w: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00" w:type="dxa"/>
            <w:vAlign w:val="bottom"/>
          </w:tcPr>
          <w:p>
            <w:pPr>
              <w:ind w:left="180"/>
              <w:spacing w:after="0" w:line="114" w:lineRule="exact"/>
              <w:rPr>
                <w:sz w:val="20"/>
                <w:szCs w:val="20"/>
                <w:color w:val="auto"/>
              </w:rPr>
            </w:pPr>
            <w:r>
              <w:rPr>
                <w:rFonts w:ascii="Arial" w:cs="Arial" w:eastAsia="Arial" w:hAnsi="Arial"/>
                <w:sz w:val="12"/>
                <w:szCs w:val="12"/>
                <w:color w:val="auto"/>
              </w:rPr>
              <w:t>Income (Loss),</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100" w:type="dxa"/>
            <w:vAlign w:val="bottom"/>
          </w:tcPr>
          <w:p>
            <w:pPr>
              <w:ind w:left="180"/>
              <w:spacing w:after="0" w:line="124" w:lineRule="exact"/>
              <w:rPr>
                <w:sz w:val="20"/>
                <w:szCs w:val="20"/>
                <w:color w:val="auto"/>
              </w:rPr>
            </w:pPr>
            <w:r>
              <w:rPr>
                <w:rFonts w:ascii="Arial" w:cs="Arial" w:eastAsia="Arial" w:hAnsi="Arial"/>
                <w:sz w:val="12"/>
                <w:szCs w:val="12"/>
                <w:color w:val="auto"/>
              </w:rPr>
              <w:t>Excluding</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100" w:type="dxa"/>
            <w:vAlign w:val="bottom"/>
          </w:tcPr>
          <w:p>
            <w:pPr>
              <w:ind w:left="180"/>
              <w:spacing w:after="0" w:line="117" w:lineRule="exact"/>
              <w:rPr>
                <w:sz w:val="20"/>
                <w:szCs w:val="20"/>
                <w:color w:val="auto"/>
              </w:rPr>
            </w:pPr>
            <w:r>
              <w:rPr>
                <w:rFonts w:ascii="Arial" w:cs="Arial" w:eastAsia="Arial" w:hAnsi="Arial"/>
                <w:sz w:val="12"/>
                <w:szCs w:val="12"/>
                <w:color w:val="auto"/>
              </w:rPr>
              <w:t>Residential and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00" w:type="dxa"/>
            <w:vAlign w:val="bottom"/>
          </w:tcPr>
          <w:p>
            <w:pPr>
              <w:ind w:left="180"/>
              <w:spacing w:after="0"/>
              <w:rPr>
                <w:sz w:val="20"/>
                <w:szCs w:val="20"/>
                <w:color w:val="auto"/>
              </w:rPr>
            </w:pPr>
            <w:r>
              <w:rPr>
                <w:rFonts w:ascii="Arial" w:cs="Arial" w:eastAsia="Arial" w:hAnsi="Arial"/>
                <w:sz w:val="12"/>
                <w:szCs w:val="12"/>
                <w:color w:val="auto"/>
              </w:rPr>
              <w:t>Hotel</w:t>
            </w: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444,545</w:t>
            </w:r>
          </w:p>
        </w:tc>
        <w:tc>
          <w:tcPr>
            <w:tcW w:w="680" w:type="dxa"/>
            <w:vAlign w:val="bottom"/>
            <w:gridSpan w:val="2"/>
          </w:tcPr>
          <w:p>
            <w:pPr>
              <w:jc w:val="right"/>
              <w:ind w:right="1"/>
              <w:spacing w:after="0"/>
              <w:rPr>
                <w:sz w:val="20"/>
                <w:szCs w:val="20"/>
                <w:color w:val="auto"/>
              </w:rPr>
            </w:pPr>
            <w:r>
              <w:rPr>
                <w:rFonts w:ascii="Arial" w:cs="Arial" w:eastAsia="Arial" w:hAnsi="Arial"/>
                <w:sz w:val="12"/>
                <w:szCs w:val="12"/>
                <w:color w:val="auto"/>
              </w:rPr>
              <w:t>437,940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6,605</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1.51 %</w:t>
            </w:r>
          </w:p>
        </w:tc>
        <w:tc>
          <w:tcPr>
            <w:tcW w:w="80" w:type="dxa"/>
            <w:vAlign w:val="bottom"/>
          </w:tcPr>
          <w:p>
            <w:pPr>
              <w:spacing w:after="0"/>
              <w:rPr>
                <w:sz w:val="14"/>
                <w:szCs w:val="14"/>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10,756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1"/>
              <w:spacing w:after="0"/>
              <w:rPr>
                <w:sz w:val="20"/>
                <w:szCs w:val="20"/>
                <w:color w:val="auto"/>
              </w:rPr>
            </w:pPr>
            <w:r>
              <w:rPr>
                <w:rFonts w:ascii="Arial" w:cs="Arial" w:eastAsia="Arial" w:hAnsi="Arial"/>
                <w:sz w:val="12"/>
                <w:szCs w:val="12"/>
                <w:color w:val="auto"/>
              </w:rPr>
              <w:t>161</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18,797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
              <w:spacing w:after="0"/>
              <w:rPr>
                <w:sz w:val="20"/>
                <w:szCs w:val="20"/>
                <w:color w:val="auto"/>
              </w:rPr>
            </w:pPr>
            <w:r>
              <w:rPr>
                <w:rFonts w:ascii="Arial" w:cs="Arial" w:eastAsia="Arial" w:hAnsi="Arial"/>
                <w:sz w:val="12"/>
                <w:szCs w:val="12"/>
                <w:color w:val="auto"/>
              </w:rPr>
              <w:t>590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
              <w:spacing w:after="0"/>
              <w:rPr>
                <w:sz w:val="20"/>
                <w:szCs w:val="20"/>
                <w:color w:val="auto"/>
              </w:rPr>
            </w:pPr>
            <w:r>
              <w:rPr>
                <w:rFonts w:ascii="Arial" w:cs="Arial" w:eastAsia="Arial" w:hAnsi="Arial"/>
                <w:sz w:val="12"/>
                <w:szCs w:val="12"/>
                <w:color w:val="auto"/>
              </w:rPr>
              <w:t>806</w:t>
            </w:r>
          </w:p>
        </w:tc>
        <w:tc>
          <w:tcPr>
            <w:tcW w:w="80" w:type="dxa"/>
            <w:vAlign w:val="bottom"/>
          </w:tcPr>
          <w:p>
            <w:pPr>
              <w:spacing w:after="0"/>
              <w:rPr>
                <w:sz w:val="14"/>
                <w:szCs w:val="14"/>
                <w:color w:val="auto"/>
              </w:rPr>
            </w:pPr>
          </w:p>
        </w:tc>
        <w:tc>
          <w:tcPr>
            <w:tcW w:w="460" w:type="dxa"/>
            <w:vAlign w:val="bottom"/>
          </w:tcPr>
          <w:p>
            <w:pPr>
              <w:jc w:val="right"/>
              <w:ind w:right="1"/>
              <w:spacing w:after="0"/>
              <w:rPr>
                <w:sz w:val="20"/>
                <w:szCs w:val="20"/>
                <w:color w:val="auto"/>
              </w:rPr>
            </w:pPr>
            <w:r>
              <w:rPr>
                <w:rFonts w:ascii="Arial" w:cs="Arial" w:eastAsia="Arial" w:hAnsi="Arial"/>
                <w:sz w:val="12"/>
                <w:szCs w:val="12"/>
                <w:color w:val="auto"/>
              </w:rPr>
              <w:t>4,794</w:t>
            </w:r>
          </w:p>
        </w:tc>
        <w:tc>
          <w:tcPr>
            <w:tcW w:w="60" w:type="dxa"/>
            <w:vAlign w:val="bottom"/>
          </w:tcPr>
          <w:p>
            <w:pPr>
              <w:spacing w:after="0"/>
              <w:rPr>
                <w:sz w:val="14"/>
                <w:szCs w:val="14"/>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13,140</w:t>
            </w:r>
          </w:p>
        </w:tc>
        <w:tc>
          <w:tcPr>
            <w:tcW w:w="80" w:type="dxa"/>
            <w:vAlign w:val="bottom"/>
          </w:tcPr>
          <w:p>
            <w:pPr>
              <w:spacing w:after="0"/>
              <w:rPr>
                <w:sz w:val="14"/>
                <w:szCs w:val="14"/>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478,391</w:t>
            </w:r>
          </w:p>
        </w:tc>
        <w:tc>
          <w:tcPr>
            <w:tcW w:w="80" w:type="dxa"/>
            <w:vAlign w:val="bottom"/>
          </w:tcPr>
          <w:p>
            <w:pPr>
              <w:spacing w:after="0"/>
              <w:rPr>
                <w:sz w:val="14"/>
                <w:szCs w:val="14"/>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452,637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25,754</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5.69 %</w:t>
            </w:r>
          </w:p>
        </w:tc>
        <w:tc>
          <w:tcPr>
            <w:tcW w:w="0" w:type="dxa"/>
            <w:vAlign w:val="bottom"/>
          </w:tcPr>
          <w:p>
            <w:pPr>
              <w:spacing w:after="0"/>
              <w:rPr>
                <w:sz w:val="1"/>
                <w:szCs w:val="1"/>
                <w:color w:val="auto"/>
              </w:rPr>
            </w:pPr>
          </w:p>
        </w:tc>
      </w:tr>
      <w:tr>
        <w:trPr>
          <w:trHeight w:val="121"/>
        </w:trPr>
        <w:tc>
          <w:tcPr>
            <w:tcW w:w="110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Residential Net</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100" w:type="dxa"/>
            <w:vAlign w:val="bottom"/>
            <w:shd w:val="clear" w:color="auto" w:fill="CCEEFF"/>
          </w:tcPr>
          <w:p>
            <w:pPr>
              <w:ind w:left="180"/>
              <w:spacing w:after="0" w:line="114" w:lineRule="exact"/>
              <w:rPr>
                <w:sz w:val="20"/>
                <w:szCs w:val="20"/>
                <w:color w:val="auto"/>
              </w:rPr>
            </w:pPr>
            <w:r>
              <w:rPr>
                <w:rFonts w:ascii="Arial" w:cs="Arial" w:eastAsia="Arial" w:hAnsi="Arial"/>
                <w:sz w:val="12"/>
                <w:szCs w:val="12"/>
                <w:color w:val="auto"/>
              </w:rPr>
              <w:t>Operating</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11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 (2)</w:t>
            </w: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7,316</w:t>
            </w:r>
          </w:p>
        </w:tc>
        <w:tc>
          <w:tcPr>
            <w:tcW w:w="680" w:type="dxa"/>
            <w:vAlign w:val="bottom"/>
            <w:gridSpan w:val="2"/>
            <w:shd w:val="clear" w:color="auto" w:fill="CCEEFF"/>
          </w:tcPr>
          <w:p>
            <w:pPr>
              <w:jc w:val="right"/>
              <w:ind w:right="1"/>
              <w:spacing w:after="0"/>
              <w:rPr>
                <w:sz w:val="20"/>
                <w:szCs w:val="20"/>
                <w:color w:val="auto"/>
              </w:rPr>
            </w:pPr>
            <w:r>
              <w:rPr>
                <w:rFonts w:ascii="Arial" w:cs="Arial" w:eastAsia="Arial" w:hAnsi="Arial"/>
                <w:sz w:val="12"/>
                <w:szCs w:val="12"/>
                <w:color w:val="auto"/>
              </w:rPr>
              <w:t>4,849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2,467</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50.88 %</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7,316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4,849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2,467</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50.88 %</w:t>
            </w:r>
          </w:p>
        </w:tc>
        <w:tc>
          <w:tcPr>
            <w:tcW w:w="0" w:type="dxa"/>
            <w:vAlign w:val="bottom"/>
          </w:tcPr>
          <w:p>
            <w:pPr>
              <w:spacing w:after="0"/>
              <w:rPr>
                <w:sz w:val="1"/>
                <w:szCs w:val="1"/>
                <w:color w:val="auto"/>
              </w:rPr>
            </w:pPr>
          </w:p>
        </w:tc>
      </w:tr>
      <w:tr>
        <w:trPr>
          <w:trHeight w:val="114"/>
        </w:trPr>
        <w:tc>
          <w:tcPr>
            <w:tcW w:w="1100" w:type="dxa"/>
            <w:vAlign w:val="bottom"/>
          </w:tcPr>
          <w:p>
            <w:pPr>
              <w:ind w:left="20"/>
              <w:spacing w:after="0" w:line="114" w:lineRule="exact"/>
              <w:rPr>
                <w:sz w:val="20"/>
                <w:szCs w:val="20"/>
                <w:color w:val="auto"/>
              </w:rPr>
            </w:pPr>
            <w:r>
              <w:rPr>
                <w:rFonts w:ascii="Arial" w:cs="Arial" w:eastAsia="Arial" w:hAnsi="Arial"/>
                <w:sz w:val="12"/>
                <w:szCs w:val="12"/>
                <w:color w:val="auto"/>
                <w:w w:val="99"/>
              </w:rPr>
              <w:t>Hotel Net Operating</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100" w:type="dxa"/>
            <w:vAlign w:val="bottom"/>
          </w:tcPr>
          <w:p>
            <w:pPr>
              <w:ind w:left="180"/>
              <w:spacing w:after="0"/>
              <w:rPr>
                <w:sz w:val="20"/>
                <w:szCs w:val="20"/>
                <w:color w:val="auto"/>
              </w:rPr>
            </w:pPr>
            <w:r>
              <w:rPr>
                <w:rFonts w:ascii="Arial" w:cs="Arial" w:eastAsia="Arial" w:hAnsi="Arial"/>
                <w:sz w:val="12"/>
                <w:szCs w:val="12"/>
                <w:color w:val="auto"/>
              </w:rPr>
              <w:t>Income (2)</w:t>
            </w: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3,201</w:t>
            </w:r>
          </w:p>
        </w:tc>
        <w:tc>
          <w:tcPr>
            <w:tcW w:w="680" w:type="dxa"/>
            <w:vAlign w:val="bottom"/>
            <w:gridSpan w:val="2"/>
          </w:tcPr>
          <w:p>
            <w:pPr>
              <w:jc w:val="right"/>
              <w:ind w:right="1"/>
              <w:spacing w:after="0"/>
              <w:rPr>
                <w:sz w:val="20"/>
                <w:szCs w:val="20"/>
                <w:color w:val="auto"/>
              </w:rPr>
            </w:pPr>
            <w:r>
              <w:rPr>
                <w:rFonts w:ascii="Arial" w:cs="Arial" w:eastAsia="Arial" w:hAnsi="Arial"/>
                <w:sz w:val="12"/>
                <w:szCs w:val="12"/>
                <w:color w:val="auto"/>
              </w:rPr>
              <w:t>1,243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1,958</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157.52 %</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3,201</w:t>
            </w:r>
          </w:p>
        </w:tc>
        <w:tc>
          <w:tcPr>
            <w:tcW w:w="80" w:type="dxa"/>
            <w:vAlign w:val="bottom"/>
          </w:tcPr>
          <w:p>
            <w:pPr>
              <w:spacing w:after="0"/>
              <w:rPr>
                <w:sz w:val="14"/>
                <w:szCs w:val="14"/>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1,243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1,958</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157.52 %</w:t>
            </w:r>
          </w:p>
        </w:tc>
        <w:tc>
          <w:tcPr>
            <w:tcW w:w="0" w:type="dxa"/>
            <w:vAlign w:val="bottom"/>
          </w:tcPr>
          <w:p>
            <w:pPr>
              <w:spacing w:after="0"/>
              <w:rPr>
                <w:sz w:val="1"/>
                <w:szCs w:val="1"/>
                <w:color w:val="auto"/>
              </w:rPr>
            </w:pPr>
          </w:p>
        </w:tc>
      </w:tr>
      <w:tr>
        <w:trPr>
          <w:trHeight w:val="101"/>
        </w:trPr>
        <w:tc>
          <w:tcPr>
            <w:tcW w:w="1100" w:type="dxa"/>
            <w:vAlign w:val="bottom"/>
            <w:tcBorders>
              <w:top w:val="single" w:sz="8" w:color="CCEEFF"/>
            </w:tcBorders>
            <w:shd w:val="clear" w:color="auto" w:fill="CCEEFF"/>
          </w:tcPr>
          <w:p>
            <w:pPr>
              <w:ind w:left="20"/>
              <w:spacing w:after="0" w:line="101" w:lineRule="exact"/>
              <w:rPr>
                <w:sz w:val="20"/>
                <w:szCs w:val="20"/>
                <w:color w:val="auto"/>
              </w:rPr>
            </w:pPr>
            <w:r>
              <w:rPr>
                <w:rFonts w:ascii="Arial" w:cs="Arial" w:eastAsia="Arial" w:hAnsi="Arial"/>
                <w:sz w:val="11"/>
                <w:szCs w:val="11"/>
                <w:color w:val="auto"/>
              </w:rPr>
              <w:t>Net Operating</w:t>
            </w: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11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 (Loss)</w:t>
            </w: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7"/>
              </w:rPr>
              <w:t>$ 455,062</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7"/>
              </w:rPr>
              <w:t>$ 444,032</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11,030</w:t>
            </w:r>
          </w:p>
        </w:tc>
        <w:tc>
          <w:tcPr>
            <w:tcW w:w="6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2.48 %</w:t>
            </w: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$ 10,756</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161</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$ 18,797</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590</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(501)</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806</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4"/>
              </w:rPr>
              <w:t>$ 4,794</w:t>
            </w:r>
          </w:p>
        </w:tc>
        <w:tc>
          <w:tcPr>
            <w:tcW w:w="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8"/>
              </w:rPr>
              <w:t>$ 13,140</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7"/>
              </w:rPr>
              <w:t>$ 488,908</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3"/>
              </w:rPr>
              <w:t>$ 458,729</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30,179</w:t>
            </w:r>
          </w:p>
        </w:tc>
        <w:tc>
          <w:tcPr>
            <w:tcW w:w="6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6.58 %</w:t>
            </w: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28" w:lineRule="exact"/>
        <w:rPr>
          <w:sz w:val="20"/>
          <w:szCs w:val="20"/>
          <w:color w:val="auto"/>
        </w:rPr>
      </w:pPr>
    </w:p>
    <w:p>
      <w:pPr>
        <w:ind w:left="620" w:right="460" w:hanging="314"/>
        <w:spacing w:after="0" w:line="287" w:lineRule="auto"/>
        <w:tabs>
          <w:tab w:leader="none" w:pos="607" w:val="left"/>
        </w:tabs>
        <w:numPr>
          <w:ilvl w:val="0"/>
          <w:numId w:val="46"/>
        </w:numPr>
        <w:rPr>
          <w:rFonts w:ascii="Arial" w:cs="Arial" w:eastAsia="Arial" w:hAnsi="Arial"/>
          <w:sz w:val="12"/>
          <w:szCs w:val="12"/>
          <w:color w:val="auto"/>
        </w:rPr>
      </w:pPr>
      <w:r>
        <w:rPr>
          <w:rFonts w:ascii="Arial" w:cs="Arial" w:eastAsia="Arial" w:hAnsi="Arial"/>
          <w:sz w:val="12"/>
          <w:szCs w:val="12"/>
          <w:color w:val="auto"/>
        </w:rPr>
        <w:t>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w:t>
      </w:r>
    </w:p>
    <w:p>
      <w:pPr>
        <w:ind w:left="620" w:right="160" w:hanging="314"/>
        <w:spacing w:after="0" w:line="241" w:lineRule="auto"/>
        <w:tabs>
          <w:tab w:leader="none" w:pos="607"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 a detailed discussion of NOI, including the reasons management believes NOI is useful to investors, see page 68. Residential Net Operating Income for the three months ended September 30, 2022 and 2021 is comprised of Residential Revenue of $14,340 and $10,894 less Residential Expenses of $7,024 and $6,045, respectively. Hotel Net Operating Income for the three months ended September 30, 2022 and 2021 is comprised of Hotel Revenue of $11,749 and $5,189 less Hotel Expenses of $8,548 and $3,946, respectively, per the Consolidated Statements of Operations.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u w:val="single" w:color="auto"/>
          <w:color w:val="auto"/>
        </w:rPr>
        <w:t>Same Property Portfolio</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Lease Revenue (Excluding Termination Income)</w:t>
      </w:r>
    </w:p>
    <w:p>
      <w:pPr>
        <w:spacing w:after="0" w:line="96" w:lineRule="exact"/>
        <w:rPr>
          <w:sz w:val="20"/>
          <w:szCs w:val="20"/>
          <w:color w:val="auto"/>
        </w:rPr>
      </w:pPr>
    </w:p>
    <w:p>
      <w:pPr>
        <w:ind w:right="100" w:firstLine="419"/>
        <w:spacing w:after="0" w:line="260" w:lineRule="auto"/>
        <w:rPr>
          <w:sz w:val="20"/>
          <w:szCs w:val="20"/>
          <w:color w:val="auto"/>
        </w:rPr>
      </w:pPr>
      <w:r>
        <w:rPr>
          <w:rFonts w:ascii="Arial" w:cs="Arial" w:eastAsia="Arial" w:hAnsi="Arial"/>
          <w:sz w:val="17"/>
          <w:szCs w:val="17"/>
          <w:color w:val="auto"/>
        </w:rPr>
        <w:t>Lease revenue (excluding termination income) from the Same Property Portfolio increased by approximately $21.0 million for the three months ended September 30, 2022 compared to 2021. The increase was a result of our average revenue per square foot increasing by approximately $2.88, contributing approximately $25.4 million, partially offset by an approximately $4.4 million decrease due to our average occupancy decreasing from 91.4% to 90.8%.</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Termination Income</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Termination income decreased by approximately $0.2 million for the three months ended September 30, 2022 compared to 2021.</w:t>
      </w:r>
    </w:p>
    <w:p>
      <w:pPr>
        <w:spacing w:after="0" w:line="160" w:lineRule="exact"/>
        <w:rPr>
          <w:sz w:val="20"/>
          <w:szCs w:val="20"/>
          <w:color w:val="auto"/>
        </w:rPr>
      </w:pPr>
    </w:p>
    <w:p>
      <w:pPr>
        <w:ind w:right="420" w:firstLine="419"/>
        <w:spacing w:after="0" w:line="283" w:lineRule="auto"/>
        <w:rPr>
          <w:sz w:val="20"/>
          <w:szCs w:val="20"/>
          <w:color w:val="auto"/>
        </w:rPr>
      </w:pPr>
      <w:r>
        <w:rPr>
          <w:rFonts w:ascii="Arial" w:cs="Arial" w:eastAsia="Arial" w:hAnsi="Arial"/>
          <w:sz w:val="17"/>
          <w:szCs w:val="17"/>
          <w:color w:val="auto"/>
        </w:rPr>
        <w:t>Termination income for the three months ended September 30, 2022 related to eight clients across the Same Property Portfolio and totaled approximately $1.7 million, which was primarily related to clients that terminated leases early in San Francisco.</w:t>
      </w:r>
    </w:p>
    <w:p>
      <w:pPr>
        <w:spacing w:after="0" w:line="97" w:lineRule="exact"/>
        <w:rPr>
          <w:sz w:val="20"/>
          <w:szCs w:val="20"/>
          <w:color w:val="auto"/>
        </w:rPr>
      </w:pPr>
    </w:p>
    <w:p>
      <w:pPr>
        <w:ind w:right="580" w:firstLine="419"/>
        <w:spacing w:after="0" w:line="283" w:lineRule="auto"/>
        <w:rPr>
          <w:sz w:val="20"/>
          <w:szCs w:val="20"/>
          <w:color w:val="auto"/>
        </w:rPr>
      </w:pPr>
      <w:r>
        <w:rPr>
          <w:rFonts w:ascii="Arial" w:cs="Arial" w:eastAsia="Arial" w:hAnsi="Arial"/>
          <w:sz w:val="17"/>
          <w:szCs w:val="17"/>
          <w:color w:val="auto"/>
        </w:rPr>
        <w:t>Termination income for the three months ended September 30, 2021 related to six clients across the Same Property Portfolio and totaled approximately $1.9 million, which was primarily related to clients that terminated leases early in New York City.</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Parking and Other Revenue</w:t>
      </w:r>
    </w:p>
    <w:p>
      <w:pPr>
        <w:spacing w:after="0" w:line="84" w:lineRule="exact"/>
        <w:rPr>
          <w:sz w:val="20"/>
          <w:szCs w:val="20"/>
          <w:color w:val="auto"/>
        </w:rPr>
      </w:pPr>
    </w:p>
    <w:p>
      <w:pPr>
        <w:jc w:val="both"/>
        <w:ind w:right="20" w:firstLine="381"/>
        <w:spacing w:after="0" w:line="266" w:lineRule="auto"/>
        <w:rPr>
          <w:sz w:val="20"/>
          <w:szCs w:val="20"/>
          <w:color w:val="auto"/>
        </w:rPr>
      </w:pPr>
      <w:r>
        <w:rPr>
          <w:rFonts w:ascii="Arial" w:cs="Arial" w:eastAsia="Arial" w:hAnsi="Arial"/>
          <w:sz w:val="17"/>
          <w:szCs w:val="17"/>
          <w:color w:val="auto"/>
        </w:rPr>
        <w:t>Parking and other revenue increased by approximately $3.5 million for the three months ended September 30, 2022 compared to 2021. Parking revenue increased by approximately $3.9 million and was partially offset by a decrease in other revenue of approximately $0.4 million. The increase in parking revenue was primarily due to an increase in transient and monthly parking.</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Real Estate Operating Expenses</w:t>
      </w:r>
    </w:p>
    <w:p>
      <w:pPr>
        <w:spacing w:after="0" w:line="96" w:lineRule="exact"/>
        <w:rPr>
          <w:sz w:val="20"/>
          <w:szCs w:val="20"/>
          <w:color w:val="auto"/>
        </w:rPr>
      </w:pPr>
    </w:p>
    <w:p>
      <w:pPr>
        <w:jc w:val="both"/>
        <w:ind w:firstLine="419"/>
        <w:spacing w:after="0" w:line="266" w:lineRule="auto"/>
        <w:rPr>
          <w:sz w:val="20"/>
          <w:szCs w:val="20"/>
          <w:color w:val="auto"/>
        </w:rPr>
      </w:pPr>
      <w:r>
        <w:rPr>
          <w:rFonts w:ascii="Arial" w:cs="Arial" w:eastAsia="Arial" w:hAnsi="Arial"/>
          <w:sz w:val="17"/>
          <w:szCs w:val="17"/>
          <w:color w:val="auto"/>
        </w:rPr>
        <w:t>Real estate operating expenses from the Same Property Portfolio increased by approximately $17.8 million, or 7.3%, for the three months ended September 30, 2022 compared to 2021, due primarily to an increase in operating expenses, including cleaning, utilities, repairs and maintenance, and roads/grounds/security. The increase in operating expenses was driven by an increase in physical occupancy.</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u w:val="single" w:color="auto"/>
          <w:color w:val="auto"/>
        </w:rPr>
        <w:t>Properties Acquired Portfolio</w:t>
      </w:r>
    </w:p>
    <w:p>
      <w:pPr>
        <w:spacing w:after="0" w:line="96" w:lineRule="exact"/>
        <w:rPr>
          <w:sz w:val="20"/>
          <w:szCs w:val="20"/>
          <w:color w:val="auto"/>
        </w:rPr>
      </w:pPr>
    </w:p>
    <w:p>
      <w:pPr>
        <w:ind w:firstLine="419"/>
        <w:spacing w:after="0" w:line="266" w:lineRule="auto"/>
        <w:rPr>
          <w:sz w:val="20"/>
          <w:szCs w:val="20"/>
          <w:color w:val="auto"/>
        </w:rPr>
      </w:pPr>
      <w:r>
        <w:rPr>
          <w:rFonts w:ascii="Arial" w:cs="Arial" w:eastAsia="Arial" w:hAnsi="Arial"/>
          <w:sz w:val="17"/>
          <w:szCs w:val="17"/>
          <w:color w:val="auto"/>
        </w:rPr>
        <w:t>The table below lists the properties acquired between July 1, 2021 and September 30, 2022. Rental revenue and real estate operating expenses increased by approximately $14.2 million and $3.6 million, respectively, for the three months ended September 30, 2022 compared to 2021, as detailed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5"/>
          </w:tcPr>
          <w:p>
            <w:pPr>
              <w:jc w:val="right"/>
              <w:ind w:right="72"/>
              <w:spacing w:after="0"/>
              <w:rPr>
                <w:sz w:val="20"/>
                <w:szCs w:val="20"/>
                <w:color w:val="auto"/>
              </w:rPr>
            </w:pPr>
            <w:r>
              <w:rPr>
                <w:rFonts w:ascii="Arial" w:cs="Arial" w:eastAsia="Arial" w:hAnsi="Arial"/>
                <w:sz w:val="13"/>
                <w:szCs w:val="13"/>
                <w:b w:val="1"/>
                <w:bCs w:val="1"/>
                <w:color w:val="auto"/>
              </w:rPr>
              <w:t>Rental Revenue</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jc w:val="right"/>
              <w:ind w:right="313"/>
              <w:spacing w:after="0"/>
              <w:rPr>
                <w:sz w:val="20"/>
                <w:szCs w:val="20"/>
                <w:color w:val="auto"/>
              </w:rPr>
            </w:pPr>
            <w:r>
              <w:rPr>
                <w:rFonts w:ascii="Arial" w:cs="Arial" w:eastAsia="Arial" w:hAnsi="Arial"/>
                <w:sz w:val="13"/>
                <w:szCs w:val="13"/>
                <w:b w:val="1"/>
                <w:bCs w:val="1"/>
                <w:color w:val="auto"/>
              </w:rPr>
              <w:t>Real Estate Operating Expenses</w:t>
            </w:r>
          </w:p>
        </w:tc>
      </w:tr>
      <w:tr>
        <w:trPr>
          <w:trHeight w:val="234"/>
        </w:trPr>
        <w:tc>
          <w:tcPr>
            <w:tcW w:w="2980" w:type="dxa"/>
            <w:vAlign w:val="bottom"/>
            <w:gridSpan w:val="2"/>
          </w:tcPr>
          <w:p>
            <w:pPr>
              <w:ind w:left="1260"/>
              <w:spacing w:after="0"/>
              <w:rPr>
                <w:sz w:val="20"/>
                <w:szCs w:val="20"/>
                <w:color w:val="auto"/>
              </w:rPr>
            </w:pPr>
            <w:r>
              <w:rPr>
                <w:rFonts w:ascii="Arial" w:cs="Arial" w:eastAsia="Arial" w:hAnsi="Arial"/>
                <w:sz w:val="13"/>
                <w:szCs w:val="13"/>
                <w:b w:val="1"/>
                <w:bCs w:val="1"/>
                <w:color w:val="auto"/>
              </w:rPr>
              <w:t>Name</w:t>
            </w:r>
          </w:p>
        </w:tc>
        <w:tc>
          <w:tcPr>
            <w:tcW w:w="1640" w:type="dxa"/>
            <w:vAlign w:val="bottom"/>
            <w:gridSpan w:val="2"/>
          </w:tcPr>
          <w:p>
            <w:pPr>
              <w:ind w:left="340"/>
              <w:spacing w:after="0"/>
              <w:rPr>
                <w:sz w:val="20"/>
                <w:szCs w:val="20"/>
                <w:color w:val="auto"/>
              </w:rPr>
            </w:pPr>
            <w:r>
              <w:rPr>
                <w:rFonts w:ascii="Arial" w:cs="Arial" w:eastAsia="Arial" w:hAnsi="Arial"/>
                <w:sz w:val="13"/>
                <w:szCs w:val="13"/>
                <w:b w:val="1"/>
                <w:bCs w:val="1"/>
                <w:color w:val="auto"/>
              </w:rPr>
              <w:t>Date acquired</w:t>
            </w: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20"/>
                <w:szCs w:val="20"/>
                <w:color w:val="auto"/>
              </w:rPr>
            </w:pPr>
          </w:p>
        </w:tc>
        <w:tc>
          <w:tcPr>
            <w:tcW w:w="660" w:type="dxa"/>
            <w:vAlign w:val="bottom"/>
          </w:tcPr>
          <w:p>
            <w:pPr>
              <w:jc w:val="right"/>
              <w:ind w:right="21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20"/>
                <w:szCs w:val="20"/>
                <w:color w:val="auto"/>
              </w:rPr>
            </w:pPr>
          </w:p>
        </w:tc>
        <w:tc>
          <w:tcPr>
            <w:tcW w:w="660" w:type="dxa"/>
            <w:vAlign w:val="bottom"/>
          </w:tcPr>
          <w:p>
            <w:pPr>
              <w:jc w:val="right"/>
              <w:ind w:right="21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7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133"/>
              <w:spacing w:after="0"/>
              <w:rPr>
                <w:sz w:val="20"/>
                <w:szCs w:val="20"/>
                <w:color w:val="auto"/>
              </w:rPr>
            </w:pPr>
            <w:r>
              <w:rPr>
                <w:rFonts w:ascii="Arial" w:cs="Arial" w:eastAsia="Arial" w:hAnsi="Arial"/>
                <w:sz w:val="13"/>
                <w:szCs w:val="13"/>
                <w:b w:val="1"/>
                <w:bCs w:val="1"/>
                <w:color w:val="auto"/>
              </w:rPr>
              <w:t>Change</w:t>
            </w:r>
          </w:p>
        </w:tc>
      </w:tr>
      <w:tr>
        <w:trPr>
          <w:trHeight w:val="170"/>
        </w:trPr>
        <w:tc>
          <w:tcPr>
            <w:tcW w:w="2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5"/>
          </w:tcPr>
          <w:p>
            <w:pPr>
              <w:ind w:left="12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r>
      <w:tr>
        <w:trPr>
          <w:trHeight w:val="193"/>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Shady Grove Innovation District</w:t>
            </w: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August 2, 2021</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232,278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227</w:t>
            </w:r>
          </w:p>
        </w:tc>
      </w:tr>
      <w:tr>
        <w:trPr>
          <w:trHeight w:val="186"/>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Madison Centre (1)</w:t>
            </w:r>
          </w:p>
        </w:tc>
        <w:tc>
          <w:tcPr>
            <w:tcW w:w="1640" w:type="dxa"/>
            <w:vAlign w:val="bottom"/>
            <w:gridSpan w:val="2"/>
          </w:tcPr>
          <w:p>
            <w:pPr>
              <w:spacing w:after="0"/>
              <w:rPr>
                <w:sz w:val="20"/>
                <w:szCs w:val="20"/>
                <w:color w:val="auto"/>
              </w:rPr>
            </w:pPr>
            <w:r>
              <w:rPr>
                <w:rFonts w:ascii="Arial" w:cs="Arial" w:eastAsia="Arial" w:hAnsi="Arial"/>
                <w:sz w:val="14"/>
                <w:szCs w:val="14"/>
                <w:color w:val="auto"/>
              </w:rPr>
              <w:t>May 17, 2022</w:t>
            </w:r>
          </w:p>
        </w:tc>
        <w:tc>
          <w:tcPr>
            <w:tcW w:w="940" w:type="dxa"/>
            <w:vAlign w:val="bottom"/>
          </w:tcPr>
          <w:p>
            <w:pPr>
              <w:jc w:val="right"/>
              <w:spacing w:after="0"/>
              <w:rPr>
                <w:sz w:val="20"/>
                <w:szCs w:val="20"/>
                <w:color w:val="auto"/>
              </w:rPr>
            </w:pPr>
            <w:r>
              <w:rPr>
                <w:rFonts w:ascii="Arial" w:cs="Arial" w:eastAsia="Arial" w:hAnsi="Arial"/>
                <w:sz w:val="14"/>
                <w:szCs w:val="14"/>
                <w:color w:val="auto"/>
              </w:rPr>
              <w:t>754,988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12,293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color w:val="auto"/>
              </w:rPr>
              <w:t>3,125</w:t>
            </w:r>
          </w:p>
        </w:tc>
      </w:tr>
      <w:tr>
        <w:trPr>
          <w:trHeight w:val="19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125 Broadway</w:t>
            </w: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16,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271,000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208</w:t>
            </w:r>
          </w:p>
        </w:tc>
      </w:tr>
      <w:tr>
        <w:trPr>
          <w:trHeight w:val="183"/>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1,258,266</w:t>
            </w:r>
          </w:p>
        </w:tc>
        <w:tc>
          <w:tcPr>
            <w:tcW w:w="100" w:type="dxa"/>
            <w:vAlign w:val="bottom"/>
          </w:tcPr>
          <w:p>
            <w:pPr>
              <w:spacing w:after="0"/>
              <w:rPr>
                <w:sz w:val="15"/>
                <w:szCs w:val="15"/>
                <w:color w:val="auto"/>
              </w:rPr>
            </w:pPr>
          </w:p>
        </w:tc>
        <w:tc>
          <w:tcPr>
            <w:tcW w:w="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14,650</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14,155</w:t>
            </w:r>
          </w:p>
        </w:tc>
        <w:tc>
          <w:tcPr>
            <w:tcW w:w="100" w:type="dxa"/>
            <w:vAlign w:val="bottom"/>
          </w:tcPr>
          <w:p>
            <w:pPr>
              <w:spacing w:after="0"/>
              <w:rPr>
                <w:sz w:val="15"/>
                <w:szCs w:val="15"/>
                <w:color w:val="auto"/>
              </w:rPr>
            </w:pP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3,894</w:t>
            </w:r>
          </w:p>
        </w:tc>
        <w:tc>
          <w:tcPr>
            <w:tcW w:w="100" w:type="dxa"/>
            <w:vAlign w:val="bottom"/>
          </w:tcPr>
          <w:p>
            <w:pPr>
              <w:spacing w:after="0"/>
              <w:rPr>
                <w:sz w:val="15"/>
                <w:szCs w:val="15"/>
                <w:color w:val="auto"/>
              </w:rPr>
            </w:pPr>
          </w:p>
        </w:tc>
        <w:tc>
          <w:tcPr>
            <w:tcW w:w="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3"/>
              <w:spacing w:after="0"/>
              <w:rPr>
                <w:sz w:val="20"/>
                <w:szCs w:val="20"/>
                <w:color w:val="auto"/>
              </w:rPr>
            </w:pPr>
            <w:r>
              <w:rPr>
                <w:rFonts w:ascii="Arial" w:cs="Arial" w:eastAsia="Arial" w:hAnsi="Arial"/>
                <w:sz w:val="14"/>
                <w:szCs w:val="14"/>
                <w:color w:val="auto"/>
              </w:rPr>
              <w:t>3,560</w:t>
            </w:r>
          </w:p>
        </w:tc>
      </w:tr>
      <w:tr>
        <w:trPr>
          <w:trHeight w:val="22"/>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w:t>
      </w:r>
    </w:p>
    <w:p>
      <w:pPr>
        <w:spacing w:after="0" w:line="26" w:lineRule="exact"/>
        <w:rPr>
          <w:sz w:val="20"/>
          <w:szCs w:val="20"/>
          <w:color w:val="auto"/>
        </w:rPr>
      </w:pPr>
    </w:p>
    <w:p>
      <w:pPr>
        <w:ind w:left="520" w:hanging="29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5"/>
          <w:szCs w:val="15"/>
          <w:color w:val="auto"/>
        </w:rPr>
        <w:t>Rental revenue for the three months ended September 30, 2022 includes approximately $0.3 million of termination income.</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u w:val="single" w:color="auto"/>
          <w:color w:val="auto"/>
        </w:rPr>
        <w:t>Properties Placed In-Service Portfolio</w:t>
      </w:r>
    </w:p>
    <w:p>
      <w:pPr>
        <w:spacing w:after="0" w:line="96" w:lineRule="exact"/>
        <w:rPr>
          <w:sz w:val="20"/>
          <w:szCs w:val="20"/>
          <w:color w:val="auto"/>
        </w:rPr>
      </w:pPr>
    </w:p>
    <w:p>
      <w:pPr>
        <w:ind w:right="40" w:firstLine="419"/>
        <w:spacing w:after="0" w:line="266" w:lineRule="auto"/>
        <w:rPr>
          <w:sz w:val="20"/>
          <w:szCs w:val="20"/>
          <w:color w:val="auto"/>
        </w:rPr>
      </w:pPr>
      <w:r>
        <w:rPr>
          <w:rFonts w:ascii="Arial" w:cs="Arial" w:eastAsia="Arial" w:hAnsi="Arial"/>
          <w:sz w:val="17"/>
          <w:szCs w:val="17"/>
          <w:color w:val="auto"/>
        </w:rPr>
        <w:t>The table below lists the properties that were placed in-service or partially placed in-service between July 1, 2021 and September 30, 2022. Rental revenue and real estate operating expenses from our Properties Placed In-Service Portfolio increased by approximately $23.0 million and $4.8 million, respectively, for the three months ended September 30, 2022 compared to 2021, as detailed below.</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8"/>
              </w:rPr>
              <w:t>Rental Revenue</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jc w:val="right"/>
              <w:ind w:right="293"/>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140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4"/>
                <w:szCs w:val="14"/>
                <w:color w:val="auto"/>
              </w:rPr>
            </w:pPr>
          </w:p>
        </w:tc>
        <w:tc>
          <w:tcPr>
            <w:tcW w:w="1480" w:type="dxa"/>
            <w:vAlign w:val="bottom"/>
            <w:gridSpan w:val="2"/>
          </w:tcPr>
          <w:p>
            <w:pPr>
              <w:ind w:left="220"/>
              <w:spacing w:after="0"/>
              <w:rPr>
                <w:sz w:val="20"/>
                <w:szCs w:val="20"/>
                <w:color w:val="auto"/>
              </w:rPr>
            </w:pPr>
            <w:r>
              <w:rPr>
                <w:rFonts w:ascii="Arial" w:cs="Arial" w:eastAsia="Arial" w:hAnsi="Arial"/>
                <w:sz w:val="13"/>
                <w:szCs w:val="13"/>
                <w:b w:val="1"/>
                <w:bCs w:val="1"/>
                <w:color w:val="auto"/>
              </w:rPr>
              <w:t>Quarter Initially</w:t>
            </w:r>
          </w:p>
        </w:tc>
        <w:tc>
          <w:tcPr>
            <w:tcW w:w="1440" w:type="dxa"/>
            <w:vAlign w:val="bottom"/>
            <w:gridSpan w:val="2"/>
          </w:tcPr>
          <w:p>
            <w:pPr>
              <w:ind w:left="260"/>
              <w:spacing w:after="0"/>
              <w:rPr>
                <w:sz w:val="20"/>
                <w:szCs w:val="20"/>
                <w:color w:val="auto"/>
              </w:rPr>
            </w:pPr>
            <w:r>
              <w:rPr>
                <w:rFonts w:ascii="Arial" w:cs="Arial" w:eastAsia="Arial" w:hAnsi="Arial"/>
                <w:sz w:val="13"/>
                <w:szCs w:val="13"/>
                <w:b w:val="1"/>
                <w:bCs w:val="1"/>
                <w:color w:val="auto"/>
              </w:rPr>
              <w:t>Quarter Fully</w:t>
            </w:r>
          </w:p>
        </w:tc>
        <w:tc>
          <w:tcPr>
            <w:tcW w:w="10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4"/>
                <w:szCs w:val="14"/>
                <w:color w:val="auto"/>
              </w:rPr>
            </w:pPr>
          </w:p>
        </w:tc>
        <w:tc>
          <w:tcPr>
            <w:tcW w:w="66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160"/>
              <w:spacing w:after="0"/>
              <w:rPr>
                <w:sz w:val="20"/>
                <w:szCs w:val="20"/>
                <w:color w:val="auto"/>
              </w:rPr>
            </w:pPr>
            <w:r>
              <w:rPr>
                <w:rFonts w:ascii="Arial" w:cs="Arial" w:eastAsia="Arial" w:hAnsi="Arial"/>
                <w:sz w:val="13"/>
                <w:szCs w:val="13"/>
                <w:b w:val="1"/>
                <w:bCs w:val="1"/>
                <w:color w:val="auto"/>
              </w:rPr>
              <w:t>Placed In-Service</w:t>
            </w:r>
          </w:p>
        </w:tc>
        <w:tc>
          <w:tcPr>
            <w:tcW w:w="1440" w:type="dxa"/>
            <w:vAlign w:val="bottom"/>
            <w:gridSpan w:val="2"/>
          </w:tcPr>
          <w:p>
            <w:pPr>
              <w:ind w:left="140"/>
              <w:spacing w:after="0"/>
              <w:rPr>
                <w:sz w:val="20"/>
                <w:szCs w:val="20"/>
                <w:color w:val="auto"/>
              </w:rPr>
            </w:pPr>
            <w:r>
              <w:rPr>
                <w:rFonts w:ascii="Arial" w:cs="Arial" w:eastAsia="Arial" w:hAnsi="Arial"/>
                <w:sz w:val="13"/>
                <w:szCs w:val="13"/>
                <w:b w:val="1"/>
                <w:bCs w:val="1"/>
                <w:color w:val="auto"/>
              </w:rPr>
              <w:t>Placed In-Service</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200</w:t>
            </w:r>
          </w:p>
        </w:tc>
        <w:tc>
          <w:tcPr>
            <w:tcW w:w="1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West Street (1)</w:t>
            </w: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Fourth Quarter, 2020</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Fourth Quarter, 2021</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273,365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86"/>
        </w:trPr>
        <w:tc>
          <w:tcPr>
            <w:tcW w:w="1660" w:type="dxa"/>
            <w:vAlign w:val="bottom"/>
            <w:gridSpan w:val="2"/>
          </w:tcPr>
          <w:p>
            <w:pPr>
              <w:ind w:left="20"/>
              <w:spacing w:after="0"/>
              <w:rPr>
                <w:sz w:val="20"/>
                <w:szCs w:val="20"/>
                <w:color w:val="auto"/>
              </w:rPr>
            </w:pPr>
            <w:r>
              <w:rPr>
                <w:rFonts w:ascii="Arial" w:cs="Arial" w:eastAsia="Arial" w:hAnsi="Arial"/>
                <w:sz w:val="14"/>
                <w:szCs w:val="14"/>
                <w:color w:val="auto"/>
              </w:rPr>
              <w:t>Reston Next</w:t>
            </w: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Arial" w:cs="Arial" w:eastAsia="Arial" w:hAnsi="Arial"/>
                <w:sz w:val="14"/>
                <w:szCs w:val="14"/>
                <w:color w:val="auto"/>
              </w:rPr>
              <w:t>Fourth Quarter, 2021</w:t>
            </w:r>
          </w:p>
        </w:tc>
        <w:tc>
          <w:tcPr>
            <w:tcW w:w="1440" w:type="dxa"/>
            <w:vAlign w:val="bottom"/>
            <w:gridSpan w:val="2"/>
          </w:tcPr>
          <w:p>
            <w:pPr>
              <w:ind w:left="20"/>
              <w:spacing w:after="0"/>
              <w:rPr>
                <w:sz w:val="20"/>
                <w:szCs w:val="20"/>
                <w:color w:val="auto"/>
              </w:rPr>
            </w:pPr>
            <w:r>
              <w:rPr>
                <w:rFonts w:ascii="Arial" w:cs="Arial" w:eastAsia="Arial" w:hAnsi="Arial"/>
                <w:sz w:val="14"/>
                <w:szCs w:val="14"/>
                <w:color w:val="auto"/>
              </w:rPr>
              <w:t>N/A</w:t>
            </w:r>
          </w:p>
        </w:tc>
        <w:tc>
          <w:tcPr>
            <w:tcW w:w="960" w:type="dxa"/>
            <w:vAlign w:val="bottom"/>
          </w:tcPr>
          <w:p>
            <w:pPr>
              <w:jc w:val="right"/>
              <w:spacing w:after="0"/>
              <w:rPr>
                <w:sz w:val="20"/>
                <w:szCs w:val="20"/>
                <w:color w:val="auto"/>
              </w:rPr>
            </w:pPr>
            <w:r>
              <w:rPr>
                <w:rFonts w:ascii="Arial" w:cs="Arial" w:eastAsia="Arial" w:hAnsi="Arial"/>
                <w:sz w:val="14"/>
                <w:szCs w:val="14"/>
                <w:color w:val="auto"/>
              </w:rPr>
              <w:t>1,062,000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2,830</w:t>
            </w:r>
          </w:p>
        </w:tc>
        <w:tc>
          <w:tcPr>
            <w:tcW w:w="0" w:type="dxa"/>
            <w:vAlign w:val="bottom"/>
          </w:tcPr>
          <w:p>
            <w:pPr>
              <w:spacing w:after="0"/>
              <w:rPr>
                <w:sz w:val="1"/>
                <w:szCs w:val="1"/>
                <w:color w:val="auto"/>
              </w:rPr>
            </w:pPr>
          </w:p>
        </w:tc>
      </w:tr>
      <w:tr>
        <w:trPr>
          <w:trHeight w:val="149"/>
        </w:trPr>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94"/>
              </w:rPr>
              <w:t>325</w:t>
            </w:r>
          </w:p>
        </w:tc>
        <w:tc>
          <w:tcPr>
            <w:tcW w:w="14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Main Street (2)</w:t>
            </w:r>
          </w:p>
        </w:tc>
        <w:tc>
          <w:tcPr>
            <w:tcW w:w="10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Second Quarter, 2022</w:t>
            </w:r>
          </w:p>
        </w:tc>
        <w:tc>
          <w:tcPr>
            <w:tcW w:w="14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Second Quarter,</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414,008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10,082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10,082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73"/>
        </w:trPr>
        <w:tc>
          <w:tcPr>
            <w:tcW w:w="260" w:type="dxa"/>
            <w:vAlign w:val="bottom"/>
            <w:vMerge w:val="continue"/>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gridSpan w:val="2"/>
            <w:vMerge w:val="continue"/>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66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2100 Pennsylvania</w:t>
            </w:r>
          </w:p>
        </w:tc>
        <w:tc>
          <w:tcPr>
            <w:tcW w:w="100" w:type="dxa"/>
            <w:vAlign w:val="bottom"/>
          </w:tcPr>
          <w:p>
            <w:pPr>
              <w:spacing w:after="0"/>
              <w:rPr>
                <w:sz w:val="12"/>
                <w:szCs w:val="12"/>
                <w:color w:val="auto"/>
              </w:rPr>
            </w:pPr>
          </w:p>
        </w:tc>
        <w:tc>
          <w:tcPr>
            <w:tcW w:w="1480" w:type="dxa"/>
            <w:vAlign w:val="bottom"/>
            <w:gridSpan w:val="2"/>
            <w:vMerge w:val="restart"/>
          </w:tcPr>
          <w:p>
            <w:pPr>
              <w:spacing w:after="0"/>
              <w:rPr>
                <w:sz w:val="20"/>
                <w:szCs w:val="20"/>
                <w:color w:val="auto"/>
              </w:rPr>
            </w:pPr>
            <w:r>
              <w:rPr>
                <w:rFonts w:ascii="Arial" w:cs="Arial" w:eastAsia="Arial" w:hAnsi="Arial"/>
                <w:sz w:val="14"/>
                <w:szCs w:val="14"/>
                <w:color w:val="auto"/>
              </w:rPr>
              <w:t>Second Quarter, 2022</w:t>
            </w: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color w:val="auto"/>
              </w:rPr>
              <w:t>N/A</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480,000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73"/>
        </w:trPr>
        <w:tc>
          <w:tcPr>
            <w:tcW w:w="1660" w:type="dxa"/>
            <w:vAlign w:val="bottom"/>
            <w:gridSpan w:val="2"/>
          </w:tcPr>
          <w:p>
            <w:pPr>
              <w:ind w:left="180"/>
              <w:spacing w:after="0"/>
              <w:rPr>
                <w:sz w:val="20"/>
                <w:szCs w:val="20"/>
                <w:color w:val="auto"/>
              </w:rPr>
            </w:pPr>
            <w:r>
              <w:rPr>
                <w:rFonts w:ascii="Arial" w:cs="Arial" w:eastAsia="Arial" w:hAnsi="Arial"/>
                <w:sz w:val="14"/>
                <w:szCs w:val="14"/>
                <w:color w:val="auto"/>
              </w:rPr>
              <w:t>Avenue</w:t>
            </w:r>
          </w:p>
        </w:tc>
        <w:tc>
          <w:tcPr>
            <w:tcW w:w="1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880</w:t>
            </w:r>
          </w:p>
        </w:tc>
        <w:tc>
          <w:tcPr>
            <w:tcW w:w="1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Winter Street (3)</w:t>
            </w: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Third Quarter, 2022</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244,000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2,473,373</w:t>
            </w:r>
          </w:p>
        </w:tc>
        <w:tc>
          <w:tcPr>
            <w:tcW w:w="100" w:type="dxa"/>
            <w:vAlign w:val="bottom"/>
          </w:tcPr>
          <w:p>
            <w:pPr>
              <w:spacing w:after="0"/>
              <w:rPr>
                <w:sz w:val="15"/>
                <w:szCs w:val="15"/>
                <w:color w:val="auto"/>
              </w:rPr>
            </w:pPr>
          </w:p>
        </w:tc>
        <w:tc>
          <w:tcPr>
            <w:tcW w:w="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24,744</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1,752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22,992</w:t>
            </w:r>
          </w:p>
        </w:tc>
        <w:tc>
          <w:tcPr>
            <w:tcW w:w="100" w:type="dxa"/>
            <w:vAlign w:val="bottom"/>
          </w:tcPr>
          <w:p>
            <w:pPr>
              <w:spacing w:after="0"/>
              <w:rPr>
                <w:sz w:val="15"/>
                <w:szCs w:val="15"/>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5,947</w:t>
            </w:r>
          </w:p>
        </w:tc>
        <w:tc>
          <w:tcPr>
            <w:tcW w:w="100" w:type="dxa"/>
            <w:vAlign w:val="bottom"/>
          </w:tcPr>
          <w:p>
            <w:pPr>
              <w:spacing w:after="0"/>
              <w:rPr>
                <w:sz w:val="15"/>
                <w:szCs w:val="15"/>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1,162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4,785</w:t>
            </w:r>
          </w:p>
        </w:tc>
        <w:tc>
          <w:tcPr>
            <w:tcW w:w="0" w:type="dxa"/>
            <w:vAlign w:val="bottom"/>
          </w:tcPr>
          <w:p>
            <w:pPr>
              <w:spacing w:after="0"/>
              <w:rPr>
                <w:sz w:val="1"/>
                <w:szCs w:val="1"/>
                <w:color w:val="auto"/>
              </w:rPr>
            </w:pPr>
          </w:p>
        </w:tc>
      </w:tr>
      <w:tr>
        <w:trPr>
          <w:trHeight w:val="22"/>
        </w:trPr>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w:t>
      </w:r>
    </w:p>
    <w:p>
      <w:pPr>
        <w:spacing w:after="0" w:line="26" w:lineRule="exact"/>
        <w:rPr>
          <w:sz w:val="20"/>
          <w:szCs w:val="20"/>
          <w:color w:val="auto"/>
        </w:rPr>
      </w:pPr>
    </w:p>
    <w:p>
      <w:pPr>
        <w:ind w:left="540" w:hanging="310"/>
        <w:spacing w:after="0"/>
        <w:tabs>
          <w:tab w:leader="none" w:pos="5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Includes 138,444 square feet of redevelopment that was fully placed in-service in December 2021.</w:t>
      </w:r>
    </w:p>
    <w:p>
      <w:pPr>
        <w:spacing w:after="0" w:line="5" w:lineRule="exact"/>
        <w:rPr>
          <w:rFonts w:ascii="Arial" w:cs="Arial" w:eastAsia="Arial" w:hAnsi="Arial"/>
          <w:sz w:val="15"/>
          <w:szCs w:val="15"/>
          <w:color w:val="auto"/>
        </w:rPr>
      </w:pPr>
    </w:p>
    <w:p>
      <w:pPr>
        <w:ind w:left="540" w:hanging="310"/>
        <w:spacing w:after="0"/>
        <w:tabs>
          <w:tab w:leader="none" w:pos="5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Real estate operating expenses for the three months ended September 30, 2021 were related to demolition costs.</w:t>
      </w:r>
    </w:p>
    <w:p>
      <w:pPr>
        <w:spacing w:after="0" w:line="13" w:lineRule="exact"/>
        <w:rPr>
          <w:rFonts w:ascii="Arial" w:cs="Arial" w:eastAsia="Arial" w:hAnsi="Arial"/>
          <w:sz w:val="15"/>
          <w:szCs w:val="15"/>
          <w:color w:val="auto"/>
        </w:rPr>
      </w:pPr>
    </w:p>
    <w:p>
      <w:pPr>
        <w:ind w:left="540" w:hanging="310"/>
        <w:spacing w:after="0"/>
        <w:tabs>
          <w:tab w:leader="none" w:pos="5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Conversion of a 224,000 square foot office property located in Waltham, Massachusetts to laboratory space.</w:t>
      </w:r>
    </w:p>
    <w:p>
      <w:pPr>
        <w:spacing w:after="0" w:line="37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u w:val="single" w:color="auto"/>
          <w:color w:val="auto"/>
        </w:rPr>
        <w:t>Properties in Development or Redevelopment Portfolio</w:t>
      </w:r>
    </w:p>
    <w:p>
      <w:pPr>
        <w:spacing w:after="0" w:line="96" w:lineRule="exact"/>
        <w:rPr>
          <w:sz w:val="20"/>
          <w:szCs w:val="20"/>
          <w:color w:val="auto"/>
        </w:rPr>
      </w:pPr>
    </w:p>
    <w:p>
      <w:pPr>
        <w:ind w:right="20" w:firstLine="419"/>
        <w:spacing w:after="0" w:line="266" w:lineRule="auto"/>
        <w:rPr>
          <w:sz w:val="20"/>
          <w:szCs w:val="20"/>
          <w:color w:val="auto"/>
        </w:rPr>
      </w:pPr>
      <w:r>
        <w:rPr>
          <w:rFonts w:ascii="Arial" w:cs="Arial" w:eastAsia="Arial" w:hAnsi="Arial"/>
          <w:sz w:val="17"/>
          <w:szCs w:val="17"/>
          <w:color w:val="auto"/>
        </w:rPr>
        <w:t>The table below lists the properties that were in development or redevelopment between July 1, 2021 and September 30, 2022. Rental revenue and real estate operating expenses from our Properties in Development or Redevelopment Portfolio decreased by approximately $1.4 million and $0.1 million, respectively, for the three months ended September 30, 2022 compared to 2021, as detailed below.</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8"/>
              </w:rPr>
              <w:t>Rental Revenue</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ind w:left="300"/>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12"/>
        </w:trPr>
        <w:tc>
          <w:tcPr>
            <w:tcW w:w="2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gridSpan w:val="2"/>
          </w:tcPr>
          <w:p>
            <w:pPr>
              <w:jc w:val="center"/>
              <w:ind w:right="80"/>
              <w:spacing w:after="0" w:line="112" w:lineRule="exact"/>
              <w:rPr>
                <w:sz w:val="20"/>
                <w:szCs w:val="20"/>
                <w:color w:val="auto"/>
              </w:rPr>
            </w:pPr>
            <w:r>
              <w:rPr>
                <w:rFonts w:ascii="Arial" w:cs="Arial" w:eastAsia="Arial" w:hAnsi="Arial"/>
                <w:sz w:val="12"/>
                <w:szCs w:val="12"/>
                <w:b w:val="1"/>
                <w:bCs w:val="1"/>
                <w:color w:val="auto"/>
              </w:rPr>
              <w:t>Date Commenced</w:t>
            </w: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60" w:type="dxa"/>
            <w:vAlign w:val="bottom"/>
          </w:tcPr>
          <w:p>
            <w:pPr>
              <w:spacing w:after="0"/>
              <w:rPr>
                <w:sz w:val="11"/>
                <w:szCs w:val="11"/>
                <w:color w:val="auto"/>
              </w:rPr>
            </w:pPr>
          </w:p>
        </w:tc>
        <w:tc>
          <w:tcPr>
            <w:tcW w:w="2140" w:type="dxa"/>
            <w:vAlign w:val="bottom"/>
            <w:gridSpan w:val="2"/>
            <w:vMerge w:val="restart"/>
          </w:tcPr>
          <w:p>
            <w:pPr>
              <w:ind w:left="720"/>
              <w:spacing w:after="0"/>
              <w:rPr>
                <w:sz w:val="20"/>
                <w:szCs w:val="20"/>
                <w:color w:val="auto"/>
              </w:rPr>
            </w:pPr>
            <w:r>
              <w:rPr>
                <w:rFonts w:ascii="Arial" w:cs="Arial" w:eastAsia="Arial" w:hAnsi="Arial"/>
                <w:sz w:val="13"/>
                <w:szCs w:val="13"/>
                <w:b w:val="1"/>
                <w:bCs w:val="1"/>
                <w:color w:val="auto"/>
              </w:rPr>
              <w:t>Name</w:t>
            </w:r>
          </w:p>
        </w:tc>
        <w:tc>
          <w:tcPr>
            <w:tcW w:w="1800" w:type="dxa"/>
            <w:vAlign w:val="bottom"/>
            <w:gridSpan w:val="2"/>
          </w:tcPr>
          <w:p>
            <w:pPr>
              <w:jc w:val="center"/>
              <w:ind w:right="100"/>
              <w:spacing w:after="0" w:line="127" w:lineRule="exact"/>
              <w:rPr>
                <w:sz w:val="20"/>
                <w:szCs w:val="20"/>
                <w:color w:val="auto"/>
              </w:rPr>
            </w:pPr>
            <w:r>
              <w:rPr>
                <w:rFonts w:ascii="Arial" w:cs="Arial" w:eastAsia="Arial" w:hAnsi="Arial"/>
                <w:sz w:val="13"/>
                <w:szCs w:val="13"/>
                <w:b w:val="1"/>
                <w:bCs w:val="1"/>
                <w:color w:val="auto"/>
                <w:w w:val="96"/>
              </w:rPr>
              <w:t>Development /</w:t>
            </w:r>
          </w:p>
        </w:tc>
        <w:tc>
          <w:tcPr>
            <w:tcW w:w="10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Square Feet</w:t>
            </w:r>
          </w:p>
        </w:tc>
        <w:tc>
          <w:tcPr>
            <w:tcW w:w="200" w:type="dxa"/>
            <w:vAlign w:val="bottom"/>
          </w:tcPr>
          <w:p>
            <w:pPr>
              <w:spacing w:after="0"/>
              <w:rPr>
                <w:sz w:val="11"/>
                <w:szCs w:val="11"/>
                <w:color w:val="auto"/>
              </w:rPr>
            </w:pPr>
          </w:p>
        </w:tc>
        <w:tc>
          <w:tcPr>
            <w:tcW w:w="66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1"/>
                <w:szCs w:val="11"/>
                <w:color w:val="auto"/>
              </w:rPr>
            </w:pPr>
          </w:p>
        </w:tc>
        <w:tc>
          <w:tcPr>
            <w:tcW w:w="660" w:type="dxa"/>
            <w:vAlign w:val="bottom"/>
            <w:vMerge w:val="restart"/>
          </w:tcPr>
          <w:p>
            <w:pPr>
              <w:jc w:val="right"/>
              <w:ind w:right="21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ind w:right="25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Redevelopment</w:t>
            </w: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5"/>
          </w:tcPr>
          <w:p>
            <w:pPr>
              <w:ind w:left="180"/>
              <w:spacing w:after="0"/>
              <w:rPr>
                <w:sz w:val="20"/>
                <w:szCs w:val="20"/>
                <w:color w:val="auto"/>
              </w:rPr>
            </w:pPr>
            <w:r>
              <w:rPr>
                <w:rFonts w:ascii="Arial" w:cs="Arial" w:eastAsia="Arial" w:hAnsi="Arial"/>
                <w:sz w:val="13"/>
                <w:szCs w:val="13"/>
                <w:b w:val="1"/>
                <w:bCs w:val="1"/>
                <w:color w:val="auto"/>
              </w:rPr>
              <w:t>(dollars in thousands)</w:t>
            </w: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140</w:t>
            </w: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Kendrick - Building A</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July 1, 2022</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center"/>
              <w:ind w:left="453"/>
              <w:spacing w:after="0"/>
              <w:rPr>
                <w:sz w:val="20"/>
                <w:szCs w:val="20"/>
                <w:color w:val="auto"/>
              </w:rPr>
            </w:pPr>
            <w:r>
              <w:rPr>
                <w:rFonts w:ascii="Arial" w:cs="Arial" w:eastAsia="Arial" w:hAnsi="Arial"/>
                <w:sz w:val="14"/>
                <w:szCs w:val="14"/>
                <w:color w:val="auto"/>
                <w:w w:val="89"/>
              </w:rPr>
              <w:t>11</w:t>
            </w:r>
          </w:p>
        </w:tc>
        <w:tc>
          <w:tcPr>
            <w:tcW w:w="0" w:type="dxa"/>
            <w:vAlign w:val="bottom"/>
          </w:tcPr>
          <w:p>
            <w:pPr>
              <w:spacing w:after="0"/>
              <w:rPr>
                <w:sz w:val="1"/>
                <w:szCs w:val="1"/>
                <w:color w:val="auto"/>
              </w:rPr>
            </w:pPr>
          </w:p>
        </w:tc>
      </w:tr>
      <w:tr>
        <w:trPr>
          <w:trHeight w:val="186"/>
        </w:trPr>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4"/>
              </w:rPr>
              <w:t>760</w:t>
            </w:r>
          </w:p>
        </w:tc>
        <w:tc>
          <w:tcPr>
            <w:tcW w:w="21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Boylston Street</w:t>
            </w:r>
          </w:p>
        </w:tc>
        <w:tc>
          <w:tcPr>
            <w:tcW w:w="1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September 12, 2022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118,000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left="433"/>
              <w:spacing w:after="0"/>
              <w:rPr>
                <w:sz w:val="20"/>
                <w:szCs w:val="20"/>
                <w:color w:val="auto"/>
              </w:rPr>
            </w:pPr>
            <w:r>
              <w:rPr>
                <w:rFonts w:ascii="Arial" w:cs="Arial" w:eastAsia="Arial" w:hAnsi="Arial"/>
                <w:sz w:val="14"/>
                <w:szCs w:val="14"/>
                <w:color w:val="auto"/>
                <w:w w:val="96"/>
              </w:rPr>
              <w:t>(70)</w:t>
            </w:r>
          </w:p>
        </w:tc>
        <w:tc>
          <w:tcPr>
            <w:tcW w:w="0" w:type="dxa"/>
            <w:vAlign w:val="bottom"/>
          </w:tcPr>
          <w:p>
            <w:pPr>
              <w:spacing w:after="0"/>
              <w:rPr>
                <w:sz w:val="1"/>
                <w:szCs w:val="1"/>
                <w:color w:val="auto"/>
              </w:rPr>
            </w:pPr>
          </w:p>
        </w:tc>
      </w:tr>
      <w:tr>
        <w:trPr>
          <w:trHeight w:val="203"/>
        </w:trPr>
        <w:tc>
          <w:tcPr>
            <w:tcW w:w="2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center"/>
              <w:ind w:left="433"/>
              <w:spacing w:after="0"/>
              <w:rPr>
                <w:sz w:val="20"/>
                <w:szCs w:val="20"/>
                <w:color w:val="auto"/>
              </w:rPr>
            </w:pPr>
            <w:r>
              <w:rPr>
                <w:rFonts w:ascii="Arial" w:cs="Arial" w:eastAsia="Arial" w:hAnsi="Arial"/>
                <w:sz w:val="14"/>
                <w:szCs w:val="14"/>
                <w:color w:val="auto"/>
                <w:w w:val="96"/>
              </w:rPr>
              <w:t>(59)</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u w:val="single" w:color="auto"/>
          <w:color w:val="auto"/>
        </w:rPr>
        <w:t>Properties Sold Portfolio</w:t>
      </w:r>
    </w:p>
    <w:p>
      <w:pPr>
        <w:spacing w:after="0" w:line="96" w:lineRule="exact"/>
        <w:rPr>
          <w:sz w:val="20"/>
          <w:szCs w:val="20"/>
          <w:color w:val="auto"/>
        </w:rPr>
      </w:pPr>
    </w:p>
    <w:p>
      <w:pPr>
        <w:jc w:val="both"/>
        <w:ind w:right="80" w:firstLine="419"/>
        <w:spacing w:after="0" w:line="266" w:lineRule="auto"/>
        <w:rPr>
          <w:sz w:val="20"/>
          <w:szCs w:val="20"/>
          <w:color w:val="auto"/>
        </w:rPr>
      </w:pPr>
      <w:r>
        <w:rPr>
          <w:rFonts w:ascii="Arial" w:cs="Arial" w:eastAsia="Arial" w:hAnsi="Arial"/>
          <w:sz w:val="17"/>
          <w:szCs w:val="17"/>
          <w:color w:val="auto"/>
        </w:rPr>
        <w:t>The table below lists the properties we sold between July 1, 2021 and September 30, 2022. Rental revenue and real estate operating expenses from our Properties Sold Portfolio decreased by approximately $12.0 million and $3.6 million, respectively, for the three months ended September 30, 2022 compared to 2021, as detailed below.</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8"/>
              </w:rPr>
              <w:t>Rental Revenue</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313"/>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12"/>
        </w:trPr>
        <w:tc>
          <w:tcPr>
            <w:tcW w:w="1940" w:type="dxa"/>
            <w:vAlign w:val="bottom"/>
            <w:gridSpan w:val="2"/>
            <w:vMerge w:val="restart"/>
          </w:tcPr>
          <w:p>
            <w:pPr>
              <w:ind w:left="760"/>
              <w:spacing w:after="0"/>
              <w:rPr>
                <w:sz w:val="20"/>
                <w:szCs w:val="20"/>
                <w:color w:val="auto"/>
              </w:rPr>
            </w:pPr>
            <w:r>
              <w:rPr>
                <w:rFonts w:ascii="Arial" w:cs="Arial" w:eastAsia="Arial" w:hAnsi="Arial"/>
                <w:sz w:val="13"/>
                <w:szCs w:val="13"/>
                <w:b w:val="1"/>
                <w:bCs w:val="1"/>
                <w:color w:val="auto"/>
              </w:rPr>
              <w:t>Name</w:t>
            </w:r>
          </w:p>
        </w:tc>
        <w:tc>
          <w:tcPr>
            <w:tcW w:w="1780" w:type="dxa"/>
            <w:vAlign w:val="bottom"/>
            <w:gridSpan w:val="2"/>
            <w:vMerge w:val="restart"/>
          </w:tcPr>
          <w:p>
            <w:pPr>
              <w:ind w:left="560"/>
              <w:spacing w:after="0"/>
              <w:rPr>
                <w:sz w:val="20"/>
                <w:szCs w:val="20"/>
                <w:color w:val="auto"/>
              </w:rPr>
            </w:pPr>
            <w:r>
              <w:rPr>
                <w:rFonts w:ascii="Arial" w:cs="Arial" w:eastAsia="Arial" w:hAnsi="Arial"/>
                <w:sz w:val="13"/>
                <w:szCs w:val="13"/>
                <w:b w:val="1"/>
                <w:bCs w:val="1"/>
                <w:color w:val="auto"/>
              </w:rPr>
              <w:t>Date Sold</w:t>
            </w:r>
          </w:p>
        </w:tc>
        <w:tc>
          <w:tcPr>
            <w:tcW w:w="900" w:type="dxa"/>
            <w:vAlign w:val="bottom"/>
            <w:gridSpan w:val="2"/>
          </w:tcPr>
          <w:p>
            <w:pPr>
              <w:ind w:left="140"/>
              <w:spacing w:after="0" w:line="112" w:lineRule="exact"/>
              <w:rPr>
                <w:sz w:val="20"/>
                <w:szCs w:val="20"/>
                <w:color w:val="auto"/>
              </w:rPr>
            </w:pPr>
            <w:r>
              <w:rPr>
                <w:rFonts w:ascii="Arial" w:cs="Arial" w:eastAsia="Arial" w:hAnsi="Arial"/>
                <w:sz w:val="12"/>
                <w:szCs w:val="12"/>
                <w:b w:val="1"/>
                <w:bCs w:val="1"/>
                <w:color w:val="auto"/>
              </w:rPr>
              <w:t>Property</w:t>
            </w:r>
          </w:p>
        </w:tc>
        <w:tc>
          <w:tcPr>
            <w:tcW w:w="10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9"/>
                <w:szCs w:val="9"/>
                <w:color w:val="auto"/>
              </w:rPr>
            </w:pPr>
          </w:p>
        </w:tc>
        <w:tc>
          <w:tcPr>
            <w:tcW w:w="64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9"/>
                <w:szCs w:val="9"/>
                <w:color w:val="auto"/>
              </w:rPr>
            </w:pPr>
          </w:p>
        </w:tc>
        <w:tc>
          <w:tcPr>
            <w:tcW w:w="640" w:type="dxa"/>
            <w:vAlign w:val="bottom"/>
            <w:vMerge w:val="restart"/>
          </w:tcPr>
          <w:p>
            <w:pPr>
              <w:jc w:val="right"/>
              <w:ind w:right="19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5"/>
        </w:trPr>
        <w:tc>
          <w:tcPr>
            <w:tcW w:w="194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900" w:type="dxa"/>
            <w:vAlign w:val="bottom"/>
            <w:gridSpan w:val="2"/>
          </w:tcPr>
          <w:p>
            <w:pPr>
              <w:ind w:left="260"/>
              <w:spacing w:after="0"/>
              <w:rPr>
                <w:sz w:val="20"/>
                <w:szCs w:val="20"/>
                <w:color w:val="auto"/>
              </w:rPr>
            </w:pPr>
            <w:r>
              <w:rPr>
                <w:rFonts w:ascii="Arial" w:cs="Arial" w:eastAsia="Arial" w:hAnsi="Arial"/>
                <w:sz w:val="13"/>
                <w:szCs w:val="13"/>
                <w:b w:val="1"/>
                <w:bCs w:val="1"/>
                <w:color w:val="auto"/>
              </w:rPr>
              <w:t>Type</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94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color w:val="auto"/>
              </w:rPr>
              <w:t>181, 191 and 201 Spring</w:t>
            </w:r>
          </w:p>
        </w:tc>
        <w:tc>
          <w:tcPr>
            <w:tcW w:w="17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October 25, 2021</w:t>
            </w:r>
          </w:p>
        </w:tc>
        <w:tc>
          <w:tcPr>
            <w:tcW w:w="9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333,000</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4,019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(4,019)</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0" w:type="dxa"/>
            <w:vAlign w:val="bottom"/>
          </w:tcPr>
          <w:p>
            <w:pPr>
              <w:spacing w:after="0"/>
              <w:rPr>
                <w:sz w:val="1"/>
                <w:szCs w:val="1"/>
                <w:color w:val="auto"/>
              </w:rPr>
            </w:pPr>
          </w:p>
        </w:tc>
      </w:tr>
      <w:tr>
        <w:trPr>
          <w:trHeight w:val="173"/>
        </w:trPr>
        <w:tc>
          <w:tcPr>
            <w:tcW w:w="19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Street</w:t>
            </w:r>
          </w:p>
        </w:tc>
        <w:tc>
          <w:tcPr>
            <w:tcW w:w="178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195 West Street</w:t>
            </w:r>
          </w:p>
        </w:tc>
        <w:tc>
          <w:tcPr>
            <w:tcW w:w="1780" w:type="dxa"/>
            <w:vAlign w:val="bottom"/>
            <w:gridSpan w:val="2"/>
          </w:tcPr>
          <w:p>
            <w:pPr>
              <w:ind w:left="20"/>
              <w:spacing w:after="0"/>
              <w:rPr>
                <w:sz w:val="20"/>
                <w:szCs w:val="20"/>
                <w:color w:val="auto"/>
              </w:rPr>
            </w:pPr>
            <w:r>
              <w:rPr>
                <w:rFonts w:ascii="Arial" w:cs="Arial" w:eastAsia="Arial" w:hAnsi="Arial"/>
                <w:sz w:val="14"/>
                <w:szCs w:val="14"/>
                <w:color w:val="auto"/>
              </w:rPr>
              <w:t>March 31, 2022</w:t>
            </w: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Office</w:t>
            </w:r>
          </w:p>
        </w:tc>
        <w:tc>
          <w:tcPr>
            <w:tcW w:w="960" w:type="dxa"/>
            <w:vAlign w:val="bottom"/>
          </w:tcPr>
          <w:p>
            <w:pPr>
              <w:jc w:val="right"/>
              <w:spacing w:after="0"/>
              <w:rPr>
                <w:sz w:val="20"/>
                <w:szCs w:val="20"/>
                <w:color w:val="auto"/>
              </w:rPr>
            </w:pPr>
            <w:r>
              <w:rPr>
                <w:rFonts w:ascii="Arial" w:cs="Arial" w:eastAsia="Arial" w:hAnsi="Arial"/>
                <w:sz w:val="14"/>
                <w:szCs w:val="14"/>
                <w:color w:val="auto"/>
              </w:rPr>
              <w:t>63,500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95"/>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Virginia 95 Office Park</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15, 2022</w:t>
            </w: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Office/Flex</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733,421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86"/>
        </w:trPr>
        <w:tc>
          <w:tcPr>
            <w:tcW w:w="19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601 Massachusetts Avenue</w:t>
            </w:r>
          </w:p>
        </w:tc>
        <w:tc>
          <w:tcPr>
            <w:tcW w:w="1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August 30, 2022</w:t>
            </w:r>
          </w:p>
        </w:tc>
        <w:tc>
          <w:tcPr>
            <w:tcW w:w="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Office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478,667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10,894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1,608,588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(3,637)</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Residential Net Operating Income</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Net operating income for our residential same properties increased by approximately $2.5 million for the three months ended September 30,</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2022 compared to 2021.</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60" w:firstLine="419"/>
        <w:spacing w:after="0" w:line="283" w:lineRule="auto"/>
        <w:rPr>
          <w:sz w:val="20"/>
          <w:szCs w:val="20"/>
          <w:color w:val="auto"/>
        </w:rPr>
      </w:pPr>
      <w:r>
        <w:rPr>
          <w:rFonts w:ascii="Arial" w:cs="Arial" w:eastAsia="Arial" w:hAnsi="Arial"/>
          <w:sz w:val="17"/>
          <w:szCs w:val="17"/>
          <w:color w:val="auto"/>
        </w:rPr>
        <w:t>The following reflects our occupancy and rate information for our residential same properties for the three months ended September 30, 2022 and 2021.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4"/>
            <w:vMerge w:val="restart"/>
          </w:tcPr>
          <w:p>
            <w:pPr>
              <w:jc w:val="center"/>
              <w:ind w:right="13"/>
              <w:spacing w:after="0"/>
              <w:rPr>
                <w:sz w:val="20"/>
                <w:szCs w:val="20"/>
                <w:color w:val="auto"/>
              </w:rPr>
            </w:pPr>
            <w:r>
              <w:rPr>
                <w:rFonts w:ascii="Arial" w:cs="Arial" w:eastAsia="Arial" w:hAnsi="Arial"/>
                <w:sz w:val="13"/>
                <w:szCs w:val="13"/>
                <w:b w:val="1"/>
                <w:bCs w:val="1"/>
                <w:color w:val="auto"/>
                <w:w w:val="97"/>
              </w:rPr>
              <w:t>Average Monthly Rental Rate (1)</w:t>
            </w:r>
          </w:p>
        </w:tc>
        <w:tc>
          <w:tcPr>
            <w:tcW w:w="140" w:type="dxa"/>
            <w:vAlign w:val="bottom"/>
            <w:vMerge w:val="restart"/>
          </w:tcPr>
          <w:p>
            <w:pPr>
              <w:spacing w:after="0"/>
              <w:rPr>
                <w:sz w:val="13"/>
                <w:szCs w:val="13"/>
                <w:color w:val="auto"/>
              </w:rPr>
            </w:pPr>
          </w:p>
        </w:tc>
        <w:tc>
          <w:tcPr>
            <w:tcW w:w="2280" w:type="dxa"/>
            <w:vAlign w:val="bottom"/>
            <w:gridSpan w:val="6"/>
          </w:tcPr>
          <w:p>
            <w:pPr>
              <w:ind w:left="40"/>
              <w:spacing w:after="0"/>
              <w:rPr>
                <w:sz w:val="20"/>
                <w:szCs w:val="20"/>
                <w:color w:val="auto"/>
              </w:rPr>
            </w:pPr>
            <w:r>
              <w:rPr>
                <w:rFonts w:ascii="Arial" w:cs="Arial" w:eastAsia="Arial" w:hAnsi="Arial"/>
                <w:sz w:val="13"/>
                <w:szCs w:val="13"/>
                <w:b w:val="1"/>
                <w:bCs w:val="1"/>
                <w:color w:val="auto"/>
              </w:rPr>
              <w:t>Average Rental Rate Per Occupied</w:t>
            </w:r>
          </w:p>
        </w:tc>
        <w:tc>
          <w:tcPr>
            <w:tcW w:w="2360" w:type="dxa"/>
            <w:vAlign w:val="bottom"/>
            <w:gridSpan w:val="3"/>
            <w:vMerge w:val="restart"/>
          </w:tcPr>
          <w:p>
            <w:pPr>
              <w:jc w:val="right"/>
              <w:ind w:right="133"/>
              <w:spacing w:after="0"/>
              <w:rPr>
                <w:sz w:val="20"/>
                <w:szCs w:val="20"/>
                <w:color w:val="auto"/>
              </w:rPr>
            </w:pPr>
            <w:r>
              <w:rPr>
                <w:rFonts w:ascii="Arial" w:cs="Arial" w:eastAsia="Arial" w:hAnsi="Arial"/>
                <w:sz w:val="13"/>
                <w:szCs w:val="13"/>
                <w:b w:val="1"/>
                <w:bCs w:val="1"/>
                <w:color w:val="auto"/>
              </w:rPr>
              <w:t>Average Physical Occupancy (2)</w:t>
            </w:r>
          </w:p>
        </w:tc>
        <w:tc>
          <w:tcPr>
            <w:tcW w:w="140" w:type="dxa"/>
            <w:vAlign w:val="bottom"/>
            <w:vMerge w:val="restart"/>
          </w:tcPr>
          <w:p>
            <w:pPr>
              <w:spacing w:after="0"/>
              <w:rPr>
                <w:sz w:val="13"/>
                <w:szCs w:val="13"/>
                <w:color w:val="auto"/>
              </w:rPr>
            </w:pPr>
          </w:p>
        </w:tc>
        <w:tc>
          <w:tcPr>
            <w:tcW w:w="2360" w:type="dxa"/>
            <w:vAlign w:val="bottom"/>
            <w:gridSpan w:val="3"/>
            <w:vMerge w:val="restart"/>
          </w:tcPr>
          <w:p>
            <w:pPr>
              <w:jc w:val="right"/>
              <w:ind w:right="73"/>
              <w:spacing w:after="0"/>
              <w:rPr>
                <w:sz w:val="20"/>
                <w:szCs w:val="20"/>
                <w:color w:val="auto"/>
              </w:rPr>
            </w:pPr>
            <w:r>
              <w:rPr>
                <w:rFonts w:ascii="Arial" w:cs="Arial" w:eastAsia="Arial" w:hAnsi="Arial"/>
                <w:sz w:val="13"/>
                <w:szCs w:val="13"/>
                <w:b w:val="1"/>
                <w:bCs w:val="1"/>
                <w:color w:val="auto"/>
              </w:rPr>
              <w:t>Average Economic Occupancy (3)</w:t>
            </w:r>
          </w:p>
        </w:tc>
        <w:tc>
          <w:tcPr>
            <w:tcW w:w="0" w:type="dxa"/>
            <w:vAlign w:val="bottom"/>
          </w:tcPr>
          <w:p>
            <w:pPr>
              <w:spacing w:after="0"/>
              <w:rPr>
                <w:sz w:val="1"/>
                <w:szCs w:val="1"/>
                <w:color w:val="auto"/>
              </w:rPr>
            </w:pPr>
          </w:p>
        </w:tc>
      </w:tr>
      <w:tr>
        <w:trPr>
          <w:trHeight w:val="173"/>
        </w:trPr>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3"/>
                <w:szCs w:val="13"/>
                <w:b w:val="1"/>
                <w:bCs w:val="1"/>
                <w:color w:val="auto"/>
              </w:rPr>
              <w:t>Square Foot</w:t>
            </w:r>
          </w:p>
        </w:tc>
        <w:tc>
          <w:tcPr>
            <w:tcW w:w="140" w:type="dxa"/>
            <w:vAlign w:val="bottom"/>
          </w:tcPr>
          <w:p>
            <w:pPr>
              <w:spacing w:after="0"/>
              <w:rPr>
                <w:sz w:val="15"/>
                <w:szCs w:val="15"/>
                <w:color w:val="auto"/>
              </w:rPr>
            </w:pPr>
          </w:p>
        </w:tc>
        <w:tc>
          <w:tcPr>
            <w:tcW w:w="2360" w:type="dxa"/>
            <w:vAlign w:val="bottom"/>
            <w:tcBorders>
              <w:bottom w:val="single" w:sz="8" w:color="auto"/>
            </w:tcBorders>
            <w:gridSpan w:val="3"/>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36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66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Name</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2022</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2021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2022</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2021</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2022</w:t>
            </w: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2022</w:t>
            </w: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2021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85"/>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Proto Kendall Square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2,642</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9.6 %</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95.6 %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94.9 %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8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The Lofts at Atlantic Wharf</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4,238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center"/>
              <w:spacing w:after="0"/>
              <w:rPr>
                <w:sz w:val="20"/>
                <w:szCs w:val="20"/>
                <w:color w:val="auto"/>
              </w:rPr>
            </w:pPr>
            <w:r>
              <w:rPr>
                <w:rFonts w:ascii="Arial" w:cs="Arial" w:eastAsia="Arial" w:hAnsi="Arial"/>
                <w:sz w:val="14"/>
                <w:szCs w:val="14"/>
                <w:color w:val="auto"/>
                <w:w w:val="96"/>
              </w:rPr>
              <w:t>3,747</w:t>
            </w:r>
          </w:p>
        </w:tc>
        <w:tc>
          <w:tcPr>
            <w:tcW w:w="840" w:type="dxa"/>
            <w:vAlign w:val="bottom"/>
          </w:tcPr>
          <w:p>
            <w:pPr>
              <w:jc w:val="right"/>
              <w:spacing w:after="0"/>
              <w:rPr>
                <w:sz w:val="20"/>
                <w:szCs w:val="20"/>
                <w:color w:val="auto"/>
              </w:rPr>
            </w:pPr>
            <w:r>
              <w:rPr>
                <w:rFonts w:ascii="Arial" w:cs="Arial" w:eastAsia="Arial" w:hAnsi="Arial"/>
                <w:sz w:val="14"/>
                <w:szCs w:val="14"/>
                <w:color w:val="auto"/>
              </w:rPr>
              <w:t>13.1 %</w:t>
            </w:r>
          </w:p>
        </w:tc>
        <w:tc>
          <w:tcPr>
            <w:tcW w:w="14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4.71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4.17</w:t>
            </w:r>
          </w:p>
        </w:tc>
        <w:tc>
          <w:tcPr>
            <w:tcW w:w="840" w:type="dxa"/>
            <w:vAlign w:val="bottom"/>
          </w:tcPr>
          <w:p>
            <w:pPr>
              <w:jc w:val="right"/>
              <w:spacing w:after="0"/>
              <w:rPr>
                <w:sz w:val="20"/>
                <w:szCs w:val="20"/>
                <w:color w:val="auto"/>
              </w:rPr>
            </w:pPr>
            <w:r>
              <w:rPr>
                <w:rFonts w:ascii="Arial" w:cs="Arial" w:eastAsia="Arial" w:hAnsi="Arial"/>
                <w:sz w:val="14"/>
                <w:szCs w:val="14"/>
                <w:color w:val="auto"/>
              </w:rPr>
              <w:t>12.9 %</w:t>
            </w:r>
          </w:p>
        </w:tc>
        <w:tc>
          <w:tcPr>
            <w:tcW w:w="140" w:type="dxa"/>
            <w:vAlign w:val="bottom"/>
          </w:tcPr>
          <w:p>
            <w:pPr>
              <w:spacing w:after="0"/>
              <w:rPr>
                <w:sz w:val="16"/>
                <w:szCs w:val="16"/>
                <w:color w:val="auto"/>
              </w:rPr>
            </w:pPr>
          </w:p>
        </w:tc>
        <w:tc>
          <w:tcPr>
            <w:tcW w:w="860" w:type="dxa"/>
            <w:vAlign w:val="bottom"/>
          </w:tcPr>
          <w:p>
            <w:pPr>
              <w:jc w:val="right"/>
              <w:ind w:right="54"/>
              <w:spacing w:after="0"/>
              <w:rPr>
                <w:sz w:val="20"/>
                <w:szCs w:val="20"/>
                <w:color w:val="auto"/>
              </w:rPr>
            </w:pPr>
            <w:r>
              <w:rPr>
                <w:rFonts w:ascii="Arial" w:cs="Arial" w:eastAsia="Arial" w:hAnsi="Arial"/>
                <w:sz w:val="14"/>
                <w:szCs w:val="14"/>
                <w:color w:val="auto"/>
              </w:rPr>
              <w:t>99.6 %</w:t>
            </w:r>
          </w:p>
        </w:tc>
        <w:tc>
          <w:tcPr>
            <w:tcW w:w="680" w:type="dxa"/>
            <w:vAlign w:val="bottom"/>
          </w:tcPr>
          <w:p>
            <w:pPr>
              <w:jc w:val="right"/>
              <w:spacing w:after="0"/>
              <w:rPr>
                <w:sz w:val="20"/>
                <w:szCs w:val="20"/>
                <w:color w:val="auto"/>
              </w:rPr>
            </w:pPr>
            <w:r>
              <w:rPr>
                <w:rFonts w:ascii="Arial" w:cs="Arial" w:eastAsia="Arial" w:hAnsi="Arial"/>
                <w:sz w:val="14"/>
                <w:szCs w:val="14"/>
                <w:color w:val="auto"/>
              </w:rPr>
              <w:t>96.5 %</w:t>
            </w:r>
          </w:p>
        </w:tc>
        <w:tc>
          <w:tcPr>
            <w:tcW w:w="820" w:type="dxa"/>
            <w:vAlign w:val="bottom"/>
          </w:tcPr>
          <w:p>
            <w:pPr>
              <w:jc w:val="right"/>
              <w:spacing w:after="0"/>
              <w:rPr>
                <w:sz w:val="20"/>
                <w:szCs w:val="20"/>
                <w:color w:val="auto"/>
              </w:rPr>
            </w:pPr>
            <w:r>
              <w:rPr>
                <w:rFonts w:ascii="Arial" w:cs="Arial" w:eastAsia="Arial" w:hAnsi="Arial"/>
                <w:sz w:val="14"/>
                <w:szCs w:val="14"/>
                <w:color w:val="auto"/>
              </w:rPr>
              <w:t>3.2 %</w:t>
            </w:r>
          </w:p>
        </w:tc>
        <w:tc>
          <w:tcPr>
            <w:tcW w:w="140" w:type="dxa"/>
            <w:vAlign w:val="bottom"/>
          </w:tcPr>
          <w:p>
            <w:pPr>
              <w:spacing w:after="0"/>
              <w:rPr>
                <w:sz w:val="16"/>
                <w:szCs w:val="16"/>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color w:val="auto"/>
              </w:rPr>
              <w:t>99.3 %</w:t>
            </w:r>
          </w:p>
        </w:tc>
        <w:tc>
          <w:tcPr>
            <w:tcW w:w="680" w:type="dxa"/>
            <w:vAlign w:val="bottom"/>
          </w:tcPr>
          <w:p>
            <w:pPr>
              <w:jc w:val="right"/>
              <w:spacing w:after="0"/>
              <w:rPr>
                <w:sz w:val="20"/>
                <w:szCs w:val="20"/>
                <w:color w:val="auto"/>
              </w:rPr>
            </w:pPr>
            <w:r>
              <w:rPr>
                <w:rFonts w:ascii="Arial" w:cs="Arial" w:eastAsia="Arial" w:hAnsi="Arial"/>
                <w:sz w:val="14"/>
                <w:szCs w:val="14"/>
                <w:color w:val="auto"/>
              </w:rPr>
              <w:t>95.4 %</w:t>
            </w:r>
          </w:p>
        </w:tc>
        <w:tc>
          <w:tcPr>
            <w:tcW w:w="800" w:type="dxa"/>
            <w:vAlign w:val="bottom"/>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149"/>
        </w:trPr>
        <w:tc>
          <w:tcPr>
            <w:tcW w:w="1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The Avant at Reston Town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2,299</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14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54"/>
              <w:spacing w:after="0"/>
              <w:rPr>
                <w:sz w:val="20"/>
                <w:szCs w:val="20"/>
                <w:color w:val="auto"/>
              </w:rPr>
            </w:pPr>
            <w:r>
              <w:rPr>
                <w:rFonts w:ascii="Arial" w:cs="Arial" w:eastAsia="Arial" w:hAnsi="Arial"/>
                <w:sz w:val="14"/>
                <w:szCs w:val="14"/>
                <w:color w:val="auto"/>
              </w:rPr>
              <w:t>95.4 %</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96.3 %</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54"/>
              <w:spacing w:after="0"/>
              <w:rPr>
                <w:sz w:val="20"/>
                <w:szCs w:val="20"/>
                <w:color w:val="auto"/>
              </w:rPr>
            </w:pPr>
            <w:r>
              <w:rPr>
                <w:rFonts w:ascii="Arial" w:cs="Arial" w:eastAsia="Arial" w:hAnsi="Arial"/>
                <w:sz w:val="14"/>
                <w:szCs w:val="14"/>
                <w:color w:val="auto"/>
              </w:rPr>
              <w:t>95.3 %</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96.3 %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3"/>
        </w:trPr>
        <w:tc>
          <w:tcPr>
            <w:tcW w:w="18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Center (4)</w:t>
            </w:r>
          </w:p>
        </w:tc>
        <w:tc>
          <w:tcPr>
            <w:tcW w:w="10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Signature at Reston</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2,671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center"/>
              <w:spacing w:after="0"/>
              <w:rPr>
                <w:sz w:val="20"/>
                <w:szCs w:val="20"/>
                <w:color w:val="auto"/>
              </w:rPr>
            </w:pPr>
            <w:r>
              <w:rPr>
                <w:rFonts w:ascii="Arial" w:cs="Arial" w:eastAsia="Arial" w:hAnsi="Arial"/>
                <w:sz w:val="14"/>
                <w:szCs w:val="14"/>
                <w:color w:val="auto"/>
                <w:w w:val="96"/>
              </w:rPr>
              <w:t>2,429</w:t>
            </w:r>
          </w:p>
        </w:tc>
        <w:tc>
          <w:tcPr>
            <w:tcW w:w="840" w:type="dxa"/>
            <w:vAlign w:val="bottom"/>
          </w:tcPr>
          <w:p>
            <w:pPr>
              <w:jc w:val="right"/>
              <w:spacing w:after="0"/>
              <w:rPr>
                <w:sz w:val="20"/>
                <w:szCs w:val="20"/>
                <w:color w:val="auto"/>
              </w:rPr>
            </w:pPr>
            <w:r>
              <w:rPr>
                <w:rFonts w:ascii="Arial" w:cs="Arial" w:eastAsia="Arial" w:hAnsi="Arial"/>
                <w:sz w:val="14"/>
                <w:szCs w:val="14"/>
                <w:color w:val="auto"/>
              </w:rPr>
              <w:t>10.0 %</w:t>
            </w:r>
          </w:p>
        </w:tc>
        <w:tc>
          <w:tcPr>
            <w:tcW w:w="14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2.75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2.51</w:t>
            </w:r>
          </w:p>
        </w:tc>
        <w:tc>
          <w:tcPr>
            <w:tcW w:w="840" w:type="dxa"/>
            <w:vAlign w:val="bottom"/>
          </w:tcPr>
          <w:p>
            <w:pPr>
              <w:jc w:val="right"/>
              <w:spacing w:after="0"/>
              <w:rPr>
                <w:sz w:val="20"/>
                <w:szCs w:val="20"/>
                <w:color w:val="auto"/>
              </w:rPr>
            </w:pPr>
            <w:r>
              <w:rPr>
                <w:rFonts w:ascii="Arial" w:cs="Arial" w:eastAsia="Arial" w:hAnsi="Arial"/>
                <w:sz w:val="14"/>
                <w:szCs w:val="14"/>
                <w:color w:val="auto"/>
              </w:rPr>
              <w:t>9.6 %</w:t>
            </w:r>
          </w:p>
        </w:tc>
        <w:tc>
          <w:tcPr>
            <w:tcW w:w="140" w:type="dxa"/>
            <w:vAlign w:val="bottom"/>
          </w:tcPr>
          <w:p>
            <w:pPr>
              <w:spacing w:after="0"/>
              <w:rPr>
                <w:sz w:val="16"/>
                <w:szCs w:val="16"/>
                <w:color w:val="auto"/>
              </w:rPr>
            </w:pPr>
          </w:p>
        </w:tc>
        <w:tc>
          <w:tcPr>
            <w:tcW w:w="860" w:type="dxa"/>
            <w:vAlign w:val="bottom"/>
          </w:tcPr>
          <w:p>
            <w:pPr>
              <w:jc w:val="right"/>
              <w:ind w:right="54"/>
              <w:spacing w:after="0"/>
              <w:rPr>
                <w:sz w:val="20"/>
                <w:szCs w:val="20"/>
                <w:color w:val="auto"/>
              </w:rPr>
            </w:pPr>
            <w:r>
              <w:rPr>
                <w:rFonts w:ascii="Arial" w:cs="Arial" w:eastAsia="Arial" w:hAnsi="Arial"/>
                <w:sz w:val="14"/>
                <w:szCs w:val="14"/>
                <w:color w:val="auto"/>
              </w:rPr>
              <w:t>96.3 %</w:t>
            </w:r>
          </w:p>
        </w:tc>
        <w:tc>
          <w:tcPr>
            <w:tcW w:w="680" w:type="dxa"/>
            <w:vAlign w:val="bottom"/>
          </w:tcPr>
          <w:p>
            <w:pPr>
              <w:jc w:val="right"/>
              <w:spacing w:after="0"/>
              <w:rPr>
                <w:sz w:val="20"/>
                <w:szCs w:val="20"/>
                <w:color w:val="auto"/>
              </w:rPr>
            </w:pPr>
            <w:r>
              <w:rPr>
                <w:rFonts w:ascii="Arial" w:cs="Arial" w:eastAsia="Arial" w:hAnsi="Arial"/>
                <w:sz w:val="14"/>
                <w:szCs w:val="14"/>
                <w:color w:val="auto"/>
              </w:rPr>
              <w:t>93.2 %</w:t>
            </w:r>
          </w:p>
        </w:tc>
        <w:tc>
          <w:tcPr>
            <w:tcW w:w="820" w:type="dxa"/>
            <w:vAlign w:val="bottom"/>
          </w:tcPr>
          <w:p>
            <w:pPr>
              <w:jc w:val="right"/>
              <w:spacing w:after="0"/>
              <w:rPr>
                <w:sz w:val="20"/>
                <w:szCs w:val="20"/>
                <w:color w:val="auto"/>
              </w:rPr>
            </w:pPr>
            <w:r>
              <w:rPr>
                <w:rFonts w:ascii="Arial" w:cs="Arial" w:eastAsia="Arial" w:hAnsi="Arial"/>
                <w:sz w:val="14"/>
                <w:szCs w:val="14"/>
                <w:color w:val="auto"/>
              </w:rPr>
              <w:t>3.3 %</w:t>
            </w:r>
          </w:p>
        </w:tc>
        <w:tc>
          <w:tcPr>
            <w:tcW w:w="140" w:type="dxa"/>
            <w:vAlign w:val="bottom"/>
          </w:tcPr>
          <w:p>
            <w:pPr>
              <w:spacing w:after="0"/>
              <w:rPr>
                <w:sz w:val="16"/>
                <w:szCs w:val="16"/>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color w:val="auto"/>
              </w:rPr>
              <w:t>95.9 %</w:t>
            </w:r>
          </w:p>
        </w:tc>
        <w:tc>
          <w:tcPr>
            <w:tcW w:w="680" w:type="dxa"/>
            <w:vAlign w:val="bottom"/>
          </w:tcPr>
          <w:p>
            <w:pPr>
              <w:jc w:val="right"/>
              <w:spacing w:after="0"/>
              <w:rPr>
                <w:sz w:val="20"/>
                <w:szCs w:val="20"/>
                <w:color w:val="auto"/>
              </w:rPr>
            </w:pPr>
            <w:r>
              <w:rPr>
                <w:rFonts w:ascii="Arial" w:cs="Arial" w:eastAsia="Arial" w:hAnsi="Arial"/>
                <w:sz w:val="14"/>
                <w:szCs w:val="14"/>
                <w:color w:val="auto"/>
              </w:rPr>
              <w:t>92.0 %</w:t>
            </w:r>
          </w:p>
        </w:tc>
        <w:tc>
          <w:tcPr>
            <w:tcW w:w="800" w:type="dxa"/>
            <w:vAlign w:val="bottom"/>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195"/>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 Skylyne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3,307</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8.9 %</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92.8 %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92.1 %</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90.2 %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26" w:lineRule="exact"/>
        <w:rPr>
          <w:sz w:val="20"/>
          <w:szCs w:val="20"/>
          <w:color w:val="auto"/>
        </w:rPr>
      </w:pPr>
    </w:p>
    <w:p>
      <w:pPr>
        <w:ind w:left="540" w:hanging="310"/>
        <w:spacing w:after="0"/>
        <w:tabs>
          <w:tab w:leader="none" w:pos="5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Average Monthly Rental Rate is calculated as the average of the quotients obtained by dividing (A) rental revenue as determined in accordance with GAAP, by</w:t>
      </w:r>
    </w:p>
    <w:p>
      <w:pPr>
        <w:spacing w:after="0" w:line="5"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5"/>
          <w:szCs w:val="15"/>
          <w:color w:val="auto"/>
        </w:rPr>
        <w:t>(B) the number of occupied units for each month within the applicable fiscal period.</w:t>
      </w:r>
    </w:p>
    <w:p>
      <w:pPr>
        <w:spacing w:after="0" w:line="5" w:lineRule="exact"/>
        <w:rPr>
          <w:rFonts w:ascii="Arial" w:cs="Arial" w:eastAsia="Arial" w:hAnsi="Arial"/>
          <w:sz w:val="15"/>
          <w:szCs w:val="15"/>
          <w:color w:val="auto"/>
        </w:rPr>
      </w:pPr>
    </w:p>
    <w:p>
      <w:pPr>
        <w:ind w:left="540" w:hanging="310"/>
        <w:spacing w:after="0"/>
        <w:tabs>
          <w:tab w:leader="none" w:pos="5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Average Physical Occupancy is defined as (1) the average number of occupied units divided by (2) the total number of units, expressed as a percentage.</w:t>
      </w:r>
    </w:p>
    <w:p>
      <w:pPr>
        <w:spacing w:after="0" w:line="13" w:lineRule="exact"/>
        <w:rPr>
          <w:rFonts w:ascii="Arial" w:cs="Arial" w:eastAsia="Arial" w:hAnsi="Arial"/>
          <w:sz w:val="15"/>
          <w:szCs w:val="15"/>
          <w:color w:val="auto"/>
        </w:rPr>
      </w:pPr>
    </w:p>
    <w:p>
      <w:pPr>
        <w:ind w:left="540" w:right="20" w:hanging="310"/>
        <w:spacing w:after="0" w:line="254" w:lineRule="auto"/>
        <w:tabs>
          <w:tab w:leader="none" w:pos="536" w:val="left"/>
        </w:tabs>
        <w:numPr>
          <w:ilvl w:val="0"/>
          <w:numId w:val="49"/>
        </w:numPr>
        <w:rPr>
          <w:rFonts w:ascii="Arial" w:cs="Arial" w:eastAsia="Arial" w:hAnsi="Arial"/>
          <w:sz w:val="15"/>
          <w:szCs w:val="15"/>
          <w:color w:val="auto"/>
        </w:rPr>
      </w:pPr>
      <w:r>
        <w:rPr>
          <w:rFonts w:ascii="Arial" w:cs="Arial" w:eastAsia="Arial" w:hAnsi="Arial"/>
          <w:sz w:val="15"/>
          <w:szCs w:val="15"/>
          <w:color w:val="auto"/>
        </w:rPr>
        <w:t>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w:t>
      </w:r>
    </w:p>
    <w:p>
      <w:pPr>
        <w:spacing w:after="0" w:line="3" w:lineRule="exact"/>
        <w:rPr>
          <w:rFonts w:ascii="Arial" w:cs="Arial" w:eastAsia="Arial" w:hAnsi="Arial"/>
          <w:sz w:val="15"/>
          <w:szCs w:val="15"/>
          <w:color w:val="auto"/>
        </w:rPr>
      </w:pPr>
    </w:p>
    <w:p>
      <w:pPr>
        <w:ind w:left="540" w:hanging="310"/>
        <w:spacing w:after="0"/>
        <w:tabs>
          <w:tab w:leader="none" w:pos="5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See Note 13 to the Consolidated Financial Statements.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Hotel Net Operating Income</w:t>
      </w:r>
    </w:p>
    <w:p>
      <w:pPr>
        <w:spacing w:after="0" w:line="96" w:lineRule="exact"/>
        <w:rPr>
          <w:sz w:val="20"/>
          <w:szCs w:val="20"/>
          <w:color w:val="auto"/>
        </w:rPr>
      </w:pPr>
    </w:p>
    <w:p>
      <w:pPr>
        <w:ind w:right="200" w:firstLine="419"/>
        <w:spacing w:after="0" w:line="283" w:lineRule="auto"/>
        <w:rPr>
          <w:sz w:val="20"/>
          <w:szCs w:val="20"/>
          <w:color w:val="auto"/>
        </w:rPr>
      </w:pPr>
      <w:r>
        <w:rPr>
          <w:rFonts w:ascii="Arial" w:cs="Arial" w:eastAsia="Arial" w:hAnsi="Arial"/>
          <w:sz w:val="17"/>
          <w:szCs w:val="17"/>
          <w:color w:val="auto"/>
        </w:rPr>
        <w:t>The Boston Marriott Cambridge hotel had net operating income of approximately $3.2 million for the three months ended September 30, 2022, representing an increase of approximately $2.0 million compared to the three months ended September 30, 2021.</w:t>
      </w:r>
    </w:p>
    <w:p>
      <w:pPr>
        <w:spacing w:after="0" w:line="97" w:lineRule="exact"/>
        <w:rPr>
          <w:sz w:val="20"/>
          <w:szCs w:val="20"/>
          <w:color w:val="auto"/>
        </w:rPr>
      </w:pPr>
    </w:p>
    <w:p>
      <w:pPr>
        <w:ind w:right="280" w:firstLine="419"/>
        <w:spacing w:after="0" w:line="283" w:lineRule="auto"/>
        <w:rPr>
          <w:sz w:val="20"/>
          <w:szCs w:val="20"/>
          <w:color w:val="auto"/>
        </w:rPr>
      </w:pPr>
      <w:r>
        <w:rPr>
          <w:rFonts w:ascii="Arial" w:cs="Arial" w:eastAsia="Arial" w:hAnsi="Arial"/>
          <w:sz w:val="17"/>
          <w:szCs w:val="17"/>
          <w:color w:val="auto"/>
        </w:rPr>
        <w:t>The following reflects our occupancy and rate information for the Boston Marriott Cambridge hotel for the three months ended September 30,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Change (%)</w:t>
            </w: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Occupancy</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49.4 %</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53.4 %</w:t>
            </w:r>
          </w:p>
        </w:tc>
      </w:tr>
      <w:tr>
        <w:trPr>
          <w:trHeight w:val="216"/>
        </w:trPr>
        <w:tc>
          <w:tcPr>
            <w:tcW w:w="6100" w:type="dxa"/>
            <w:vAlign w:val="bottom"/>
          </w:tcPr>
          <w:p>
            <w:pPr>
              <w:ind w:left="20"/>
              <w:spacing w:after="0"/>
              <w:rPr>
                <w:sz w:val="20"/>
                <w:szCs w:val="20"/>
                <w:color w:val="auto"/>
              </w:rPr>
            </w:pPr>
            <w:r>
              <w:rPr>
                <w:rFonts w:ascii="Arial" w:cs="Arial" w:eastAsia="Arial" w:hAnsi="Arial"/>
                <w:sz w:val="17"/>
                <w:szCs w:val="17"/>
                <w:color w:val="auto"/>
              </w:rPr>
              <w:t>Average daily rate</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60"/>
              <w:spacing w:after="0"/>
              <w:rPr>
                <w:sz w:val="20"/>
                <w:szCs w:val="20"/>
                <w:color w:val="auto"/>
              </w:rPr>
            </w:pPr>
            <w:r>
              <w:rPr>
                <w:rFonts w:ascii="Arial" w:cs="Arial" w:eastAsia="Arial" w:hAnsi="Arial"/>
                <w:sz w:val="17"/>
                <w:szCs w:val="17"/>
                <w:color w:val="auto"/>
              </w:rPr>
              <w:t>328.40</w:t>
            </w:r>
          </w:p>
        </w:tc>
        <w:tc>
          <w:tcPr>
            <w:tcW w:w="100" w:type="dxa"/>
            <w:vAlign w:val="bottom"/>
          </w:tcPr>
          <w:p>
            <w:pPr>
              <w:spacing w:after="0"/>
              <w:rPr>
                <w:sz w:val="18"/>
                <w:szCs w:val="18"/>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40"/>
              <w:spacing w:after="0"/>
              <w:rPr>
                <w:sz w:val="20"/>
                <w:szCs w:val="20"/>
                <w:color w:val="auto"/>
              </w:rPr>
            </w:pPr>
            <w:r>
              <w:rPr>
                <w:rFonts w:ascii="Arial" w:cs="Arial" w:eastAsia="Arial" w:hAnsi="Arial"/>
                <w:sz w:val="17"/>
                <w:szCs w:val="17"/>
                <w:color w:val="auto"/>
              </w:rPr>
              <w:t>222.31</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47.7 %</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REVPAR</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249.06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109.86</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126.7 %</w:t>
            </w:r>
          </w:p>
        </w:tc>
      </w:tr>
    </w:tbl>
    <w:p>
      <w:pPr>
        <w:spacing w:after="0" w:line="2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u w:val="single" w:color="auto"/>
          <w:color w:val="auto"/>
        </w:rPr>
        <w:t>Other Operating Revenue and Expense Items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Development and Management Services Revenue</w:t>
      </w:r>
    </w:p>
    <w:p>
      <w:pPr>
        <w:spacing w:after="0" w:line="96" w:lineRule="exact"/>
        <w:rPr>
          <w:sz w:val="20"/>
          <w:szCs w:val="20"/>
          <w:color w:val="auto"/>
        </w:rPr>
      </w:pPr>
    </w:p>
    <w:p>
      <w:pPr>
        <w:ind w:right="140" w:firstLine="419"/>
        <w:spacing w:after="0" w:line="260" w:lineRule="auto"/>
        <w:rPr>
          <w:sz w:val="20"/>
          <w:szCs w:val="20"/>
          <w:color w:val="auto"/>
        </w:rPr>
      </w:pPr>
      <w:r>
        <w:rPr>
          <w:rFonts w:ascii="Arial" w:cs="Arial" w:eastAsia="Arial" w:hAnsi="Arial"/>
          <w:sz w:val="17"/>
          <w:szCs w:val="17"/>
          <w:color w:val="auto"/>
        </w:rPr>
        <w:t>Development and management services revenue increased by approximately $1.4 million for the three months ended September 30, 2022 compared to 2021. Management services revenue increased by approximately $ 1.4 million and was primarily related to an increase in property management fees from an unconsolidated joint venture in the Boston region and asset management fees from an unconsolidated joint venture in the Los Angeles region.</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General and Administrative Expense</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General and administrative expense decreased by approximately $2.0 million for the three months ended September 30, 2022 compared to</w:t>
      </w:r>
    </w:p>
    <w:p>
      <w:pPr>
        <w:spacing w:after="0" w:line="24" w:lineRule="exact"/>
        <w:rPr>
          <w:sz w:val="20"/>
          <w:szCs w:val="20"/>
          <w:color w:val="auto"/>
        </w:rPr>
      </w:pPr>
    </w:p>
    <w:p>
      <w:pPr>
        <w:jc w:val="both"/>
        <w:ind w:right="140"/>
        <w:spacing w:after="0" w:line="256" w:lineRule="auto"/>
        <w:rPr>
          <w:sz w:val="20"/>
          <w:szCs w:val="20"/>
          <w:color w:val="auto"/>
        </w:rPr>
      </w:pPr>
      <w:r>
        <w:rPr>
          <w:rFonts w:ascii="Arial" w:cs="Arial" w:eastAsia="Arial" w:hAnsi="Arial"/>
          <w:sz w:val="17"/>
          <w:szCs w:val="17"/>
          <w:color w:val="auto"/>
        </w:rPr>
        <w:t>2021 primarily due to a decrease in compensation expense of approximately $3.9 million, partially offset by an increase of approximately $1.9 million in other general and administrative expenses. The decrease in compensation expense primarily related to an approximately $1.4 million decrease in the value of</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80"/>
        <w:spacing w:after="0" w:line="283" w:lineRule="auto"/>
        <w:rPr>
          <w:sz w:val="20"/>
          <w:szCs w:val="20"/>
          <w:color w:val="auto"/>
        </w:rPr>
      </w:pPr>
      <w:r>
        <w:rPr>
          <w:rFonts w:ascii="Arial" w:cs="Arial" w:eastAsia="Arial" w:hAnsi="Arial"/>
          <w:sz w:val="17"/>
          <w:szCs w:val="17"/>
          <w:color w:val="auto"/>
        </w:rPr>
        <w:t>our deferred compensation plan, and an approximately $2.5 million decrease in other compensation expenses. The increase in other general and administrative expenses was primarily related to an increase in professional fees.</w:t>
      </w:r>
    </w:p>
    <w:p>
      <w:pPr>
        <w:spacing w:after="0" w:line="97" w:lineRule="exact"/>
        <w:rPr>
          <w:sz w:val="20"/>
          <w:szCs w:val="20"/>
          <w:color w:val="auto"/>
        </w:rPr>
      </w:pPr>
    </w:p>
    <w:p>
      <w:pPr>
        <w:ind w:right="160" w:firstLine="419"/>
        <w:spacing w:after="0" w:line="260" w:lineRule="auto"/>
        <w:rPr>
          <w:sz w:val="20"/>
          <w:szCs w:val="20"/>
          <w:color w:val="auto"/>
        </w:rPr>
      </w:pPr>
      <w:r>
        <w:rPr>
          <w:rFonts w:ascii="Arial" w:cs="Arial" w:eastAsia="Arial" w:hAnsi="Arial"/>
          <w:sz w:val="17"/>
          <w:szCs w:val="17"/>
          <w:color w:val="auto"/>
        </w:rPr>
        <w:t>Wages directly related to the development of rental properties are capitalized and included in real estate assets on our Consolidated Balance Sheets and amortized over the useful lives of the applicable asset or lease term. Capitalized wages for the three months ended September 30, 2022 and 2021 were approximately $3.9 million and $3.4 million, respectively. These costs are not included in the general and administrative expenses discussed above.</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Transaction Costs</w:t>
      </w:r>
    </w:p>
    <w:p>
      <w:pPr>
        <w:spacing w:after="0" w:line="96" w:lineRule="exact"/>
        <w:rPr>
          <w:sz w:val="20"/>
          <w:szCs w:val="20"/>
          <w:color w:val="auto"/>
        </w:rPr>
      </w:pPr>
    </w:p>
    <w:p>
      <w:pPr>
        <w:ind w:right="160" w:firstLine="419"/>
        <w:spacing w:after="0" w:line="266" w:lineRule="auto"/>
        <w:rPr>
          <w:sz w:val="20"/>
          <w:szCs w:val="20"/>
          <w:color w:val="auto"/>
        </w:rPr>
      </w:pPr>
      <w:r>
        <w:rPr>
          <w:rFonts w:ascii="Arial" w:cs="Arial" w:eastAsia="Arial" w:hAnsi="Arial"/>
          <w:sz w:val="17"/>
          <w:szCs w:val="17"/>
          <w:color w:val="auto"/>
        </w:rPr>
        <w:t>Transaction costs decreased by approximately $0.2 million for the three months ended September 30, 2022 compared to 2021 due primarily to costs incurred in connection with the pursuit and formation of new joint ventures. In general, transaction costs relating to the formation of new joint ventures and the pursuit of other transactions are expensed as incurred.</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Depreciation and Amortization Expense</w:t>
      </w:r>
    </w:p>
    <w:p>
      <w:pPr>
        <w:spacing w:after="0" w:line="84" w:lineRule="exact"/>
        <w:rPr>
          <w:sz w:val="20"/>
          <w:szCs w:val="20"/>
          <w:color w:val="auto"/>
        </w:rPr>
      </w:pPr>
    </w:p>
    <w:p>
      <w:pPr>
        <w:ind w:right="140" w:firstLine="419"/>
        <w:spacing w:after="0" w:line="257" w:lineRule="auto"/>
        <w:rPr>
          <w:sz w:val="20"/>
          <w:szCs w:val="20"/>
          <w:color w:val="auto"/>
        </w:rPr>
      </w:pPr>
      <w:r>
        <w:rPr>
          <w:rFonts w:ascii="Arial" w:cs="Arial" w:eastAsia="Arial" w:hAnsi="Arial"/>
          <w:sz w:val="17"/>
          <w:szCs w:val="17"/>
          <w:color w:val="auto"/>
        </w:rPr>
        <w:t>Depreciation expense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For additional information see the Explanatory Note that follows the cover page of this Quarterly Report on Form 10-Q.</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BXP</w:t>
      </w:r>
    </w:p>
    <w:p>
      <w:pPr>
        <w:spacing w:after="0" w:line="96" w:lineRule="exact"/>
        <w:rPr>
          <w:sz w:val="20"/>
          <w:szCs w:val="20"/>
          <w:color w:val="auto"/>
        </w:rPr>
      </w:pPr>
    </w:p>
    <w:p>
      <w:pPr>
        <w:ind w:right="160" w:firstLine="419"/>
        <w:spacing w:after="0" w:line="283" w:lineRule="auto"/>
        <w:rPr>
          <w:sz w:val="20"/>
          <w:szCs w:val="20"/>
          <w:color w:val="auto"/>
        </w:rPr>
      </w:pPr>
      <w:r>
        <w:rPr>
          <w:rFonts w:ascii="Arial" w:cs="Arial" w:eastAsia="Arial" w:hAnsi="Arial"/>
          <w:sz w:val="17"/>
          <w:szCs w:val="17"/>
          <w:color w:val="auto"/>
        </w:rPr>
        <w:t>Depreciation and amortization expense increased by approximately $11.3 million for the three months ended September 30, 2022 compared to 2021, as detailed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4320" w:type="dxa"/>
            <w:vAlign w:val="bottom"/>
            <w:gridSpan w:val="8"/>
          </w:tcPr>
          <w:p>
            <w:pPr>
              <w:jc w:val="center"/>
              <w:spacing w:after="0"/>
              <w:rPr>
                <w:sz w:val="20"/>
                <w:szCs w:val="20"/>
                <w:color w:val="auto"/>
              </w:rPr>
            </w:pPr>
            <w:r>
              <w:rPr>
                <w:rFonts w:ascii="Arial" w:cs="Arial" w:eastAsia="Arial" w:hAnsi="Arial"/>
                <w:sz w:val="15"/>
                <w:szCs w:val="15"/>
                <w:b w:val="1"/>
                <w:bCs w:val="1"/>
                <w:color w:val="auto"/>
              </w:rPr>
              <w:t>Depreciation and Amortization for the three months ended</w:t>
            </w: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rPr>
              <w:t>September 30,</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5"/>
                <w:szCs w:val="15"/>
                <w:b w:val="1"/>
                <w:bCs w:val="1"/>
                <w:color w:val="auto"/>
              </w:rPr>
              <w:t>Portfolio</w:t>
            </w:r>
          </w:p>
        </w:tc>
        <w:tc>
          <w:tcPr>
            <w:tcW w:w="320" w:type="dxa"/>
            <w:vAlign w:val="bottom"/>
          </w:tcPr>
          <w:p>
            <w:pPr>
              <w:spacing w:after="0"/>
              <w:rPr>
                <w:sz w:val="17"/>
                <w:szCs w:val="17"/>
                <w:color w:val="auto"/>
              </w:rPr>
            </w:pPr>
          </w:p>
        </w:tc>
        <w:tc>
          <w:tcPr>
            <w:tcW w:w="1040" w:type="dxa"/>
            <w:vAlign w:val="bottom"/>
          </w:tcPr>
          <w:p>
            <w:pPr>
              <w:jc w:val="right"/>
              <w:ind w:right="437"/>
              <w:spacing w:after="0"/>
              <w:rPr>
                <w:sz w:val="20"/>
                <w:szCs w:val="20"/>
                <w:color w:val="auto"/>
              </w:rPr>
            </w:pPr>
            <w:r>
              <w:rPr>
                <w:rFonts w:ascii="Arial" w:cs="Arial" w:eastAsia="Arial" w:hAnsi="Arial"/>
                <w:sz w:val="15"/>
                <w:szCs w:val="15"/>
                <w:b w:val="1"/>
                <w:bCs w:val="1"/>
                <w:color w:val="auto"/>
              </w:rPr>
              <w:t>2022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38"/>
              <w:spacing w:after="0"/>
              <w:rPr>
                <w:sz w:val="20"/>
                <w:szCs w:val="20"/>
                <w:color w:val="auto"/>
              </w:rPr>
            </w:pPr>
            <w:r>
              <w:rPr>
                <w:rFonts w:ascii="Arial" w:cs="Arial" w:eastAsia="Arial" w:hAnsi="Arial"/>
                <w:sz w:val="15"/>
                <w:szCs w:val="15"/>
                <w:b w:val="1"/>
                <w:bCs w:val="1"/>
                <w:color w:val="auto"/>
              </w:rPr>
              <w:t>2021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17"/>
              <w:spacing w:after="0"/>
              <w:rPr>
                <w:sz w:val="20"/>
                <w:szCs w:val="20"/>
                <w:color w:val="auto"/>
              </w:rPr>
            </w:pPr>
            <w:r>
              <w:rPr>
                <w:rFonts w:ascii="Arial" w:cs="Arial" w:eastAsia="Arial" w:hAnsi="Arial"/>
                <w:sz w:val="15"/>
                <w:szCs w:val="15"/>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(in thousands)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Same Property Portfolio</w:t>
            </w:r>
          </w:p>
        </w:tc>
        <w:tc>
          <w:tcPr>
            <w:tcW w:w="32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169,996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174,548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(4,552)</w:t>
            </w: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7"/>
                <w:szCs w:val="17"/>
                <w:color w:val="auto"/>
              </w:rPr>
              <w:t>Properties Acquired Portfolio</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10,399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737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9,662</w:t>
            </w:r>
          </w:p>
        </w:tc>
      </w:tr>
      <w:tr>
        <w:trPr>
          <w:trHeight w:val="216"/>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Properties Placed In-Service Portfolio</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7,601</w:t>
            </w: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7"/>
                <w:szCs w:val="17"/>
                <w:color w:val="auto"/>
              </w:rPr>
              <w:t>Properties in Development or Redevelopment Portfolio</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799</w:t>
            </w:r>
          </w:p>
        </w:tc>
      </w:tr>
      <w:tr>
        <w:trPr>
          <w:trHeight w:val="216"/>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Properties Sold Portfolio</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3,471</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(2,247)</w:t>
            </w:r>
          </w:p>
        </w:tc>
      </w:tr>
      <w:tr>
        <w:trPr>
          <w:trHeight w:val="208"/>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32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190,675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179,412</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11,263</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BPLP</w:t>
      </w:r>
    </w:p>
    <w:p>
      <w:pPr>
        <w:spacing w:after="0" w:line="84" w:lineRule="exact"/>
        <w:rPr>
          <w:sz w:val="20"/>
          <w:szCs w:val="20"/>
          <w:color w:val="auto"/>
        </w:rPr>
      </w:pPr>
    </w:p>
    <w:p>
      <w:pPr>
        <w:ind w:right="160" w:firstLine="419"/>
        <w:spacing w:after="0" w:line="283" w:lineRule="auto"/>
        <w:rPr>
          <w:sz w:val="20"/>
          <w:szCs w:val="20"/>
          <w:color w:val="auto"/>
        </w:rPr>
      </w:pPr>
      <w:r>
        <w:rPr>
          <w:rFonts w:ascii="Arial" w:cs="Arial" w:eastAsia="Arial" w:hAnsi="Arial"/>
          <w:sz w:val="17"/>
          <w:szCs w:val="17"/>
          <w:color w:val="auto"/>
        </w:rPr>
        <w:t>Depreciation and amortization expense increased by approximately $11.3 million for the three months ended September 30, 2022 compared to 2021, as detailed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4340" w:type="dxa"/>
            <w:vAlign w:val="bottom"/>
            <w:gridSpan w:val="9"/>
          </w:tcPr>
          <w:p>
            <w:pPr>
              <w:jc w:val="center"/>
              <w:spacing w:after="0"/>
              <w:rPr>
                <w:sz w:val="20"/>
                <w:szCs w:val="20"/>
                <w:color w:val="auto"/>
              </w:rPr>
            </w:pPr>
            <w:r>
              <w:rPr>
                <w:rFonts w:ascii="Arial" w:cs="Arial" w:eastAsia="Arial" w:hAnsi="Arial"/>
                <w:sz w:val="15"/>
                <w:szCs w:val="15"/>
                <w:b w:val="1"/>
                <w:bCs w:val="1"/>
                <w:color w:val="auto"/>
              </w:rPr>
              <w:t>Depreciation and Amortization for the three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rPr>
              <w:t>September 30,</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5"/>
                <w:szCs w:val="15"/>
                <w:b w:val="1"/>
                <w:bCs w:val="1"/>
                <w:color w:val="auto"/>
              </w:rPr>
              <w:t>Portfolio</w:t>
            </w: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37"/>
              <w:spacing w:after="0"/>
              <w:rPr>
                <w:sz w:val="20"/>
                <w:szCs w:val="20"/>
                <w:color w:val="auto"/>
              </w:rPr>
            </w:pPr>
            <w:r>
              <w:rPr>
                <w:rFonts w:ascii="Arial" w:cs="Arial" w:eastAsia="Arial" w:hAnsi="Arial"/>
                <w:sz w:val="15"/>
                <w:szCs w:val="15"/>
                <w:b w:val="1"/>
                <w:bCs w:val="1"/>
                <w:color w:val="auto"/>
              </w:rPr>
              <w:t>2022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38"/>
              <w:spacing w:after="0"/>
              <w:rPr>
                <w:sz w:val="20"/>
                <w:szCs w:val="20"/>
                <w:color w:val="auto"/>
              </w:rPr>
            </w:pPr>
            <w:r>
              <w:rPr>
                <w:rFonts w:ascii="Arial" w:cs="Arial" w:eastAsia="Arial" w:hAnsi="Arial"/>
                <w:sz w:val="15"/>
                <w:szCs w:val="15"/>
                <w:b w:val="1"/>
                <w:bCs w:val="1"/>
                <w:color w:val="auto"/>
              </w:rPr>
              <w:t>2021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(in thousands)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Same Property Portfolio</w:t>
            </w:r>
          </w:p>
        </w:tc>
        <w:tc>
          <w:tcPr>
            <w:tcW w:w="2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168,290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172,813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Properties Acquired Portfolio</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10,399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737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Properties Placed In-Service Portfolio</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Properties in Development or Redevelopment Portfolio</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Properties Sold Portfolio</w:t>
            </w:r>
          </w:p>
        </w:tc>
        <w:tc>
          <w:tcPr>
            <w:tcW w:w="20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3,471</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Borders>
              <w:bottom w:val="single" w:sz="8" w:color="auto"/>
            </w:tcBorders>
          </w:tcPr>
          <w:p>
            <w:pPr>
              <w:jc w:val="right"/>
              <w:ind w:right="12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188,969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177,677</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80" w:type="dxa"/>
            <w:vAlign w:val="bottom"/>
            <w:vMerge w:val="restart"/>
          </w:tcPr>
          <w:p>
            <w:pPr>
              <w:jc w:val="right"/>
              <w:ind w:right="1095"/>
              <w:spacing w:after="0"/>
              <w:rPr>
                <w:sz w:val="20"/>
                <w:szCs w:val="20"/>
                <w:color w:val="auto"/>
              </w:rPr>
            </w:pPr>
            <w:r>
              <w:rPr>
                <w:rFonts w:ascii="Arial" w:cs="Arial" w:eastAsia="Arial" w:hAnsi="Arial"/>
                <w:sz w:val="17"/>
                <w:szCs w:val="17"/>
                <w:color w:val="auto"/>
              </w:rPr>
              <w:t>74</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18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720" w:firstLine="190"/>
        <w:spacing w:after="0" w:line="293" w:lineRule="auto"/>
        <w:rPr>
          <w:sz w:val="20"/>
          <w:szCs w:val="20"/>
          <w:color w:val="auto"/>
        </w:rPr>
      </w:pPr>
      <w:r>
        <w:rPr>
          <w:rFonts w:ascii="Arial" w:cs="Arial" w:eastAsia="Arial" w:hAnsi="Arial"/>
          <w:sz w:val="17"/>
          <w:szCs w:val="17"/>
          <w:b w:val="1"/>
          <w:bCs w:val="1"/>
          <w:i w:val="1"/>
          <w:iCs w:val="1"/>
          <w:color w:val="auto"/>
        </w:rPr>
        <w:t>Direct Reimbursements of Payroll and Related Costs From Management Services Contracts and Payroll and Related Costs From Management Service Contracts</w:t>
      </w:r>
    </w:p>
    <w:p>
      <w:pPr>
        <w:spacing w:after="0" w:line="5" w:lineRule="exact"/>
        <w:rPr>
          <w:sz w:val="20"/>
          <w:szCs w:val="20"/>
          <w:color w:val="auto"/>
        </w:rPr>
      </w:pPr>
    </w:p>
    <w:p>
      <w:pPr>
        <w:jc w:val="both"/>
        <w:ind w:right="120" w:firstLine="419"/>
        <w:spacing w:after="0" w:line="266" w:lineRule="auto"/>
        <w:rPr>
          <w:sz w:val="20"/>
          <w:szCs w:val="20"/>
          <w:color w:val="auto"/>
        </w:rPr>
      </w:pPr>
      <w:r>
        <w:rPr>
          <w:rFonts w:ascii="Arial" w:cs="Arial" w:eastAsia="Arial" w:hAnsi="Arial"/>
          <w:sz w:val="17"/>
          <w:szCs w:val="17"/>
          <w:color w:val="auto"/>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u w:val="single" w:color="auto"/>
          <w:color w:val="auto"/>
        </w:rPr>
        <w:t>Other Income and Expense Items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Loss from Unconsolidated Joint Ventures</w:t>
      </w:r>
    </w:p>
    <w:p>
      <w:pPr>
        <w:spacing w:after="0" w:line="96" w:lineRule="exact"/>
        <w:rPr>
          <w:sz w:val="20"/>
          <w:szCs w:val="20"/>
          <w:color w:val="auto"/>
        </w:rPr>
      </w:pPr>
    </w:p>
    <w:p>
      <w:pPr>
        <w:ind w:right="80" w:firstLine="419"/>
        <w:spacing w:after="0" w:line="266" w:lineRule="auto"/>
        <w:rPr>
          <w:sz w:val="20"/>
          <w:szCs w:val="20"/>
          <w:color w:val="auto"/>
        </w:rPr>
      </w:pPr>
      <w:r>
        <w:rPr>
          <w:rFonts w:ascii="Arial" w:cs="Arial" w:eastAsia="Arial" w:hAnsi="Arial"/>
          <w:sz w:val="17"/>
          <w:szCs w:val="17"/>
          <w:color w:val="auto"/>
        </w:rPr>
        <w:t>For the three months ended September 30, 2022 compared to 2021, loss from unconsolidated joint ventures decreased by approximately $2.1 million due primarily to an approximately $ 2.2 million increase in net income from placing in service (1) 7750 Wisconsin Avenue (Marriott International Headquarters) in Bethesda, Maryland and (2) 100 Causeway Street in Boston, Massachusetts.</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Gains on Sales of Real Estate</w:t>
      </w:r>
    </w:p>
    <w:p>
      <w:pPr>
        <w:spacing w:after="0" w:line="84" w:lineRule="exact"/>
        <w:rPr>
          <w:sz w:val="20"/>
          <w:szCs w:val="20"/>
          <w:color w:val="auto"/>
        </w:rPr>
      </w:pPr>
    </w:p>
    <w:p>
      <w:pPr>
        <w:ind w:firstLine="419"/>
        <w:spacing w:after="0" w:line="257" w:lineRule="auto"/>
        <w:rPr>
          <w:sz w:val="20"/>
          <w:szCs w:val="20"/>
          <w:color w:val="auto"/>
        </w:rPr>
      </w:pPr>
      <w:r>
        <w:rPr>
          <w:rFonts w:ascii="Arial" w:cs="Arial" w:eastAsia="Arial" w:hAnsi="Arial"/>
          <w:sz w:val="17"/>
          <w:szCs w:val="17"/>
          <w:color w:val="auto"/>
        </w:rPr>
        <w:t>Gains on sales of real estate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the gains on sales of real estate when those properties are sold. For additional information, see the Explanatory Note that follows the cover page of this Quarterly Report on Form 10-Q.</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BXP</w:t>
      </w:r>
    </w:p>
    <w:p>
      <w:pPr>
        <w:spacing w:after="0" w:line="96" w:lineRule="exact"/>
        <w:rPr>
          <w:sz w:val="20"/>
          <w:szCs w:val="20"/>
          <w:color w:val="auto"/>
        </w:rPr>
      </w:pPr>
    </w:p>
    <w:p>
      <w:pPr>
        <w:ind w:right="140" w:firstLine="419"/>
        <w:spacing w:after="0" w:line="283" w:lineRule="auto"/>
        <w:rPr>
          <w:sz w:val="20"/>
          <w:szCs w:val="20"/>
          <w:color w:val="auto"/>
        </w:rPr>
      </w:pPr>
      <w:r>
        <w:rPr>
          <w:rFonts w:ascii="Arial" w:cs="Arial" w:eastAsia="Arial" w:hAnsi="Arial"/>
          <w:sz w:val="17"/>
          <w:szCs w:val="17"/>
          <w:color w:val="auto"/>
        </w:rPr>
        <w:t>Gains on sales of real estate increased by approximately $262.0 million for the three months ended September 30, 2022 compared to 2021, as detailed below.</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40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Date Sold</w:t>
            </w: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Property Type</w:t>
            </w: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Square Feet</w:t>
            </w:r>
          </w:p>
        </w:tc>
        <w:tc>
          <w:tcPr>
            <w:tcW w:w="160" w:type="dxa"/>
            <w:vAlign w:val="bottom"/>
          </w:tcPr>
          <w:p>
            <w:pPr>
              <w:spacing w:after="0"/>
              <w:rPr>
                <w:sz w:val="14"/>
                <w:szCs w:val="14"/>
                <w:color w:val="auto"/>
              </w:rPr>
            </w:pPr>
          </w:p>
        </w:tc>
        <w:tc>
          <w:tcPr>
            <w:tcW w:w="9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Sale Price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Net Cash</w:t>
            </w:r>
          </w:p>
        </w:tc>
        <w:tc>
          <w:tcPr>
            <w:tcW w:w="11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Gain on Sale of</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2400" w:type="dxa"/>
            <w:vAlign w:val="bottom"/>
            <w:gridSpan w:val="2"/>
            <w:vMerge w:val="continue"/>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Proceeds</w:t>
            </w:r>
          </w:p>
        </w:tc>
        <w:tc>
          <w:tcPr>
            <w:tcW w:w="140" w:type="dxa"/>
            <w:vAlign w:val="bottom"/>
          </w:tcPr>
          <w:p>
            <w:pPr>
              <w:spacing w:after="0"/>
              <w:rPr>
                <w:sz w:val="15"/>
                <w:szCs w:val="15"/>
                <w:color w:val="auto"/>
              </w:rPr>
            </w:pPr>
          </w:p>
        </w:tc>
        <w:tc>
          <w:tcPr>
            <w:tcW w:w="980" w:type="dxa"/>
            <w:vAlign w:val="bottom"/>
          </w:tcPr>
          <w:p>
            <w:pPr>
              <w:jc w:val="right"/>
              <w:ind w:right="132"/>
              <w:spacing w:after="0"/>
              <w:rPr>
                <w:sz w:val="20"/>
                <w:szCs w:val="20"/>
                <w:color w:val="auto"/>
              </w:rPr>
            </w:pPr>
            <w:r>
              <w:rPr>
                <w:rFonts w:ascii="Arial" w:cs="Arial" w:eastAsia="Arial" w:hAnsi="Arial"/>
                <w:sz w:val="14"/>
                <w:szCs w:val="14"/>
                <w:b w:val="1"/>
                <w:bCs w:val="1"/>
                <w:color w:val="auto"/>
              </w:rPr>
              <w:t>Real Estate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20" w:type="dxa"/>
            <w:vAlign w:val="bottom"/>
            <w:tcBorders>
              <w:left w:val="single" w:sz="8" w:color="CCEEFF"/>
            </w:tcBorders>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w w:val="89"/>
              </w:rPr>
              <w:t>2022</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CCEEFF"/>
            </w:tcBorders>
            <w:shd w:val="clear" w:color="auto" w:fill="000000"/>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720" w:type="dxa"/>
            <w:vAlign w:val="bottom"/>
            <w:gridSpan w:val="3"/>
          </w:tcPr>
          <w:p>
            <w:pPr>
              <w:ind w:left="20"/>
              <w:spacing w:after="0"/>
              <w:rPr>
                <w:sz w:val="20"/>
                <w:szCs w:val="20"/>
                <w:color w:val="auto"/>
              </w:rPr>
            </w:pPr>
            <w:r>
              <w:rPr>
                <w:rFonts w:ascii="Arial" w:cs="Arial" w:eastAsia="Arial" w:hAnsi="Arial"/>
                <w:sz w:val="14"/>
                <w:szCs w:val="14"/>
                <w:color w:val="auto"/>
              </w:rPr>
              <w:t>601 Massachusetts Avenue</w:t>
            </w: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August 30, 2022</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Office</w:t>
            </w:r>
          </w:p>
        </w:tc>
        <w:tc>
          <w:tcPr>
            <w:tcW w:w="1120" w:type="dxa"/>
            <w:vAlign w:val="bottom"/>
          </w:tcPr>
          <w:p>
            <w:pPr>
              <w:jc w:val="right"/>
              <w:spacing w:after="0"/>
              <w:rPr>
                <w:sz w:val="20"/>
                <w:szCs w:val="20"/>
                <w:color w:val="auto"/>
              </w:rPr>
            </w:pPr>
            <w:r>
              <w:rPr>
                <w:rFonts w:ascii="Arial" w:cs="Arial" w:eastAsia="Arial" w:hAnsi="Arial"/>
                <w:sz w:val="14"/>
                <w:szCs w:val="14"/>
                <w:color w:val="auto"/>
              </w:rPr>
              <w:t>478,667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531.0</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512.3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237.4</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2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Broadrun Land Parcel</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15, 2022</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N/A</w:t>
            </w: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558.0</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537.9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261.8</w:t>
            </w:r>
          </w:p>
        </w:tc>
        <w:tc>
          <w:tcPr>
            <w:tcW w:w="440" w:type="dxa"/>
            <w:vAlign w:val="bottom"/>
          </w:tcPr>
          <w:p>
            <w:pPr>
              <w:jc w:val="right"/>
              <w:ind w:right="192"/>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20" w:type="dxa"/>
            <w:vAlign w:val="bottom"/>
            <w:tcBorders>
              <w:left w:val="single" w:sz="8" w:color="CCEEFF"/>
            </w:tcBorders>
            <w:shd w:val="clear" w:color="auto" w:fill="CCEEFF"/>
          </w:tcPr>
          <w:p>
            <w:pPr>
              <w:ind w:left="20"/>
              <w:spacing w:after="0" w:line="118" w:lineRule="exact"/>
              <w:rPr>
                <w:sz w:val="20"/>
                <w:szCs w:val="20"/>
                <w:color w:val="auto"/>
              </w:rPr>
            </w:pPr>
            <w:r>
              <w:rPr>
                <w:rFonts w:ascii="Arial" w:cs="Arial" w:eastAsia="Arial" w:hAnsi="Arial"/>
                <w:sz w:val="12"/>
                <w:szCs w:val="12"/>
                <w:b w:val="1"/>
                <w:bCs w:val="1"/>
                <w:color w:val="auto"/>
              </w:rPr>
              <w:t>2021</w:t>
            </w:r>
          </w:p>
        </w:tc>
        <w:tc>
          <w:tcPr>
            <w:tcW w:w="2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CCEEFF"/>
            </w:tcBorders>
            <w:shd w:val="clear" w:color="auto" w:fill="000000"/>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72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6595 Springfield Center Drive</w:t>
            </w:r>
          </w:p>
        </w:tc>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December 13, 2018</w:t>
            </w: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Office</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634,000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440" w:type="dxa"/>
            <w:vAlign w:val="bottom"/>
            <w:tcBorders>
              <w:bottom w:val="single" w:sz="8" w:color="CCEEFF"/>
            </w:tcBorders>
          </w:tcPr>
          <w:p>
            <w:pPr>
              <w:jc w:val="right"/>
              <w:ind w:right="192"/>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203"/>
        </w:trPr>
        <w:tc>
          <w:tcPr>
            <w:tcW w:w="320" w:type="dxa"/>
            <w:vAlign w:val="bottom"/>
            <w:tcBorders>
              <w:left w:val="single" w:sz="8" w:color="CCEEFF"/>
            </w:tcBorders>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26" w:lineRule="exact"/>
        <w:rPr>
          <w:sz w:val="20"/>
          <w:szCs w:val="20"/>
          <w:color w:val="auto"/>
        </w:rPr>
      </w:pPr>
    </w:p>
    <w:p>
      <w:pPr>
        <w:ind w:left="540" w:right="160" w:hanging="310"/>
        <w:spacing w:after="0" w:line="252" w:lineRule="auto"/>
        <w:tabs>
          <w:tab w:leader="none" w:pos="536" w:val="left"/>
        </w:tabs>
        <w:numPr>
          <w:ilvl w:val="0"/>
          <w:numId w:val="50"/>
        </w:numPr>
        <w:rPr>
          <w:rFonts w:ascii="Arial" w:cs="Arial" w:eastAsia="Arial" w:hAnsi="Arial"/>
          <w:sz w:val="15"/>
          <w:szCs w:val="15"/>
          <w:color w:val="auto"/>
        </w:rPr>
      </w:pPr>
      <w:r>
        <w:rPr>
          <w:rFonts w:ascii="Arial" w:cs="Arial" w:eastAsia="Arial" w:hAnsi="Arial"/>
          <w:sz w:val="15"/>
          <w:szCs w:val="15"/>
          <w:color w:val="auto"/>
        </w:rPr>
        <w:t>Excludes approximately $0.5 million of gains on sales of real estate recognized during the three months ended September 30, 2022 related to gains on sales of real estate occurring in the prior periods.</w:t>
      </w:r>
    </w:p>
    <w:p>
      <w:pPr>
        <w:spacing w:after="0" w:line="1" w:lineRule="exact"/>
        <w:rPr>
          <w:rFonts w:ascii="Arial" w:cs="Arial" w:eastAsia="Arial" w:hAnsi="Arial"/>
          <w:sz w:val="15"/>
          <w:szCs w:val="15"/>
          <w:color w:val="auto"/>
        </w:rPr>
      </w:pPr>
    </w:p>
    <w:p>
      <w:pPr>
        <w:ind w:left="540" w:right="140" w:hanging="310"/>
        <w:spacing w:after="0" w:line="261" w:lineRule="auto"/>
        <w:tabs>
          <w:tab w:leader="none" w:pos="536" w:val="left"/>
        </w:tabs>
        <w:numPr>
          <w:ilvl w:val="0"/>
          <w:numId w:val="50"/>
        </w:numPr>
        <w:rPr>
          <w:rFonts w:ascii="Arial" w:cs="Arial" w:eastAsia="Arial" w:hAnsi="Arial"/>
          <w:sz w:val="15"/>
          <w:szCs w:val="15"/>
          <w:color w:val="auto"/>
        </w:rPr>
      </w:pPr>
      <w:r>
        <w:rPr>
          <w:rFonts w:ascii="Arial" w:cs="Arial" w:eastAsia="Arial" w:hAnsi="Arial"/>
          <w:sz w:val="15"/>
          <w:szCs w:val="15"/>
          <w:color w:val="auto"/>
        </w:rPr>
        <w:t>On December 13, 2018, we sold our 6595 Springfield Center Drive development project located in Springfield, Virginia. Concurrently with the sale, we agreed to act as development manager and guaranteed the completion of the project. The development project achieved final completion during the third quarter of 2021 at which time the total cost of development was determined to be below the estimated total investment at the time of sale. As a result, we recognized a gain of approximately $0.3 million.</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BPLP</w:t>
      </w:r>
    </w:p>
    <w:p>
      <w:pPr>
        <w:spacing w:after="0" w:line="96" w:lineRule="exact"/>
        <w:rPr>
          <w:sz w:val="20"/>
          <w:szCs w:val="20"/>
          <w:color w:val="auto"/>
        </w:rPr>
      </w:pPr>
    </w:p>
    <w:p>
      <w:pPr>
        <w:ind w:right="140" w:firstLine="419"/>
        <w:spacing w:after="0" w:line="283" w:lineRule="auto"/>
        <w:rPr>
          <w:sz w:val="20"/>
          <w:szCs w:val="20"/>
          <w:color w:val="auto"/>
        </w:rPr>
      </w:pPr>
      <w:r>
        <w:rPr>
          <w:rFonts w:ascii="Arial" w:cs="Arial" w:eastAsia="Arial" w:hAnsi="Arial"/>
          <w:sz w:val="17"/>
          <w:szCs w:val="17"/>
          <w:color w:val="auto"/>
        </w:rPr>
        <w:t>Gains on sales of real estate increased by approximately $262.0 million for the three months ended September 30, 2022 compared to 2021, as detailed below.</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40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Date Sold</w:t>
            </w: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Property Type</w:t>
            </w: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Square Feet</w:t>
            </w:r>
          </w:p>
        </w:tc>
        <w:tc>
          <w:tcPr>
            <w:tcW w:w="16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Sale Price</w:t>
            </w:r>
          </w:p>
        </w:tc>
        <w:tc>
          <w:tcPr>
            <w:tcW w:w="18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 Cash</w:t>
            </w:r>
          </w:p>
        </w:tc>
        <w:tc>
          <w:tcPr>
            <w:tcW w:w="11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Gain on Sale of</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2400" w:type="dxa"/>
            <w:vAlign w:val="bottom"/>
            <w:gridSpan w:val="2"/>
            <w:vMerge w:val="continue"/>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Proceeds</w:t>
            </w:r>
          </w:p>
        </w:tc>
        <w:tc>
          <w:tcPr>
            <w:tcW w:w="140" w:type="dxa"/>
            <w:vAlign w:val="bottom"/>
          </w:tcPr>
          <w:p>
            <w:pPr>
              <w:spacing w:after="0"/>
              <w:rPr>
                <w:sz w:val="15"/>
                <w:szCs w:val="15"/>
                <w:color w:val="auto"/>
              </w:rPr>
            </w:pPr>
          </w:p>
        </w:tc>
        <w:tc>
          <w:tcPr>
            <w:tcW w:w="980" w:type="dxa"/>
            <w:vAlign w:val="bottom"/>
          </w:tcPr>
          <w:p>
            <w:pPr>
              <w:jc w:val="right"/>
              <w:ind w:right="132"/>
              <w:spacing w:after="0"/>
              <w:rPr>
                <w:sz w:val="20"/>
                <w:szCs w:val="20"/>
                <w:color w:val="auto"/>
              </w:rPr>
            </w:pPr>
            <w:r>
              <w:rPr>
                <w:rFonts w:ascii="Arial" w:cs="Arial" w:eastAsia="Arial" w:hAnsi="Arial"/>
                <w:sz w:val="14"/>
                <w:szCs w:val="14"/>
                <w:b w:val="1"/>
                <w:bCs w:val="1"/>
                <w:color w:val="auto"/>
              </w:rPr>
              <w:t>Real Estate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1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20" w:type="dxa"/>
            <w:vAlign w:val="bottom"/>
            <w:tcBorders>
              <w:left w:val="single" w:sz="8" w:color="CCEEFF"/>
            </w:tcBorders>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w w:val="89"/>
              </w:rPr>
              <w:t>2022</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CCEEFF"/>
            </w:tcBorders>
            <w:shd w:val="clear" w:color="auto" w:fill="000000"/>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720" w:type="dxa"/>
            <w:vAlign w:val="bottom"/>
            <w:gridSpan w:val="3"/>
          </w:tcPr>
          <w:p>
            <w:pPr>
              <w:ind w:left="20"/>
              <w:spacing w:after="0"/>
              <w:rPr>
                <w:sz w:val="20"/>
                <w:szCs w:val="20"/>
                <w:color w:val="auto"/>
              </w:rPr>
            </w:pPr>
            <w:r>
              <w:rPr>
                <w:rFonts w:ascii="Arial" w:cs="Arial" w:eastAsia="Arial" w:hAnsi="Arial"/>
                <w:sz w:val="14"/>
                <w:szCs w:val="14"/>
                <w:color w:val="auto"/>
              </w:rPr>
              <w:t>601 Massachusetts Avenue</w:t>
            </w: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August 30, 2022</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Office</w:t>
            </w:r>
          </w:p>
        </w:tc>
        <w:tc>
          <w:tcPr>
            <w:tcW w:w="1120" w:type="dxa"/>
            <w:vAlign w:val="bottom"/>
          </w:tcPr>
          <w:p>
            <w:pPr>
              <w:jc w:val="right"/>
              <w:spacing w:after="0"/>
              <w:rPr>
                <w:sz w:val="20"/>
                <w:szCs w:val="20"/>
                <w:color w:val="auto"/>
              </w:rPr>
            </w:pPr>
            <w:r>
              <w:rPr>
                <w:rFonts w:ascii="Arial" w:cs="Arial" w:eastAsia="Arial" w:hAnsi="Arial"/>
                <w:sz w:val="14"/>
                <w:szCs w:val="14"/>
                <w:color w:val="auto"/>
              </w:rPr>
              <w:t>478,667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16"/>
                <w:szCs w:val="16"/>
                <w:color w:val="auto"/>
              </w:rPr>
            </w:pPr>
          </w:p>
        </w:tc>
        <w:tc>
          <w:tcPr>
            <w:tcW w:w="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512.3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237.5</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2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Broadrun Land Parcel</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15, 2022</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N/A</w:t>
            </w: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558.0</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537.9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261.9</w:t>
            </w:r>
          </w:p>
        </w:tc>
        <w:tc>
          <w:tcPr>
            <w:tcW w:w="440" w:type="dxa"/>
            <w:vAlign w:val="bottom"/>
          </w:tcPr>
          <w:p>
            <w:pPr>
              <w:jc w:val="right"/>
              <w:ind w:right="192"/>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20" w:type="dxa"/>
            <w:vAlign w:val="bottom"/>
            <w:tcBorders>
              <w:left w:val="single" w:sz="8" w:color="CCEEFF"/>
            </w:tcBorders>
            <w:shd w:val="clear" w:color="auto" w:fill="CCEEFF"/>
          </w:tcPr>
          <w:p>
            <w:pPr>
              <w:ind w:left="20"/>
              <w:spacing w:after="0" w:line="118" w:lineRule="exact"/>
              <w:rPr>
                <w:sz w:val="20"/>
                <w:szCs w:val="20"/>
                <w:color w:val="auto"/>
              </w:rPr>
            </w:pPr>
            <w:r>
              <w:rPr>
                <w:rFonts w:ascii="Arial" w:cs="Arial" w:eastAsia="Arial" w:hAnsi="Arial"/>
                <w:sz w:val="12"/>
                <w:szCs w:val="12"/>
                <w:b w:val="1"/>
                <w:bCs w:val="1"/>
                <w:color w:val="auto"/>
              </w:rPr>
              <w:t>2021</w:t>
            </w:r>
          </w:p>
        </w:tc>
        <w:tc>
          <w:tcPr>
            <w:tcW w:w="2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320" w:type="dxa"/>
            <w:vAlign w:val="bottom"/>
            <w:tcBorders>
              <w:left w:val="single" w:sz="8" w:color="CCEEFF"/>
            </w:tcBorders>
            <w:shd w:val="clear" w:color="auto" w:fill="000000"/>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72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6595 Springfield Center Drive</w:t>
            </w:r>
          </w:p>
        </w:tc>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December 13, 2018</w:t>
            </w: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Office</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634,000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440" w:type="dxa"/>
            <w:vAlign w:val="bottom"/>
            <w:tcBorders>
              <w:bottom w:val="single" w:sz="8" w:color="CCEEFF"/>
            </w:tcBorders>
          </w:tcPr>
          <w:p>
            <w:pPr>
              <w:jc w:val="right"/>
              <w:ind w:right="192"/>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203"/>
        </w:trPr>
        <w:tc>
          <w:tcPr>
            <w:tcW w:w="320" w:type="dxa"/>
            <w:vAlign w:val="bottom"/>
            <w:tcBorders>
              <w:left w:val="single" w:sz="8" w:color="CCEEFF"/>
            </w:tcBorders>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26" w:lineRule="exact"/>
        <w:rPr>
          <w:sz w:val="20"/>
          <w:szCs w:val="20"/>
          <w:color w:val="auto"/>
        </w:rPr>
      </w:pPr>
    </w:p>
    <w:p>
      <w:pPr>
        <w:ind w:left="540" w:right="140" w:hanging="310"/>
        <w:spacing w:after="0" w:line="247" w:lineRule="auto"/>
        <w:tabs>
          <w:tab w:leader="none" w:pos="536" w:val="left"/>
        </w:tabs>
        <w:numPr>
          <w:ilvl w:val="0"/>
          <w:numId w:val="51"/>
        </w:numPr>
        <w:rPr>
          <w:rFonts w:ascii="Arial" w:cs="Arial" w:eastAsia="Arial" w:hAnsi="Arial"/>
          <w:sz w:val="15"/>
          <w:szCs w:val="15"/>
          <w:color w:val="auto"/>
        </w:rPr>
      </w:pPr>
      <w:r>
        <w:rPr>
          <w:rFonts w:ascii="Arial" w:cs="Arial" w:eastAsia="Arial" w:hAnsi="Arial"/>
          <w:sz w:val="15"/>
          <w:szCs w:val="15"/>
          <w:color w:val="auto"/>
        </w:rPr>
        <w:t>Excludes approximately $0.4 million of gains on sales of real estate recognized during the three months ended September 30, 2022 related to the sale of real estate occurring in the prior periods.</w:t>
      </w:r>
    </w:p>
    <w:p>
      <w:pPr>
        <w:ind w:left="540" w:right="140" w:hanging="310"/>
        <w:spacing w:after="0" w:line="265" w:lineRule="auto"/>
        <w:tabs>
          <w:tab w:leader="none" w:pos="536" w:val="left"/>
        </w:tabs>
        <w:numPr>
          <w:ilvl w:val="0"/>
          <w:numId w:val="51"/>
        </w:numPr>
        <w:rPr>
          <w:rFonts w:ascii="Arial" w:cs="Arial" w:eastAsia="Arial" w:hAnsi="Arial"/>
          <w:sz w:val="15"/>
          <w:szCs w:val="15"/>
          <w:color w:val="auto"/>
        </w:rPr>
      </w:pPr>
      <w:r>
        <w:rPr>
          <w:rFonts w:ascii="Arial" w:cs="Arial" w:eastAsia="Arial" w:hAnsi="Arial"/>
          <w:sz w:val="15"/>
          <w:szCs w:val="15"/>
          <w:color w:val="auto"/>
        </w:rPr>
        <w:t>On December 13, 2018, we sold our 6595 Springfield Center Drive development project located in Springfield, Virginia. Concurrently with the sale, we agreed to act as development manager and guaranteed the completion of the project. The development project achieved final completion during the third quarter of 2021 at which time the total cost of development was determined to be below the estimated total investment at the time of sale. As a result, we recognized a gain of approximately $0.3 million.</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Interest and Other Income (Loss)</w:t>
      </w:r>
    </w:p>
    <w:p>
      <w:pPr>
        <w:spacing w:after="0" w:line="84" w:lineRule="exact"/>
        <w:rPr>
          <w:sz w:val="20"/>
          <w:szCs w:val="20"/>
          <w:color w:val="auto"/>
        </w:rPr>
      </w:pPr>
    </w:p>
    <w:p>
      <w:pPr>
        <w:ind w:right="320" w:firstLine="419"/>
        <w:spacing w:after="0" w:line="283" w:lineRule="auto"/>
        <w:rPr>
          <w:sz w:val="20"/>
          <w:szCs w:val="20"/>
          <w:color w:val="auto"/>
        </w:rPr>
      </w:pPr>
      <w:r>
        <w:rPr>
          <w:rFonts w:ascii="Arial" w:cs="Arial" w:eastAsia="Arial" w:hAnsi="Arial"/>
          <w:sz w:val="17"/>
          <w:szCs w:val="17"/>
          <w:color w:val="auto"/>
        </w:rPr>
        <w:t>Interest and other income (loss) increased by approximately $2.2 million for the three months ended September 30, 2022 compared to 2021, due primarily to an increase of approximately $2.2 million in interest income due to increased interest earned on our deposits.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Losses from Investments in Securities</w:t>
      </w:r>
    </w:p>
    <w:p>
      <w:pPr>
        <w:spacing w:after="0" w:line="96" w:lineRule="exact"/>
        <w:rPr>
          <w:sz w:val="20"/>
          <w:szCs w:val="20"/>
          <w:color w:val="auto"/>
        </w:rPr>
      </w:pPr>
    </w:p>
    <w:p>
      <w:pPr>
        <w:ind w:right="20" w:firstLine="419"/>
        <w:spacing w:after="0" w:line="252" w:lineRule="auto"/>
        <w:rPr>
          <w:sz w:val="20"/>
          <w:szCs w:val="20"/>
          <w:color w:val="auto"/>
        </w:rPr>
      </w:pPr>
      <w:r>
        <w:rPr>
          <w:rFonts w:ascii="Arial" w:cs="Arial" w:eastAsia="Arial" w:hAnsi="Arial"/>
          <w:sz w:val="17"/>
          <w:szCs w:val="17"/>
          <w:color w:val="auto"/>
        </w:rPr>
        <w:t>Losses from investments in securities for the three months ended September 30, 2022 and 2021 related to investments that we have made to reduce our market risk relating to deferred compensation plans that we maintain for BXP’s officers and former non-employee directors. Under the deferred compensation plans, each officer or non-employee director who is eligible to participate is permitted to defer a portion of the officer’s current income or the non-employee director’s compensation on a pre-tax basis and receive a tax-deferred return on these deferrals based on the performance of specific investments selected by the officer or non-employee director.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BXP’s officers or former non-employee directors under our deferred compensation plans with equivalent assets and thereby limit our market risk. The performance of these investments is recorded as losses from investments in securities. During the three months ended September 30, 2022 and 2021, we recognized losses of approximately $1.6 million and $0.2 million, respectively, on these investments. By comparison, our general and administrative expense decreased by approximately $1.6 million and $0.2 million during the three months ended September 30, 2022 and 2021, respectively, as a result of decreases in our liability under our deferred compensation plans that was associated with the performance of the specific investments selected by officers and former non-employee directors of BXP participating in the plans.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increased by approximately $6.1 million for the three months ended September 30, 2022 compared to 2021, as detailed below.</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center"/>
              <w:ind w:right="38"/>
              <w:spacing w:after="0"/>
              <w:rPr>
                <w:sz w:val="20"/>
                <w:szCs w:val="20"/>
                <w:color w:val="auto"/>
              </w:rPr>
            </w:pPr>
            <w:r>
              <w:rPr>
                <w:rFonts w:ascii="Arial" w:cs="Arial" w:eastAsia="Arial" w:hAnsi="Arial"/>
                <w:sz w:val="15"/>
                <w:szCs w:val="15"/>
                <w:b w:val="1"/>
                <w:bCs w:val="1"/>
                <w:color w:val="auto"/>
              </w:rPr>
              <w:t>Change in interest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2180" w:type="dxa"/>
            <w:vAlign w:val="bottom"/>
            <w:gridSpan w:val="2"/>
          </w:tcPr>
          <w:p>
            <w:pPr>
              <w:jc w:val="center"/>
              <w:spacing w:after="0" w:line="152" w:lineRule="exact"/>
              <w:rPr>
                <w:sz w:val="20"/>
                <w:szCs w:val="20"/>
                <w:color w:val="auto"/>
              </w:rPr>
            </w:pPr>
            <w:r>
              <w:rPr>
                <w:rFonts w:ascii="Arial" w:cs="Arial" w:eastAsia="Arial" w:hAnsi="Arial"/>
                <w:sz w:val="15"/>
                <w:szCs w:val="15"/>
                <w:b w:val="1"/>
                <w:bCs w:val="1"/>
                <w:color w:val="auto"/>
              </w:rPr>
              <w:t>expense for the three months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jc w:val="center"/>
              <w:ind w:right="38"/>
              <w:spacing w:after="0" w:line="152" w:lineRule="exact"/>
              <w:rPr>
                <w:sz w:val="20"/>
                <w:szCs w:val="20"/>
                <w:color w:val="auto"/>
              </w:rPr>
            </w:pPr>
            <w:r>
              <w:rPr>
                <w:rFonts w:ascii="Arial" w:cs="Arial" w:eastAsia="Arial" w:hAnsi="Arial"/>
                <w:sz w:val="15"/>
                <w:szCs w:val="15"/>
                <w:b w:val="1"/>
                <w:bCs w:val="1"/>
                <w:color w:val="auto"/>
              </w:rPr>
              <w:t>ended September 30, 2022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0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Component</w:t>
            </w:r>
          </w:p>
        </w:tc>
        <w:tc>
          <w:tcPr>
            <w:tcW w:w="2180" w:type="dxa"/>
            <w:vAlign w:val="bottom"/>
            <w:gridSpan w:val="2"/>
          </w:tcPr>
          <w:p>
            <w:pPr>
              <w:jc w:val="center"/>
              <w:spacing w:after="0" w:line="152" w:lineRule="exact"/>
              <w:rPr>
                <w:sz w:val="20"/>
                <w:szCs w:val="20"/>
                <w:color w:val="auto"/>
              </w:rPr>
            </w:pPr>
            <w:r>
              <w:rPr>
                <w:rFonts w:ascii="Arial" w:cs="Arial" w:eastAsia="Arial" w:hAnsi="Arial"/>
                <w:sz w:val="15"/>
                <w:szCs w:val="15"/>
                <w:b w:val="1"/>
                <w:bCs w:val="1"/>
                <w:color w:val="auto"/>
              </w:rPr>
              <w:t>compared to September 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center"/>
              <w:ind w:right="38"/>
              <w:spacing w:after="0" w:line="164" w:lineRule="exact"/>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jc w:val="center"/>
              <w:ind w:right="38"/>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Increases to interest expense due to:</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00"/>
              <w:spacing w:after="0"/>
              <w:rPr>
                <w:sz w:val="20"/>
                <w:szCs w:val="20"/>
                <w:color w:val="auto"/>
              </w:rPr>
            </w:pPr>
            <w:r>
              <w:rPr>
                <w:rFonts w:ascii="Arial" w:cs="Arial" w:eastAsia="Arial" w:hAnsi="Arial"/>
                <w:sz w:val="17"/>
                <w:szCs w:val="17"/>
                <w:color w:val="auto"/>
              </w:rPr>
              <w:t>Increase in interest associated with unsecured credit facilities and term loans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060" w:type="dxa"/>
            <w:vAlign w:val="bottom"/>
          </w:tcPr>
          <w:p>
            <w:pPr>
              <w:jc w:val="right"/>
              <w:spacing w:after="0"/>
              <w:rPr>
                <w:sz w:val="20"/>
                <w:szCs w:val="20"/>
                <w:color w:val="auto"/>
              </w:rPr>
            </w:pPr>
            <w:r>
              <w:rPr>
                <w:rFonts w:ascii="Arial" w:cs="Arial" w:eastAsia="Arial" w:hAnsi="Arial"/>
                <w:sz w:val="17"/>
                <w:szCs w:val="17"/>
                <w:color w:val="auto"/>
              </w:rPr>
              <w:t>7,401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0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Issuance of $850 million in aggregate principal of 2.450% senior notes due 2033 on September 29, 2021</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00"/>
              <w:spacing w:after="0"/>
              <w:rPr>
                <w:sz w:val="20"/>
                <w:szCs w:val="20"/>
                <w:color w:val="auto"/>
              </w:rPr>
            </w:pPr>
            <w:r>
              <w:rPr>
                <w:rFonts w:ascii="Arial" w:cs="Arial" w:eastAsia="Arial" w:hAnsi="Arial"/>
                <w:sz w:val="17"/>
                <w:szCs w:val="17"/>
                <w:color w:val="auto"/>
              </w:rPr>
              <w:t>Decrease in capitalized interest related to development projects</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1,880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0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Amortization expense of financing fees primarily related to unsecured term loan</w:t>
            </w:r>
          </w:p>
        </w:tc>
        <w:tc>
          <w:tcPr>
            <w:tcW w:w="1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7"/>
                <w:szCs w:val="17"/>
                <w:color w:val="auto"/>
              </w:rPr>
              <w:t>Total increases to interest expense</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15,785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Decreases to interest expense due to:</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00"/>
              <w:spacing w:after="0"/>
              <w:rPr>
                <w:sz w:val="20"/>
                <w:szCs w:val="20"/>
                <w:color w:val="auto"/>
              </w:rPr>
            </w:pPr>
            <w:r>
              <w:rPr>
                <w:rFonts w:ascii="Arial" w:cs="Arial" w:eastAsia="Arial" w:hAnsi="Arial"/>
                <w:sz w:val="17"/>
                <w:szCs w:val="17"/>
                <w:color w:val="auto"/>
              </w:rPr>
              <w:t>Redemption of $1.0 billion in aggregate principal of 3.85% senior notes due 2023 on October 15, 2021</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(9,684)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0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Other interest expense (excluding senior notes)</w:t>
            </w:r>
          </w:p>
        </w:tc>
        <w:tc>
          <w:tcPr>
            <w:tcW w:w="1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90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Total decreases to interest expense</w:t>
            </w: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(9,733)</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9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change in interest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right="160" w:firstLine="419"/>
        <w:spacing w:after="0" w:line="260" w:lineRule="auto"/>
        <w:rPr>
          <w:sz w:val="20"/>
          <w:szCs w:val="20"/>
          <w:color w:val="auto"/>
        </w:rPr>
      </w:pPr>
      <w:r>
        <w:rPr>
          <w:rFonts w:ascii="Arial" w:cs="Arial" w:eastAsia="Arial" w:hAnsi="Arial"/>
          <w:sz w:val="17"/>
          <w:szCs w:val="17"/>
          <w:color w:val="auto"/>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three months ended September 30, 2022 and 2021 was approximately $12.2 million and $14.2 million, respectively. These costs are not included in the interest expense referenced above.</w:t>
      </w:r>
    </w:p>
    <w:p>
      <w:pPr>
        <w:spacing w:after="0" w:line="118" w:lineRule="exact"/>
        <w:rPr>
          <w:sz w:val="20"/>
          <w:szCs w:val="20"/>
          <w:color w:val="auto"/>
        </w:rPr>
      </w:pPr>
    </w:p>
    <w:p>
      <w:pPr>
        <w:ind w:right="40" w:firstLine="419"/>
        <w:spacing w:after="0" w:line="260" w:lineRule="auto"/>
        <w:rPr>
          <w:sz w:val="20"/>
          <w:szCs w:val="20"/>
          <w:color w:val="auto"/>
        </w:rPr>
      </w:pPr>
      <w:r>
        <w:rPr>
          <w:rFonts w:ascii="Arial" w:cs="Arial" w:eastAsia="Arial" w:hAnsi="Arial"/>
          <w:sz w:val="17"/>
          <w:szCs w:val="17"/>
          <w:color w:val="auto"/>
        </w:rPr>
        <w:t>At September 30, 2022, our outstanding variable rate debt consisted of BPLP’s $1.5 billion Revolving Facility and $730.0 million Unsecured Term Loan. The Revolving Facility and Unsecured Term Loan had approximately $1.1 billion outstanding as of September 30, 2022. For a summary of our consolidated debt as of September 30, 2022 and September 30, 2021 refer to the heading “</w:t>
      </w:r>
      <w:r>
        <w:rPr>
          <w:rFonts w:ascii="Arial" w:cs="Arial" w:eastAsia="Arial" w:hAnsi="Arial"/>
          <w:sz w:val="17"/>
          <w:szCs w:val="17"/>
          <w:i w:val="1"/>
          <w:iCs w:val="1"/>
          <w:color w:val="auto"/>
        </w:rPr>
        <w:t>Liquidity and Capital Resources—Debt Financing”</w:t>
      </w:r>
      <w:r>
        <w:rPr>
          <w:rFonts w:ascii="Arial" w:cs="Arial" w:eastAsia="Arial" w:hAnsi="Arial"/>
          <w:sz w:val="17"/>
          <w:szCs w:val="17"/>
          <w:color w:val="auto"/>
        </w:rPr>
        <w:t xml:space="preserve"> within “</w:t>
      </w:r>
      <w:r>
        <w:rPr>
          <w:rFonts w:ascii="Arial" w:cs="Arial" w:eastAsia="Arial" w:hAnsi="Arial"/>
          <w:sz w:val="17"/>
          <w:szCs w:val="17"/>
          <w:i w:val="1"/>
          <w:iCs w:val="1"/>
          <w:color w:val="auto"/>
        </w:rPr>
        <w:t>Item 2—Management’s Discussion and Analysis of Financial Condition and Results of Operations.</w:t>
      </w:r>
      <w:r>
        <w:rPr>
          <w:rFonts w:ascii="Arial" w:cs="Arial" w:eastAsia="Arial" w:hAnsi="Arial"/>
          <w:sz w:val="17"/>
          <w:szCs w:val="17"/>
          <w:color w:val="auto"/>
        </w:rPr>
        <w:t>”</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Noncontrolling Interests in Property Partnerships</w:t>
      </w:r>
    </w:p>
    <w:p>
      <w:pPr>
        <w:spacing w:after="0" w:line="96" w:lineRule="exact"/>
        <w:rPr>
          <w:sz w:val="20"/>
          <w:szCs w:val="20"/>
          <w:color w:val="auto"/>
        </w:rPr>
      </w:pPr>
    </w:p>
    <w:p>
      <w:pPr>
        <w:ind w:right="500" w:firstLine="419"/>
        <w:spacing w:after="0" w:line="283" w:lineRule="auto"/>
        <w:rPr>
          <w:sz w:val="20"/>
          <w:szCs w:val="20"/>
          <w:color w:val="auto"/>
        </w:rPr>
      </w:pPr>
      <w:r>
        <w:rPr>
          <w:rFonts w:ascii="Arial" w:cs="Arial" w:eastAsia="Arial" w:hAnsi="Arial"/>
          <w:sz w:val="17"/>
          <w:szCs w:val="17"/>
          <w:color w:val="auto"/>
        </w:rPr>
        <w:t>Noncontrolling interests in property partnerships decreased by approximately $0.2 million for the three months ended September 30, 2022 compared to 2021, as detailed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780" w:type="dxa"/>
            <w:vAlign w:val="bottom"/>
            <w:gridSpan w:val="7"/>
          </w:tcPr>
          <w:p>
            <w:pPr>
              <w:jc w:val="center"/>
              <w:ind w:right="77"/>
              <w:spacing w:after="0"/>
              <w:rPr>
                <w:sz w:val="20"/>
                <w:szCs w:val="20"/>
                <w:color w:val="auto"/>
              </w:rPr>
            </w:pPr>
            <w:r>
              <w:rPr>
                <w:rFonts w:ascii="Arial" w:cs="Arial" w:eastAsia="Arial" w:hAnsi="Arial"/>
                <w:sz w:val="15"/>
                <w:szCs w:val="15"/>
                <w:b w:val="1"/>
                <w:bCs w:val="1"/>
                <w:color w:val="auto"/>
              </w:rPr>
              <w:t>Noncontrolling Interests in Property Partnerships for the three</w:t>
            </w:r>
          </w:p>
        </w:tc>
      </w:tr>
      <w:tr>
        <w:trPr>
          <w:trHeight w:val="203"/>
        </w:trPr>
        <w:tc>
          <w:tcPr>
            <w:tcW w:w="3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6"/>
          </w:tcPr>
          <w:p>
            <w:pPr>
              <w:jc w:val="center"/>
              <w:ind w:left="978"/>
              <w:spacing w:after="0"/>
              <w:rPr>
                <w:sz w:val="20"/>
                <w:szCs w:val="20"/>
                <w:color w:val="auto"/>
              </w:rPr>
            </w:pPr>
            <w:r>
              <w:rPr>
                <w:rFonts w:ascii="Arial" w:cs="Arial" w:eastAsia="Arial" w:hAnsi="Arial"/>
                <w:sz w:val="15"/>
                <w:szCs w:val="15"/>
                <w:b w:val="1"/>
                <w:bCs w:val="1"/>
                <w:color w:val="auto"/>
              </w:rPr>
              <w:t>months ended September 30,</w:t>
            </w:r>
          </w:p>
        </w:tc>
        <w:tc>
          <w:tcPr>
            <w:tcW w:w="1220" w:type="dxa"/>
            <w:vAlign w:val="bottom"/>
            <w:tcBorders>
              <w:bottom w:val="single" w:sz="8" w:color="auto"/>
            </w:tcBorders>
          </w:tcPr>
          <w:p>
            <w:pPr>
              <w:spacing w:after="0"/>
              <w:rPr>
                <w:sz w:val="17"/>
                <w:szCs w:val="17"/>
                <w:color w:val="auto"/>
              </w:rPr>
            </w:pPr>
          </w:p>
        </w:tc>
      </w:tr>
      <w:tr>
        <w:trPr>
          <w:trHeight w:val="221"/>
        </w:trPr>
        <w:tc>
          <w:tcPr>
            <w:tcW w:w="6300" w:type="dxa"/>
            <w:vAlign w:val="bottom"/>
            <w:gridSpan w:val="3"/>
          </w:tcPr>
          <w:p>
            <w:pPr>
              <w:ind w:left="20"/>
              <w:spacing w:after="0"/>
              <w:rPr>
                <w:sz w:val="20"/>
                <w:szCs w:val="20"/>
                <w:color w:val="auto"/>
              </w:rPr>
            </w:pPr>
            <w:r>
              <w:rPr>
                <w:rFonts w:ascii="Arial" w:cs="Arial" w:eastAsia="Arial" w:hAnsi="Arial"/>
                <w:sz w:val="15"/>
                <w:szCs w:val="15"/>
                <w:b w:val="1"/>
                <w:bCs w:val="1"/>
                <w:color w:val="auto"/>
              </w:rPr>
              <w:t>Property</w:t>
            </w:r>
          </w:p>
        </w:tc>
        <w:tc>
          <w:tcPr>
            <w:tcW w:w="160" w:type="dxa"/>
            <w:vAlign w:val="bottom"/>
          </w:tcPr>
          <w:p>
            <w:pPr>
              <w:spacing w:after="0"/>
              <w:rPr>
                <w:sz w:val="19"/>
                <w:szCs w:val="19"/>
                <w:color w:val="auto"/>
              </w:rPr>
            </w:pPr>
          </w:p>
        </w:tc>
        <w:tc>
          <w:tcPr>
            <w:tcW w:w="1340" w:type="dxa"/>
            <w:vAlign w:val="bottom"/>
          </w:tcPr>
          <w:p>
            <w:pPr>
              <w:jc w:val="right"/>
              <w:ind w:right="498"/>
              <w:spacing w:after="0"/>
              <w:rPr>
                <w:sz w:val="20"/>
                <w:szCs w:val="20"/>
                <w:color w:val="auto"/>
              </w:rPr>
            </w:pPr>
            <w:r>
              <w:rPr>
                <w:rFonts w:ascii="Arial" w:cs="Arial" w:eastAsia="Arial" w:hAnsi="Arial"/>
                <w:sz w:val="15"/>
                <w:szCs w:val="15"/>
                <w:b w:val="1"/>
                <w:bCs w:val="1"/>
                <w:color w:val="auto"/>
              </w:rPr>
              <w:t>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78"/>
              <w:spacing w:after="0"/>
              <w:rPr>
                <w:sz w:val="20"/>
                <w:szCs w:val="20"/>
                <w:color w:val="auto"/>
              </w:rPr>
            </w:pPr>
            <w:r>
              <w:rPr>
                <w:rFonts w:ascii="Arial" w:cs="Arial" w:eastAsia="Arial" w:hAnsi="Arial"/>
                <w:sz w:val="15"/>
                <w:szCs w:val="15"/>
                <w:b w:val="1"/>
                <w:bCs w:val="1"/>
                <w:color w:val="auto"/>
              </w:rPr>
              <w:t>2021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77"/>
              <w:spacing w:after="0"/>
              <w:rPr>
                <w:sz w:val="20"/>
                <w:szCs w:val="20"/>
                <w:color w:val="auto"/>
              </w:rPr>
            </w:pPr>
            <w:r>
              <w:rPr>
                <w:rFonts w:ascii="Arial" w:cs="Arial" w:eastAsia="Arial" w:hAnsi="Arial"/>
                <w:sz w:val="15"/>
                <w:szCs w:val="15"/>
                <w:b w:val="1"/>
                <w:bCs w:val="1"/>
                <w:color w:val="auto"/>
              </w:rPr>
              <w:t>Change</w:t>
            </w:r>
          </w:p>
        </w:tc>
      </w:tr>
      <w:tr>
        <w:trPr>
          <w:trHeight w:val="196"/>
        </w:trPr>
        <w:tc>
          <w:tcPr>
            <w:tcW w:w="320" w:type="dxa"/>
            <w:vAlign w:val="bottom"/>
            <w:tcBorders>
              <w:top w:val="single" w:sz="8" w:color="auto"/>
            </w:tcBorders>
          </w:tcPr>
          <w:p>
            <w:pPr>
              <w:spacing w:after="0"/>
              <w:rPr>
                <w:sz w:val="17"/>
                <w:szCs w:val="17"/>
                <w:color w:val="auto"/>
              </w:rPr>
            </w:pPr>
          </w:p>
        </w:tc>
        <w:tc>
          <w:tcPr>
            <w:tcW w:w="5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5"/>
                <w:szCs w:val="15"/>
                <w:b w:val="1"/>
                <w:bCs w:val="1"/>
                <w:color w:val="auto"/>
              </w:rPr>
              <w:t>(in thousands)</w:t>
            </w: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6"/>
        </w:trPr>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767</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Fifth Avenue (the General Motors Building)</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r>
      <w:tr>
        <w:trPr>
          <w:trHeight w:val="216"/>
        </w:trPr>
        <w:tc>
          <w:tcPr>
            <w:tcW w:w="6300" w:type="dxa"/>
            <w:vAlign w:val="bottom"/>
            <w:gridSpan w:val="3"/>
          </w:tcPr>
          <w:p>
            <w:pPr>
              <w:ind w:left="20"/>
              <w:spacing w:after="0"/>
              <w:rPr>
                <w:sz w:val="20"/>
                <w:szCs w:val="20"/>
                <w:color w:val="auto"/>
              </w:rPr>
            </w:pPr>
            <w:r>
              <w:rPr>
                <w:rFonts w:ascii="Arial" w:cs="Arial" w:eastAsia="Arial" w:hAnsi="Arial"/>
                <w:sz w:val="17"/>
                <w:szCs w:val="17"/>
                <w:color w:val="auto"/>
              </w:rPr>
              <w:t>Times Square Tower</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4,911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4,995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16"/>
        </w:trPr>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601</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Lexington Avenue (1)</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w:t>
            </w:r>
          </w:p>
        </w:tc>
      </w:tr>
      <w:tr>
        <w:trPr>
          <w:trHeight w:val="216"/>
        </w:trPr>
        <w:tc>
          <w:tcPr>
            <w:tcW w:w="320" w:type="dxa"/>
            <w:vAlign w:val="bottom"/>
          </w:tcPr>
          <w:p>
            <w:pPr>
              <w:ind w:left="20"/>
              <w:spacing w:after="0"/>
              <w:rPr>
                <w:sz w:val="20"/>
                <w:szCs w:val="20"/>
                <w:color w:val="auto"/>
              </w:rPr>
            </w:pPr>
            <w:r>
              <w:rPr>
                <w:rFonts w:ascii="Arial" w:cs="Arial" w:eastAsia="Arial" w:hAnsi="Arial"/>
                <w:sz w:val="17"/>
                <w:szCs w:val="17"/>
                <w:color w:val="auto"/>
                <w:w w:val="98"/>
              </w:rPr>
              <w:t>100</w:t>
            </w:r>
          </w:p>
        </w:tc>
        <w:tc>
          <w:tcPr>
            <w:tcW w:w="5980" w:type="dxa"/>
            <w:vAlign w:val="bottom"/>
            <w:gridSpan w:val="2"/>
          </w:tcPr>
          <w:p>
            <w:pPr>
              <w:ind w:left="20"/>
              <w:spacing w:after="0"/>
              <w:rPr>
                <w:sz w:val="20"/>
                <w:szCs w:val="20"/>
                <w:color w:val="auto"/>
              </w:rPr>
            </w:pPr>
            <w:r>
              <w:rPr>
                <w:rFonts w:ascii="Arial" w:cs="Arial" w:eastAsia="Arial" w:hAnsi="Arial"/>
                <w:sz w:val="17"/>
                <w:szCs w:val="17"/>
                <w:color w:val="auto"/>
              </w:rPr>
              <w:t>Federal Street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3,421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6"/>
        </w:trPr>
        <w:tc>
          <w:tcPr>
            <w:tcW w:w="63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Atlantic Wharf Office Building (2)</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2,713</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865</w:t>
            </w:r>
          </w:p>
        </w:tc>
      </w:tr>
      <w:tr>
        <w:trPr>
          <w:trHeight w:val="208"/>
        </w:trPr>
        <w:tc>
          <w:tcPr>
            <w:tcW w:w="3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18,801</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18,971</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w:t>
            </w:r>
          </w:p>
        </w:tc>
      </w:tr>
      <w:tr>
        <w:trPr>
          <w:trHeight w:val="20"/>
        </w:trPr>
        <w:tc>
          <w:tcPr>
            <w:tcW w:w="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26" w:lineRule="exact"/>
        <w:rPr>
          <w:sz w:val="20"/>
          <w:szCs w:val="20"/>
          <w:color w:val="auto"/>
        </w:rPr>
      </w:pPr>
    </w:p>
    <w:p>
      <w:pPr>
        <w:ind w:left="540" w:hanging="310"/>
        <w:spacing w:after="0"/>
        <w:tabs>
          <w:tab w:leader="none" w:pos="5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decrease was primarily attributable to an increase in operating expenses.</w:t>
      </w:r>
    </w:p>
    <w:p>
      <w:pPr>
        <w:spacing w:after="0" w:line="5" w:lineRule="exact"/>
        <w:rPr>
          <w:rFonts w:ascii="Arial" w:cs="Arial" w:eastAsia="Arial" w:hAnsi="Arial"/>
          <w:sz w:val="15"/>
          <w:szCs w:val="15"/>
          <w:color w:val="auto"/>
        </w:rPr>
      </w:pPr>
    </w:p>
    <w:p>
      <w:pPr>
        <w:ind w:left="540" w:hanging="310"/>
        <w:spacing w:after="0"/>
        <w:tabs>
          <w:tab w:leader="none" w:pos="5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increase was primarily attributable to an increase in lease revenue from our clients.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Interest—Common Units of the Operating Partnership</w:t>
      </w:r>
    </w:p>
    <w:p>
      <w:pPr>
        <w:spacing w:after="0" w:line="96" w:lineRule="exact"/>
        <w:rPr>
          <w:sz w:val="20"/>
          <w:szCs w:val="20"/>
          <w:color w:val="auto"/>
        </w:rPr>
      </w:pPr>
    </w:p>
    <w:p>
      <w:pPr>
        <w:ind w:right="400" w:firstLine="419"/>
        <w:spacing w:after="0" w:line="283" w:lineRule="auto"/>
        <w:rPr>
          <w:sz w:val="20"/>
          <w:szCs w:val="20"/>
          <w:color w:val="auto"/>
        </w:rPr>
      </w:pPr>
      <w:r>
        <w:rPr>
          <w:rFonts w:ascii="Arial" w:cs="Arial" w:eastAsia="Arial" w:hAnsi="Arial"/>
          <w:sz w:val="17"/>
          <w:szCs w:val="17"/>
          <w:color w:val="auto"/>
        </w:rPr>
        <w:t>For BXP, noncontrolling interest—common units of the Operating Partnership increased by approximately $28.9 million for the three months ended September 30, 2022 compared to 2021 due primarily to an increase in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color w:val="auto"/>
        </w:rPr>
        <w:t>allocable income, which was the result of recognizing a greater gain on sales of real estate during 2022. Due to our ownership structure, there is no corresponding line item on BPLP’s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General</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principal liquidity needs for the next twelve months and beyond are to:</w:t>
      </w:r>
    </w:p>
    <w:p>
      <w:pPr>
        <w:spacing w:after="0" w:line="147" w:lineRule="exact"/>
        <w:rPr>
          <w:sz w:val="20"/>
          <w:szCs w:val="20"/>
          <w:color w:val="auto"/>
        </w:rPr>
      </w:pPr>
    </w:p>
    <w:p>
      <w:pPr>
        <w:ind w:left="760" w:hanging="302"/>
        <w:spacing w:after="0"/>
        <w:tabs>
          <w:tab w:leader="none" w:pos="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fund normal recurring expenses;</w:t>
      </w:r>
    </w:p>
    <w:p>
      <w:pPr>
        <w:spacing w:after="0" w:line="58" w:lineRule="exact"/>
        <w:rPr>
          <w:rFonts w:ascii="Arial" w:cs="Arial" w:eastAsia="Arial" w:hAnsi="Arial"/>
          <w:sz w:val="17"/>
          <w:szCs w:val="17"/>
          <w:color w:val="auto"/>
        </w:rPr>
      </w:pPr>
    </w:p>
    <w:p>
      <w:pPr>
        <w:ind w:left="760" w:hanging="302"/>
        <w:spacing w:after="0"/>
        <w:tabs>
          <w:tab w:leader="none" w:pos="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meet debt service and principal repayment obligations, including the Unsecured Term Loan and balloon payments on maturing debt;</w:t>
      </w:r>
    </w:p>
    <w:p>
      <w:pPr>
        <w:spacing w:after="0" w:line="58" w:lineRule="exact"/>
        <w:rPr>
          <w:rFonts w:ascii="Arial" w:cs="Arial" w:eastAsia="Arial" w:hAnsi="Arial"/>
          <w:sz w:val="17"/>
          <w:szCs w:val="17"/>
          <w:color w:val="auto"/>
        </w:rPr>
      </w:pPr>
    </w:p>
    <w:p>
      <w:pPr>
        <w:ind w:left="760" w:hanging="302"/>
        <w:spacing w:after="0"/>
        <w:tabs>
          <w:tab w:leader="none" w:pos="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fund development and redevelopment costs;</w:t>
      </w:r>
    </w:p>
    <w:p>
      <w:pPr>
        <w:spacing w:after="0" w:line="58" w:lineRule="exact"/>
        <w:rPr>
          <w:rFonts w:ascii="Arial" w:cs="Arial" w:eastAsia="Arial" w:hAnsi="Arial"/>
          <w:sz w:val="17"/>
          <w:szCs w:val="17"/>
          <w:color w:val="auto"/>
        </w:rPr>
      </w:pPr>
    </w:p>
    <w:p>
      <w:pPr>
        <w:ind w:left="760" w:hanging="302"/>
        <w:spacing w:after="0"/>
        <w:tabs>
          <w:tab w:leader="none" w:pos="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fund capital expenditures, including major renovations, tenant improvements and leasing costs;</w:t>
      </w:r>
    </w:p>
    <w:p>
      <w:pPr>
        <w:spacing w:after="0" w:line="58" w:lineRule="exact"/>
        <w:rPr>
          <w:rFonts w:ascii="Arial" w:cs="Arial" w:eastAsia="Arial" w:hAnsi="Arial"/>
          <w:sz w:val="17"/>
          <w:szCs w:val="17"/>
          <w:color w:val="auto"/>
        </w:rPr>
      </w:pPr>
    </w:p>
    <w:p>
      <w:pPr>
        <w:ind w:left="760" w:hanging="302"/>
        <w:spacing w:after="0"/>
        <w:tabs>
          <w:tab w:leader="none" w:pos="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fund pending and possible acquisitions of properties, either directly or indirectly through the acquisition of equity interests therein; and</w:t>
      </w:r>
    </w:p>
    <w:p>
      <w:pPr>
        <w:spacing w:after="0" w:line="58" w:lineRule="exact"/>
        <w:rPr>
          <w:rFonts w:ascii="Arial" w:cs="Arial" w:eastAsia="Arial" w:hAnsi="Arial"/>
          <w:sz w:val="17"/>
          <w:szCs w:val="17"/>
          <w:color w:val="auto"/>
        </w:rPr>
      </w:pPr>
    </w:p>
    <w:p>
      <w:pPr>
        <w:ind w:left="760" w:right="500" w:hanging="302"/>
        <w:spacing w:after="0" w:line="283" w:lineRule="auto"/>
        <w:tabs>
          <w:tab w:leader="none" w:pos="756" w:val="left"/>
        </w:tabs>
        <w:numPr>
          <w:ilvl w:val="0"/>
          <w:numId w:val="53"/>
        </w:numPr>
        <w:rPr>
          <w:rFonts w:ascii="Arial" w:cs="Arial" w:eastAsia="Arial" w:hAnsi="Arial"/>
          <w:sz w:val="17"/>
          <w:szCs w:val="17"/>
          <w:color w:val="auto"/>
        </w:rPr>
      </w:pPr>
      <w:r>
        <w:rPr>
          <w:rFonts w:ascii="Arial" w:cs="Arial" w:eastAsia="Arial" w:hAnsi="Arial"/>
          <w:sz w:val="17"/>
          <w:szCs w:val="17"/>
          <w:color w:val="auto"/>
        </w:rPr>
        <w:t>make the minimum distribution required to enable BXP to maintain its REIT qualification under the Internal Revenue Code of 1986, as amended.</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expect to satisfy these needs using one or more of the following:</w:t>
      </w:r>
    </w:p>
    <w:p>
      <w:pPr>
        <w:spacing w:after="0" w:line="135" w:lineRule="exact"/>
        <w:rPr>
          <w:sz w:val="20"/>
          <w:szCs w:val="20"/>
          <w:color w:val="auto"/>
        </w:rPr>
      </w:pPr>
    </w:p>
    <w:p>
      <w:pPr>
        <w:ind w:left="760" w:hanging="302"/>
        <w:spacing w:after="0"/>
        <w:tabs>
          <w:tab w:leader="none" w:pos="7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cash flow from operations;</w:t>
      </w:r>
    </w:p>
    <w:p>
      <w:pPr>
        <w:spacing w:after="0" w:line="58" w:lineRule="exact"/>
        <w:rPr>
          <w:rFonts w:ascii="Arial" w:cs="Arial" w:eastAsia="Arial" w:hAnsi="Arial"/>
          <w:sz w:val="17"/>
          <w:szCs w:val="17"/>
          <w:color w:val="auto"/>
        </w:rPr>
      </w:pPr>
    </w:p>
    <w:p>
      <w:pPr>
        <w:ind w:left="760" w:hanging="302"/>
        <w:spacing w:after="0"/>
        <w:tabs>
          <w:tab w:leader="none" w:pos="7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distribution of cash flows from joint ventures;</w:t>
      </w:r>
    </w:p>
    <w:p>
      <w:pPr>
        <w:spacing w:after="0" w:line="58" w:lineRule="exact"/>
        <w:rPr>
          <w:rFonts w:ascii="Arial" w:cs="Arial" w:eastAsia="Arial" w:hAnsi="Arial"/>
          <w:sz w:val="17"/>
          <w:szCs w:val="17"/>
          <w:color w:val="auto"/>
        </w:rPr>
      </w:pPr>
    </w:p>
    <w:p>
      <w:pPr>
        <w:ind w:left="760" w:hanging="302"/>
        <w:spacing w:after="0"/>
        <w:tabs>
          <w:tab w:leader="none" w:pos="7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cash and cash equivalent balances;</w:t>
      </w:r>
    </w:p>
    <w:p>
      <w:pPr>
        <w:spacing w:after="0" w:line="58" w:lineRule="exact"/>
        <w:rPr>
          <w:rFonts w:ascii="Arial" w:cs="Arial" w:eastAsia="Arial" w:hAnsi="Arial"/>
          <w:sz w:val="17"/>
          <w:szCs w:val="17"/>
          <w:color w:val="auto"/>
        </w:rPr>
      </w:pPr>
    </w:p>
    <w:p>
      <w:pPr>
        <w:ind w:left="760" w:hanging="302"/>
        <w:spacing w:after="0"/>
        <w:tabs>
          <w:tab w:leader="none" w:pos="7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borrowings under BPLP’s Revolving Facility, unsecured term loans, short-term bridge facilities and construction loans;</w:t>
      </w:r>
    </w:p>
    <w:p>
      <w:pPr>
        <w:spacing w:after="0" w:line="58" w:lineRule="exact"/>
        <w:rPr>
          <w:rFonts w:ascii="Arial" w:cs="Arial" w:eastAsia="Arial" w:hAnsi="Arial"/>
          <w:sz w:val="17"/>
          <w:szCs w:val="17"/>
          <w:color w:val="auto"/>
        </w:rPr>
      </w:pPr>
    </w:p>
    <w:p>
      <w:pPr>
        <w:ind w:left="760" w:hanging="302"/>
        <w:spacing w:after="0"/>
        <w:tabs>
          <w:tab w:leader="none" w:pos="7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long-term secured and unsecured indebtedness (including unsecured exchangeable indebtedness);</w:t>
      </w:r>
    </w:p>
    <w:p>
      <w:pPr>
        <w:spacing w:after="0" w:line="58" w:lineRule="exact"/>
        <w:rPr>
          <w:rFonts w:ascii="Arial" w:cs="Arial" w:eastAsia="Arial" w:hAnsi="Arial"/>
          <w:sz w:val="17"/>
          <w:szCs w:val="17"/>
          <w:color w:val="auto"/>
        </w:rPr>
      </w:pPr>
    </w:p>
    <w:p>
      <w:pPr>
        <w:ind w:left="760" w:hanging="302"/>
        <w:spacing w:after="0"/>
        <w:tabs>
          <w:tab w:leader="none" w:pos="7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sales of real estate;</w:t>
      </w:r>
    </w:p>
    <w:p>
      <w:pPr>
        <w:spacing w:after="0" w:line="58" w:lineRule="exact"/>
        <w:rPr>
          <w:rFonts w:ascii="Arial" w:cs="Arial" w:eastAsia="Arial" w:hAnsi="Arial"/>
          <w:sz w:val="17"/>
          <w:szCs w:val="17"/>
          <w:color w:val="auto"/>
        </w:rPr>
      </w:pPr>
    </w:p>
    <w:p>
      <w:pPr>
        <w:ind w:left="760" w:hanging="302"/>
        <w:spacing w:after="0"/>
        <w:tabs>
          <w:tab w:leader="none" w:pos="7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private equity sources including through our Strategic Capital Program (“SCP”) with large institutional investors; and</w:t>
      </w:r>
    </w:p>
    <w:p>
      <w:pPr>
        <w:spacing w:after="0" w:line="58" w:lineRule="exact"/>
        <w:rPr>
          <w:rFonts w:ascii="Arial" w:cs="Arial" w:eastAsia="Arial" w:hAnsi="Arial"/>
          <w:sz w:val="17"/>
          <w:szCs w:val="17"/>
          <w:color w:val="auto"/>
        </w:rPr>
      </w:pPr>
    </w:p>
    <w:p>
      <w:pPr>
        <w:ind w:left="760" w:hanging="302"/>
        <w:spacing w:after="0"/>
        <w:tabs>
          <w:tab w:leader="none" w:pos="7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issuances of BXP equity securities and/or preferred or common units of partnership interests in BPLP.</w:t>
      </w:r>
    </w:p>
    <w:p>
      <w:pPr>
        <w:spacing w:after="0" w:line="160" w:lineRule="exact"/>
        <w:rPr>
          <w:sz w:val="20"/>
          <w:szCs w:val="20"/>
          <w:color w:val="auto"/>
        </w:rPr>
      </w:pPr>
    </w:p>
    <w:p>
      <w:pPr>
        <w:ind w:firstLine="381"/>
        <w:spacing w:after="0" w:line="256" w:lineRule="auto"/>
        <w:rPr>
          <w:sz w:val="20"/>
          <w:szCs w:val="20"/>
          <w:color w:val="auto"/>
        </w:rPr>
      </w:pPr>
      <w:r>
        <w:rPr>
          <w:rFonts w:ascii="Arial" w:cs="Arial" w:eastAsia="Arial" w:hAnsi="Arial"/>
          <w:sz w:val="17"/>
          <w:szCs w:val="17"/>
          <w:color w:val="auto"/>
        </w:rPr>
        <w:t>We draw on multiple financing sources to fund our long-term capital needs. We expect to fund our current development/redevelopment properties primarily with our available cash balances, construction loans, unsecured term loans, proceeds from asset sales and BPLP’s Revolving Facility. We use BPLP’s Revolving Facility primarily as a bridge facility to fund acquisition opportunities, refinance outstanding indebtedness and meet short-term development and working capital needs. Although we may seek to fund our development projects with construction loans, which may require guarantees by BPLP, the financing for each particular project ultimately depends on several factors, including, among others, the project’s size and duration, the extent of pre-leasing, our available cash and access to cost effective capital at the given time.</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information on properties under construction and redevelopment as of September 30, 2022 (dollars in thousands):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2"/>
                <w:szCs w:val="12"/>
                <w:b w:val="1"/>
                <w:bCs w:val="1"/>
                <w:color w:val="auto"/>
              </w:rPr>
              <w:t>Financings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7"/>
              </w:rPr>
              <w:t>Estimated</w:t>
            </w: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Outstanding at</w:t>
            </w:r>
          </w:p>
        </w:tc>
        <w:tc>
          <w:tcPr>
            <w:tcW w:w="80" w:type="dxa"/>
            <w:vAlign w:val="bottom"/>
          </w:tcPr>
          <w:p>
            <w:pPr>
              <w:spacing w:after="0"/>
              <w:rPr>
                <w:sz w:val="8"/>
                <w:szCs w:val="8"/>
                <w:color w:val="auto"/>
              </w:rPr>
            </w:pPr>
          </w:p>
        </w:tc>
        <w:tc>
          <w:tcPr>
            <w:tcW w:w="760" w:type="dxa"/>
            <w:vAlign w:val="bottom"/>
            <w:gridSpan w:val="2"/>
          </w:tcPr>
          <w:p>
            <w:pPr>
              <w:jc w:val="center"/>
              <w:ind w:right="160"/>
              <w:spacing w:after="0" w:line="101" w:lineRule="exact"/>
              <w:rPr>
                <w:sz w:val="20"/>
                <w:szCs w:val="20"/>
                <w:color w:val="auto"/>
              </w:rPr>
            </w:pPr>
            <w:r>
              <w:rPr>
                <w:rFonts w:ascii="Arial" w:cs="Arial" w:eastAsia="Arial" w:hAnsi="Arial"/>
                <w:sz w:val="11"/>
                <w:szCs w:val="11"/>
                <w:b w:val="1"/>
                <w:bCs w:val="1"/>
                <w:color w:val="auto"/>
              </w:rPr>
              <w:t>Estimated</w:t>
            </w: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7"/>
              </w:rPr>
              <w:t>Estimated</w:t>
            </w: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97"/>
              </w:rPr>
              <w:t>Investment</w:t>
            </w: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0"/>
              </w:rPr>
              <w:t>Total</w:t>
            </w: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60"/>
              <w:spacing w:after="0" w:line="127" w:lineRule="exact"/>
              <w:rPr>
                <w:sz w:val="20"/>
                <w:szCs w:val="20"/>
                <w:color w:val="auto"/>
              </w:rPr>
            </w:pPr>
            <w:r>
              <w:rPr>
                <w:rFonts w:ascii="Arial" w:cs="Arial" w:eastAsia="Arial" w:hAnsi="Arial"/>
                <w:sz w:val="12"/>
                <w:szCs w:val="12"/>
                <w:b w:val="1"/>
                <w:bCs w:val="1"/>
                <w:color w:val="auto"/>
                <w:w w:val="96"/>
              </w:rPr>
              <w:t>Future</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Estimated</w:t>
            </w: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 of</w:t>
            </w:r>
          </w:p>
        </w:tc>
        <w:tc>
          <w:tcPr>
            <w:tcW w:w="760" w:type="dxa"/>
            <w:vAlign w:val="bottom"/>
            <w:gridSpan w:val="2"/>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160"/>
              <w:spacing w:after="0" w:line="114" w:lineRule="exact"/>
              <w:rPr>
                <w:sz w:val="20"/>
                <w:szCs w:val="20"/>
                <w:color w:val="auto"/>
              </w:rPr>
            </w:pPr>
            <w:r>
              <w:rPr>
                <w:rFonts w:ascii="Arial" w:cs="Arial" w:eastAsia="Arial" w:hAnsi="Arial"/>
                <w:sz w:val="12"/>
                <w:szCs w:val="12"/>
                <w:b w:val="1"/>
                <w:bCs w:val="1"/>
                <w:color w:val="auto"/>
                <w:w w:val="97"/>
              </w:rPr>
              <w:t>Total</w:t>
            </w:r>
          </w:p>
        </w:tc>
        <w:tc>
          <w:tcPr>
            <w:tcW w:w="1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ind w:left="20"/>
              <w:spacing w:after="0" w:line="114" w:lineRule="exact"/>
              <w:rPr>
                <w:sz w:val="20"/>
                <w:szCs w:val="20"/>
                <w:color w:val="auto"/>
              </w:rPr>
            </w:pPr>
            <w:r>
              <w:rPr>
                <w:rFonts w:ascii="Arial" w:cs="Arial" w:eastAsia="Arial" w:hAnsi="Arial"/>
                <w:sz w:val="12"/>
                <w:szCs w:val="12"/>
                <w:b w:val="1"/>
                <w:bCs w:val="1"/>
                <w:color w:val="auto"/>
              </w:rPr>
              <w:t>September 30,</w:t>
            </w:r>
          </w:p>
        </w:tc>
        <w:tc>
          <w:tcPr>
            <w:tcW w:w="80" w:type="dxa"/>
            <w:vAlign w:val="bottom"/>
          </w:tcPr>
          <w:p>
            <w:pPr>
              <w:spacing w:after="0"/>
              <w:rPr>
                <w:sz w:val="9"/>
                <w:szCs w:val="9"/>
                <w:color w:val="auto"/>
              </w:rPr>
            </w:pPr>
          </w:p>
        </w:tc>
        <w:tc>
          <w:tcPr>
            <w:tcW w:w="760" w:type="dxa"/>
            <w:vAlign w:val="bottom"/>
            <w:gridSpan w:val="2"/>
          </w:tcPr>
          <w:p>
            <w:pPr>
              <w:jc w:val="center"/>
              <w:ind w:right="160"/>
              <w:spacing w:after="0" w:line="114" w:lineRule="exact"/>
              <w:rPr>
                <w:sz w:val="20"/>
                <w:szCs w:val="20"/>
                <w:color w:val="auto"/>
              </w:rPr>
            </w:pPr>
            <w:r>
              <w:rPr>
                <w:rFonts w:ascii="Arial" w:cs="Arial" w:eastAsia="Arial" w:hAnsi="Arial"/>
                <w:sz w:val="12"/>
                <w:szCs w:val="12"/>
                <w:b w:val="1"/>
                <w:bCs w:val="1"/>
                <w:color w:val="auto"/>
                <w:w w:val="98"/>
              </w:rPr>
              <w:t>Equity</w:t>
            </w:r>
          </w:p>
        </w:tc>
        <w:tc>
          <w:tcPr>
            <w:tcW w:w="800" w:type="dxa"/>
            <w:vAlign w:val="bottom"/>
            <w:vMerge w:val="restart"/>
          </w:tcPr>
          <w:p>
            <w:pPr>
              <w:jc w:val="right"/>
              <w:ind w:right="17"/>
              <w:spacing w:after="0"/>
              <w:rPr>
                <w:sz w:val="20"/>
                <w:szCs w:val="20"/>
                <w:color w:val="auto"/>
              </w:rPr>
            </w:pPr>
            <w:r>
              <w:rPr>
                <w:rFonts w:ascii="Arial" w:cs="Arial" w:eastAsia="Arial" w:hAnsi="Arial"/>
                <w:sz w:val="12"/>
                <w:szCs w:val="12"/>
                <w:b w:val="1"/>
                <w:bCs w:val="1"/>
                <w:color w:val="auto"/>
              </w:rPr>
              <w:t>Percentage</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920" w:type="dxa"/>
            <w:vAlign w:val="bottom"/>
            <w:gridSpan w:val="4"/>
            <w:vMerge w:val="restart"/>
          </w:tcPr>
          <w:p>
            <w:pPr>
              <w:ind w:left="280"/>
              <w:spacing w:after="0"/>
              <w:rPr>
                <w:sz w:val="20"/>
                <w:szCs w:val="20"/>
                <w:color w:val="auto"/>
              </w:rPr>
            </w:pPr>
            <w:r>
              <w:rPr>
                <w:rFonts w:ascii="Arial" w:cs="Arial" w:eastAsia="Arial" w:hAnsi="Arial"/>
                <w:sz w:val="12"/>
                <w:szCs w:val="12"/>
                <w:b w:val="1"/>
                <w:bCs w:val="1"/>
                <w:color w:val="auto"/>
              </w:rPr>
              <w:t>Construction Properties</w:t>
            </w:r>
          </w:p>
        </w:tc>
        <w:tc>
          <w:tcPr>
            <w:tcW w:w="80" w:type="dxa"/>
            <w:vAlign w:val="bottom"/>
            <w:vMerge w:val="restart"/>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9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Location</w:t>
            </w:r>
          </w:p>
        </w:tc>
        <w:tc>
          <w:tcPr>
            <w:tcW w:w="60" w:type="dxa"/>
            <w:vAlign w:val="bottom"/>
            <w:vMerge w:val="restart"/>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60" w:type="dxa"/>
            <w:vAlign w:val="bottom"/>
            <w:gridSpan w:val="2"/>
          </w:tcPr>
          <w:p>
            <w:pPr>
              <w:jc w:val="center"/>
              <w:ind w:right="80"/>
              <w:spacing w:after="0" w:line="114" w:lineRule="exact"/>
              <w:rPr>
                <w:sz w:val="20"/>
                <w:szCs w:val="20"/>
                <w:color w:val="auto"/>
              </w:rPr>
            </w:pPr>
            <w:r>
              <w:rPr>
                <w:rFonts w:ascii="Arial" w:cs="Arial" w:eastAsia="Arial" w:hAnsi="Arial"/>
                <w:sz w:val="12"/>
                <w:szCs w:val="12"/>
                <w:b w:val="1"/>
                <w:bCs w:val="1"/>
                <w:color w:val="auto"/>
                <w:w w:val="98"/>
              </w:rPr>
              <w:t>Square</w:t>
            </w:r>
          </w:p>
        </w:tc>
        <w:tc>
          <w:tcPr>
            <w:tcW w:w="820" w:type="dxa"/>
            <w:vAlign w:val="bottom"/>
            <w:gridSpan w:val="3"/>
          </w:tcPr>
          <w:p>
            <w:pPr>
              <w:jc w:val="center"/>
              <w:ind w:right="80"/>
              <w:spacing w:after="0" w:line="114" w:lineRule="exact"/>
              <w:rPr>
                <w:sz w:val="20"/>
                <w:szCs w:val="20"/>
                <w:color w:val="auto"/>
              </w:rPr>
            </w:pPr>
            <w:r>
              <w:rPr>
                <w:rFonts w:ascii="Arial" w:cs="Arial" w:eastAsia="Arial" w:hAnsi="Arial"/>
                <w:sz w:val="12"/>
                <w:szCs w:val="12"/>
                <w:b w:val="1"/>
                <w:bCs w:val="1"/>
                <w:color w:val="auto"/>
                <w:w w:val="98"/>
              </w:rPr>
              <w:t>to Date (1)</w:t>
            </w:r>
          </w:p>
        </w:tc>
        <w:tc>
          <w:tcPr>
            <w:tcW w:w="820" w:type="dxa"/>
            <w:vAlign w:val="bottom"/>
            <w:gridSpan w:val="3"/>
          </w:tcPr>
          <w:p>
            <w:pPr>
              <w:jc w:val="center"/>
              <w:ind w:right="80"/>
              <w:spacing w:after="0" w:line="114" w:lineRule="exact"/>
              <w:rPr>
                <w:sz w:val="20"/>
                <w:szCs w:val="20"/>
                <w:color w:val="auto"/>
              </w:rPr>
            </w:pPr>
            <w:r>
              <w:rPr>
                <w:rFonts w:ascii="Arial" w:cs="Arial" w:eastAsia="Arial" w:hAnsi="Arial"/>
                <w:sz w:val="12"/>
                <w:szCs w:val="12"/>
                <w:b w:val="1"/>
                <w:bCs w:val="1"/>
                <w:color w:val="auto"/>
                <w:w w:val="97"/>
              </w:rPr>
              <w:t>Investment</w:t>
            </w:r>
          </w:p>
        </w:tc>
        <w:tc>
          <w:tcPr>
            <w:tcW w:w="760" w:type="dxa"/>
            <w:vAlign w:val="bottom"/>
            <w:gridSpan w:val="3"/>
          </w:tcPr>
          <w:p>
            <w:pPr>
              <w:jc w:val="center"/>
              <w:ind w:right="60"/>
              <w:spacing w:after="0" w:line="114" w:lineRule="exact"/>
              <w:rPr>
                <w:sz w:val="20"/>
                <w:szCs w:val="20"/>
                <w:color w:val="auto"/>
              </w:rPr>
            </w:pPr>
            <w:r>
              <w:rPr>
                <w:rFonts w:ascii="Arial" w:cs="Arial" w:eastAsia="Arial" w:hAnsi="Arial"/>
                <w:sz w:val="12"/>
                <w:szCs w:val="12"/>
                <w:b w:val="1"/>
                <w:bCs w:val="1"/>
                <w:color w:val="auto"/>
                <w:w w:val="94"/>
              </w:rPr>
              <w:t>Available</w:t>
            </w:r>
          </w:p>
        </w:tc>
        <w:tc>
          <w:tcPr>
            <w:tcW w:w="100" w:type="dxa"/>
            <w:vAlign w:val="bottom"/>
          </w:tcPr>
          <w:p>
            <w:pPr>
              <w:spacing w:after="0"/>
              <w:rPr>
                <w:sz w:val="9"/>
                <w:szCs w:val="9"/>
                <w:color w:val="auto"/>
              </w:rPr>
            </w:pPr>
          </w:p>
        </w:tc>
        <w:tc>
          <w:tcPr>
            <w:tcW w:w="960" w:type="dxa"/>
            <w:vAlign w:val="bottom"/>
          </w:tcPr>
          <w:p>
            <w:pPr>
              <w:jc w:val="right"/>
              <w:ind w:right="337"/>
              <w:spacing w:after="0" w:line="114" w:lineRule="exact"/>
              <w:rPr>
                <w:sz w:val="20"/>
                <w:szCs w:val="20"/>
                <w:color w:val="auto"/>
              </w:rPr>
            </w:pPr>
            <w:r>
              <w:rPr>
                <w:rFonts w:ascii="Arial" w:cs="Arial" w:eastAsia="Arial" w:hAnsi="Arial"/>
                <w:sz w:val="12"/>
                <w:szCs w:val="12"/>
                <w:b w:val="1"/>
                <w:bCs w:val="1"/>
                <w:color w:val="auto"/>
              </w:rPr>
              <w:t>2022</w:t>
            </w:r>
          </w:p>
        </w:tc>
        <w:tc>
          <w:tcPr>
            <w:tcW w:w="80" w:type="dxa"/>
            <w:vAlign w:val="bottom"/>
          </w:tcPr>
          <w:p>
            <w:pPr>
              <w:spacing w:after="0"/>
              <w:rPr>
                <w:sz w:val="9"/>
                <w:szCs w:val="9"/>
                <w:color w:val="auto"/>
              </w:rPr>
            </w:pPr>
          </w:p>
        </w:tc>
        <w:tc>
          <w:tcPr>
            <w:tcW w:w="840" w:type="dxa"/>
            <w:vAlign w:val="bottom"/>
            <w:gridSpan w:val="3"/>
          </w:tcPr>
          <w:p>
            <w:pPr>
              <w:jc w:val="center"/>
              <w:ind w:right="80"/>
              <w:spacing w:after="0" w:line="114" w:lineRule="exact"/>
              <w:rPr>
                <w:sz w:val="20"/>
                <w:szCs w:val="20"/>
                <w:color w:val="auto"/>
              </w:rPr>
            </w:pPr>
            <w:r>
              <w:rPr>
                <w:rFonts w:ascii="Arial" w:cs="Arial" w:eastAsia="Arial" w:hAnsi="Arial"/>
                <w:sz w:val="12"/>
                <w:szCs w:val="12"/>
                <w:b w:val="1"/>
                <w:bCs w:val="1"/>
                <w:color w:val="auto"/>
                <w:w w:val="98"/>
              </w:rPr>
              <w:t>Requirement</w:t>
            </w:r>
          </w:p>
        </w:tc>
        <w:tc>
          <w:tcPr>
            <w:tcW w:w="8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92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Stabilization Date</w:t>
            </w:r>
          </w:p>
        </w:tc>
        <w:tc>
          <w:tcPr>
            <w:tcW w:w="8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Buildings</w:t>
            </w:r>
          </w:p>
        </w:tc>
        <w:tc>
          <w:tcPr>
            <w:tcW w:w="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Feet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2"/>
                <w:szCs w:val="12"/>
                <w:b w:val="1"/>
                <w:bCs w:val="1"/>
                <w:color w:val="auto"/>
              </w:rPr>
              <w:t>(2)(3)</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37"/>
              <w:spacing w:after="0"/>
              <w:rPr>
                <w:sz w:val="20"/>
                <w:szCs w:val="20"/>
                <w:color w:val="auto"/>
              </w:rPr>
            </w:pPr>
            <w:r>
              <w:rPr>
                <w:rFonts w:ascii="Arial" w:cs="Arial" w:eastAsia="Arial" w:hAnsi="Arial"/>
                <w:sz w:val="12"/>
                <w:szCs w:val="12"/>
                <w:b w:val="1"/>
                <w:bCs w:val="1"/>
                <w:color w:val="auto"/>
                <w:w w:val="95"/>
              </w:rPr>
              <w:t>(1)(2)</w:t>
            </w: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77"/>
              <w:spacing w:after="0"/>
              <w:rPr>
                <w:sz w:val="20"/>
                <w:szCs w:val="20"/>
                <w:color w:val="auto"/>
              </w:rPr>
            </w:pPr>
            <w:r>
              <w:rPr>
                <w:rFonts w:ascii="Arial" w:cs="Arial" w:eastAsia="Arial" w:hAnsi="Arial"/>
                <w:sz w:val="12"/>
                <w:szCs w:val="12"/>
                <w:b w:val="1"/>
                <w:bCs w:val="1"/>
                <w:color w:val="auto"/>
                <w:w w:val="95"/>
              </w:rPr>
              <w:t>(1)</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2"/>
                <w:szCs w:val="12"/>
                <w:b w:val="1"/>
                <w:bCs w:val="1"/>
                <w:color w:val="auto"/>
              </w:rPr>
              <w:t>(1)</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8"/>
              <w:spacing w:after="0"/>
              <w:rPr>
                <w:sz w:val="20"/>
                <w:szCs w:val="20"/>
                <w:color w:val="auto"/>
              </w:rPr>
            </w:pPr>
            <w:r>
              <w:rPr>
                <w:rFonts w:ascii="Arial" w:cs="Arial" w:eastAsia="Arial" w:hAnsi="Arial"/>
                <w:sz w:val="12"/>
                <w:szCs w:val="12"/>
                <w:b w:val="1"/>
                <w:bCs w:val="1"/>
                <w:color w:val="auto"/>
                <w:w w:val="99"/>
              </w:rPr>
              <w:t>(1)(2)(4)</w:t>
            </w: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2"/>
                <w:szCs w:val="12"/>
                <w:b w:val="1"/>
                <w:bCs w:val="1"/>
                <w:color w:val="auto"/>
              </w:rPr>
              <w:t>Leased (5)</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380" w:type="dxa"/>
            <w:vAlign w:val="bottom"/>
            <w:tcBorders>
              <w:bottom w:val="single" w:sz="8" w:color="auto"/>
            </w:tcBorders>
          </w:tcPr>
          <w:p>
            <w:pPr>
              <w:ind w:left="20"/>
              <w:spacing w:after="0" w:line="136" w:lineRule="exact"/>
              <w:rPr>
                <w:sz w:val="20"/>
                <w:szCs w:val="20"/>
                <w:color w:val="auto"/>
              </w:rPr>
            </w:pPr>
            <w:r>
              <w:rPr>
                <w:rFonts w:ascii="Arial" w:cs="Arial" w:eastAsia="Arial" w:hAnsi="Arial"/>
                <w:sz w:val="13"/>
                <w:szCs w:val="13"/>
                <w:b w:val="1"/>
                <w:bCs w:val="1"/>
                <w:color w:val="auto"/>
                <w:w w:val="86"/>
              </w:rPr>
              <w:t>Office</w:t>
            </w:r>
          </w:p>
        </w:tc>
        <w:tc>
          <w:tcPr>
            <w:tcW w:w="1620" w:type="dxa"/>
            <w:vAlign w:val="bottom"/>
            <w:gridSpan w:val="4"/>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00" w:type="dxa"/>
            <w:vAlign w:val="bottom"/>
            <w:tcBorders>
              <w:left w:val="single" w:sz="8" w:color="CCEEFF"/>
            </w:tcBorders>
            <w:gridSpan w:val="5"/>
            <w:shd w:val="clear" w:color="auto" w:fill="CCEEFF"/>
          </w:tcPr>
          <w:p>
            <w:pPr>
              <w:ind w:left="20"/>
              <w:spacing w:after="0" w:line="136" w:lineRule="exact"/>
              <w:rPr>
                <w:sz w:val="20"/>
                <w:szCs w:val="20"/>
                <w:color w:val="auto"/>
              </w:rPr>
            </w:pPr>
            <w:r>
              <w:rPr>
                <w:rFonts w:ascii="Arial" w:cs="Arial" w:eastAsia="Arial" w:hAnsi="Arial"/>
                <w:sz w:val="13"/>
                <w:szCs w:val="13"/>
                <w:color w:val="auto"/>
              </w:rPr>
              <w:t>140 Kendrick - Building A</w:t>
            </w:r>
          </w:p>
        </w:tc>
        <w:tc>
          <w:tcPr>
            <w:tcW w:w="12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Third Quarter, 2023</w:t>
            </w: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104,000</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4,163</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26,600</w:t>
            </w:r>
          </w:p>
        </w:tc>
        <w:tc>
          <w:tcPr>
            <w:tcW w:w="6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22,437</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00" w:type="dxa"/>
            <w:vAlign w:val="bottom"/>
            <w:tcBorders>
              <w:left w:val="single" w:sz="8" w:color="CCEEFF"/>
            </w:tcBorders>
            <w:gridSpan w:val="5"/>
            <w:shd w:val="clear" w:color="auto" w:fill="CCEEFF"/>
          </w:tcPr>
          <w:p>
            <w:pPr>
              <w:ind w:left="180"/>
              <w:spacing w:after="0"/>
              <w:rPr>
                <w:sz w:val="20"/>
                <w:szCs w:val="20"/>
                <w:color w:val="auto"/>
              </w:rPr>
            </w:pPr>
            <w:r>
              <w:rPr>
                <w:rFonts w:ascii="Arial" w:cs="Arial" w:eastAsia="Arial" w:hAnsi="Arial"/>
                <w:sz w:val="13"/>
                <w:szCs w:val="13"/>
                <w:color w:val="auto"/>
              </w:rPr>
              <w:t>(Redevelopment)</w:t>
            </w:r>
          </w:p>
        </w:tc>
        <w:tc>
          <w:tcPr>
            <w:tcW w:w="128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Needham, MA</w:t>
            </w: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00" w:type="dxa"/>
            <w:vAlign w:val="bottom"/>
            <w:gridSpan w:val="5"/>
            <w:vMerge w:val="restart"/>
          </w:tcPr>
          <w:p>
            <w:pPr>
              <w:ind w:left="20"/>
              <w:spacing w:after="0"/>
              <w:rPr>
                <w:sz w:val="20"/>
                <w:szCs w:val="20"/>
                <w:color w:val="auto"/>
              </w:rPr>
            </w:pPr>
            <w:r>
              <w:rPr>
                <w:rFonts w:ascii="Arial" w:cs="Arial" w:eastAsia="Arial" w:hAnsi="Arial"/>
                <w:sz w:val="13"/>
                <w:szCs w:val="13"/>
                <w:color w:val="auto"/>
              </w:rPr>
              <w:t>Reston Next</w:t>
            </w:r>
          </w:p>
        </w:tc>
        <w:tc>
          <w:tcPr>
            <w:tcW w:w="1280" w:type="dxa"/>
            <w:vAlign w:val="bottom"/>
            <w:gridSpan w:val="2"/>
          </w:tcPr>
          <w:p>
            <w:pPr>
              <w:ind w:left="20"/>
              <w:spacing w:after="0" w:line="127" w:lineRule="exact"/>
              <w:rPr>
                <w:sz w:val="20"/>
                <w:szCs w:val="20"/>
                <w:color w:val="auto"/>
              </w:rPr>
            </w:pPr>
            <w:r>
              <w:rPr>
                <w:rFonts w:ascii="Arial" w:cs="Arial" w:eastAsia="Arial" w:hAnsi="Arial"/>
                <w:sz w:val="13"/>
                <w:szCs w:val="13"/>
                <w:color w:val="auto"/>
              </w:rPr>
              <w:t>Fourth Quarter,</w:t>
            </w:r>
          </w:p>
        </w:tc>
        <w:tc>
          <w:tcPr>
            <w:tcW w:w="1040" w:type="dxa"/>
            <w:vAlign w:val="bottom"/>
            <w:gridSpan w:val="2"/>
            <w:vMerge w:val="restart"/>
          </w:tcPr>
          <w:p>
            <w:pPr>
              <w:ind w:left="20"/>
              <w:spacing w:after="0"/>
              <w:rPr>
                <w:sz w:val="20"/>
                <w:szCs w:val="20"/>
                <w:color w:val="auto"/>
              </w:rPr>
            </w:pPr>
            <w:r>
              <w:rPr>
                <w:rFonts w:ascii="Arial" w:cs="Arial" w:eastAsia="Arial" w:hAnsi="Arial"/>
                <w:sz w:val="13"/>
                <w:szCs w:val="13"/>
                <w:color w:val="auto"/>
              </w:rPr>
              <w:t>Reston, VA</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2</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1,062,000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560,445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715,300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154,855</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87 %</w:t>
            </w:r>
          </w:p>
        </w:tc>
        <w:tc>
          <w:tcPr>
            <w:tcW w:w="280" w:type="dxa"/>
            <w:vAlign w:val="bottom"/>
            <w:vMerge w:val="restart"/>
          </w:tcPr>
          <w:p>
            <w:pPr>
              <w:ind w:lef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2"/>
        </w:trPr>
        <w:tc>
          <w:tcPr>
            <w:tcW w:w="2000" w:type="dxa"/>
            <w:vAlign w:val="bottom"/>
            <w:gridSpan w:val="5"/>
            <w:vMerge w:val="continue"/>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2023</w:t>
            </w: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00" w:type="dxa"/>
            <w:vAlign w:val="bottom"/>
            <w:tcBorders>
              <w:left w:val="single" w:sz="8" w:color="CCEEFF"/>
            </w:tcBorders>
            <w:gridSpan w:val="5"/>
            <w:shd w:val="clear" w:color="auto" w:fill="CCEEFF"/>
          </w:tcPr>
          <w:p>
            <w:pPr>
              <w:ind w:left="20"/>
              <w:spacing w:after="0"/>
              <w:rPr>
                <w:sz w:val="20"/>
                <w:szCs w:val="20"/>
                <w:color w:val="auto"/>
              </w:rPr>
            </w:pPr>
            <w:r>
              <w:rPr>
                <w:rFonts w:ascii="Arial" w:cs="Arial" w:eastAsia="Arial" w:hAnsi="Arial"/>
                <w:sz w:val="13"/>
                <w:szCs w:val="13"/>
                <w:color w:val="auto"/>
              </w:rPr>
              <w:t>2100 Pennsylvania Avenue</w:t>
            </w: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 Quarter, 2024</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Washington, DC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301,118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356,100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54,982</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61 %</w:t>
            </w: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27"/>
        </w:trPr>
        <w:tc>
          <w:tcPr>
            <w:tcW w:w="2000" w:type="dxa"/>
            <w:vAlign w:val="bottom"/>
            <w:gridSpan w:val="5"/>
          </w:tcPr>
          <w:p>
            <w:pPr>
              <w:ind w:left="20"/>
              <w:spacing w:after="0" w:line="127" w:lineRule="exact"/>
              <w:rPr>
                <w:sz w:val="20"/>
                <w:szCs w:val="20"/>
                <w:color w:val="auto"/>
              </w:rPr>
            </w:pPr>
            <w:r>
              <w:rPr>
                <w:rFonts w:ascii="Arial" w:cs="Arial" w:eastAsia="Arial" w:hAnsi="Arial"/>
                <w:sz w:val="13"/>
                <w:szCs w:val="13"/>
                <w:color w:val="auto"/>
              </w:rPr>
              <w:t>360 Park Avenue South (42%</w:t>
            </w:r>
          </w:p>
        </w:tc>
        <w:tc>
          <w:tcPr>
            <w:tcW w:w="128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 Quarter, 2025</w:t>
            </w:r>
          </w:p>
        </w:tc>
        <w:tc>
          <w:tcPr>
            <w:tcW w:w="1040" w:type="dxa"/>
            <w:vAlign w:val="bottom"/>
            <w:gridSpan w:val="2"/>
            <w:vMerge w:val="restart"/>
          </w:tcPr>
          <w:p>
            <w:pPr>
              <w:ind w:left="20"/>
              <w:spacing w:after="0"/>
              <w:rPr>
                <w:sz w:val="20"/>
                <w:szCs w:val="20"/>
                <w:color w:val="auto"/>
              </w:rPr>
            </w:pPr>
            <w:r>
              <w:rPr>
                <w:rFonts w:ascii="Arial" w:cs="Arial" w:eastAsia="Arial" w:hAnsi="Arial"/>
                <w:sz w:val="13"/>
                <w:szCs w:val="13"/>
                <w:color w:val="auto"/>
              </w:rPr>
              <w:t>New York, NY</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450,000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200,474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219,000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92,774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87,299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13,051</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280" w:type="dxa"/>
            <w:vAlign w:val="bottom"/>
            <w:vMerge w:val="restart"/>
          </w:tcPr>
          <w:p>
            <w:pPr>
              <w:ind w:lef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2"/>
        </w:trPr>
        <w:tc>
          <w:tcPr>
            <w:tcW w:w="2000" w:type="dxa"/>
            <w:vAlign w:val="bottom"/>
            <w:gridSpan w:val="5"/>
          </w:tcPr>
          <w:p>
            <w:pPr>
              <w:ind w:left="180"/>
              <w:spacing w:after="0"/>
              <w:rPr>
                <w:sz w:val="20"/>
                <w:szCs w:val="20"/>
                <w:color w:val="auto"/>
              </w:rPr>
            </w:pPr>
            <w:r>
              <w:rPr>
                <w:rFonts w:ascii="Arial" w:cs="Arial" w:eastAsia="Arial" w:hAnsi="Arial"/>
                <w:sz w:val="13"/>
                <w:szCs w:val="13"/>
                <w:color w:val="auto"/>
              </w:rPr>
              <w:t>ownership)</w:t>
            </w:r>
          </w:p>
        </w:tc>
        <w:tc>
          <w:tcPr>
            <w:tcW w:w="12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00" w:type="dxa"/>
            <w:vAlign w:val="bottom"/>
            <w:tcBorders>
              <w:left w:val="single" w:sz="8" w:color="CCEEFF"/>
            </w:tcBorders>
            <w:gridSpan w:val="5"/>
            <w:vMerge w:val="restart"/>
            <w:shd w:val="clear" w:color="auto" w:fill="CCEEFF"/>
          </w:tcPr>
          <w:p>
            <w:pPr>
              <w:ind w:left="20"/>
              <w:spacing w:after="0"/>
              <w:rPr>
                <w:sz w:val="20"/>
                <w:szCs w:val="20"/>
                <w:color w:val="auto"/>
              </w:rPr>
            </w:pPr>
            <w:r>
              <w:rPr>
                <w:rFonts w:ascii="Arial" w:cs="Arial" w:eastAsia="Arial" w:hAnsi="Arial"/>
                <w:sz w:val="13"/>
                <w:szCs w:val="13"/>
                <w:color w:val="auto"/>
              </w:rPr>
              <w:t>Reston Next Office Phase II</w:t>
            </w:r>
          </w:p>
        </w:tc>
        <w:tc>
          <w:tcPr>
            <w:tcW w:w="128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3"/>
                <w:szCs w:val="13"/>
                <w:color w:val="auto"/>
              </w:rPr>
              <w:t>Second Quarter,</w:t>
            </w: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Reston, VA</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90,000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15,321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61,000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45,679</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00" w:type="dxa"/>
            <w:vAlign w:val="bottom"/>
            <w:tcBorders>
              <w:left w:val="single" w:sz="8" w:color="CCEEFF"/>
            </w:tcBorders>
            <w:gridSpan w:val="5"/>
            <w:vMerge w:val="continue"/>
            <w:shd w:val="clear" w:color="auto" w:fill="CCEEFF"/>
          </w:tcPr>
          <w:p>
            <w:pPr>
              <w:spacing w:after="0"/>
              <w:rPr>
                <w:sz w:val="15"/>
                <w:szCs w:val="15"/>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8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00" w:type="dxa"/>
            <w:vAlign w:val="bottom"/>
            <w:gridSpan w:val="5"/>
          </w:tcPr>
          <w:p>
            <w:pPr>
              <w:ind w:left="20"/>
              <w:spacing w:after="0" w:line="127" w:lineRule="exact"/>
              <w:rPr>
                <w:sz w:val="20"/>
                <w:szCs w:val="20"/>
                <w:color w:val="auto"/>
              </w:rPr>
            </w:pPr>
            <w:r>
              <w:rPr>
                <w:rFonts w:ascii="Arial" w:cs="Arial" w:eastAsia="Arial" w:hAnsi="Arial"/>
                <w:sz w:val="13"/>
                <w:szCs w:val="13"/>
                <w:color w:val="auto"/>
              </w:rPr>
              <w:t>Platform 16 Building A (55%</w:t>
            </w:r>
          </w:p>
        </w:tc>
        <w:tc>
          <w:tcPr>
            <w:tcW w:w="1280" w:type="dxa"/>
            <w:vAlign w:val="bottom"/>
            <w:gridSpan w:val="2"/>
          </w:tcPr>
          <w:p>
            <w:pPr>
              <w:ind w:left="20"/>
              <w:spacing w:after="0" w:line="127" w:lineRule="exact"/>
              <w:rPr>
                <w:sz w:val="20"/>
                <w:szCs w:val="20"/>
                <w:color w:val="auto"/>
              </w:rPr>
            </w:pPr>
            <w:r>
              <w:rPr>
                <w:rFonts w:ascii="Arial" w:cs="Arial" w:eastAsia="Arial" w:hAnsi="Arial"/>
                <w:sz w:val="13"/>
                <w:szCs w:val="13"/>
                <w:color w:val="auto"/>
              </w:rPr>
              <w:t>Fourth Quarter,</w:t>
            </w:r>
          </w:p>
        </w:tc>
        <w:tc>
          <w:tcPr>
            <w:tcW w:w="1040" w:type="dxa"/>
            <w:vAlign w:val="bottom"/>
            <w:gridSpan w:val="2"/>
            <w:vMerge w:val="restart"/>
          </w:tcPr>
          <w:p>
            <w:pPr>
              <w:ind w:left="20"/>
              <w:spacing w:after="0"/>
              <w:rPr>
                <w:sz w:val="20"/>
                <w:szCs w:val="20"/>
                <w:color w:val="auto"/>
              </w:rPr>
            </w:pPr>
            <w:r>
              <w:rPr>
                <w:rFonts w:ascii="Arial" w:cs="Arial" w:eastAsia="Arial" w:hAnsi="Arial"/>
                <w:sz w:val="13"/>
                <w:szCs w:val="13"/>
                <w:color w:val="auto"/>
              </w:rPr>
              <w:t>San Jose, CA</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389,500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78,343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231,900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153,557</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280" w:type="dxa"/>
            <w:vAlign w:val="bottom"/>
            <w:vMerge w:val="restart"/>
          </w:tcPr>
          <w:p>
            <w:pPr>
              <w:ind w:lef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2"/>
        </w:trPr>
        <w:tc>
          <w:tcPr>
            <w:tcW w:w="2000" w:type="dxa"/>
            <w:vAlign w:val="bottom"/>
            <w:gridSpan w:val="5"/>
          </w:tcPr>
          <w:p>
            <w:pPr>
              <w:ind w:left="180"/>
              <w:spacing w:after="0"/>
              <w:rPr>
                <w:sz w:val="20"/>
                <w:szCs w:val="20"/>
                <w:color w:val="auto"/>
              </w:rPr>
            </w:pPr>
            <w:r>
              <w:rPr>
                <w:rFonts w:ascii="Arial" w:cs="Arial" w:eastAsia="Arial" w:hAnsi="Arial"/>
                <w:sz w:val="13"/>
                <w:szCs w:val="13"/>
                <w:color w:val="auto"/>
              </w:rPr>
              <w:t>ownership)</w:t>
            </w:r>
          </w:p>
        </w:tc>
        <w:tc>
          <w:tcPr>
            <w:tcW w:w="1200" w:type="dxa"/>
            <w:vAlign w:val="bottom"/>
          </w:tcPr>
          <w:p>
            <w:pPr>
              <w:ind w:left="20"/>
              <w:spacing w:after="0"/>
              <w:rPr>
                <w:sz w:val="20"/>
                <w:szCs w:val="20"/>
                <w:color w:val="auto"/>
              </w:rPr>
            </w:pPr>
            <w:r>
              <w:rPr>
                <w:rFonts w:ascii="Arial" w:cs="Arial" w:eastAsia="Arial" w:hAnsi="Arial"/>
                <w:sz w:val="13"/>
                <w:szCs w:val="13"/>
                <w:color w:val="auto"/>
              </w:rPr>
              <w:t>2026</w:t>
            </w: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280" w:type="dxa"/>
            <w:vAlign w:val="bottom"/>
            <w:tcBorders>
              <w:top w:val="single" w:sz="8" w:color="CCEEFF"/>
              <w:left w:val="single" w:sz="8" w:color="CCEEFF"/>
            </w:tcBorders>
            <w:gridSpan w:val="7"/>
            <w:shd w:val="clear" w:color="auto" w:fill="CCEEFF"/>
          </w:tcPr>
          <w:p>
            <w:pPr>
              <w:ind w:left="180"/>
              <w:spacing w:after="0"/>
              <w:rPr>
                <w:sz w:val="20"/>
                <w:szCs w:val="20"/>
                <w:color w:val="auto"/>
              </w:rPr>
            </w:pPr>
            <w:r>
              <w:rPr>
                <w:rFonts w:ascii="Arial" w:cs="Arial" w:eastAsia="Arial" w:hAnsi="Arial"/>
                <w:sz w:val="13"/>
                <w:szCs w:val="13"/>
                <w:b w:val="1"/>
                <w:bCs w:val="1"/>
                <w:color w:val="auto"/>
              </w:rPr>
              <w:t>Total Office Properties under Construction</w:t>
            </w:r>
          </w:p>
        </w:tc>
        <w:tc>
          <w:tcPr>
            <w:tcW w:w="9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7</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2,575,500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1,159,864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6"/>
              </w:rPr>
              <w:t>1,609,900</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92,774</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87,299</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444,561</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51 %</w:t>
            </w:r>
          </w:p>
        </w:tc>
        <w:tc>
          <w:tcPr>
            <w:tcW w:w="2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00" w:type="dxa"/>
            <w:vAlign w:val="bottom"/>
            <w:tcBorders>
              <w:left w:val="single" w:sz="8" w:color="CCEEFF"/>
            </w:tcBorders>
            <w:gridSpan w:val="5"/>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rPr>
              <w:t>Laboratory/Life Sciences</w:t>
            </w: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20" w:type="dxa"/>
            <w:vAlign w:val="bottom"/>
            <w:tcBorders>
              <w:top w:val="single" w:sz="8" w:color="auto"/>
            </w:tcBorders>
            <w:gridSpan w:val="3"/>
          </w:tcPr>
          <w:p>
            <w:pPr>
              <w:ind w:left="20"/>
              <w:spacing w:after="0" w:line="127" w:lineRule="exact"/>
              <w:rPr>
                <w:sz w:val="20"/>
                <w:szCs w:val="20"/>
                <w:color w:val="auto"/>
              </w:rPr>
            </w:pPr>
            <w:r>
              <w:rPr>
                <w:rFonts w:ascii="Arial" w:cs="Arial" w:eastAsia="Arial" w:hAnsi="Arial"/>
                <w:sz w:val="13"/>
                <w:szCs w:val="13"/>
                <w:color w:val="auto"/>
              </w:rPr>
              <w:t>880 Winter Street</w:t>
            </w:r>
          </w:p>
        </w:tc>
        <w:tc>
          <w:tcPr>
            <w:tcW w:w="480" w:type="dxa"/>
            <w:vAlign w:val="bottom"/>
            <w:tcBorders>
              <w:top w:val="single" w:sz="8" w:color="CCEEFF"/>
            </w:tcBorders>
            <w:gridSpan w:val="2"/>
          </w:tcPr>
          <w:p>
            <w:pPr>
              <w:spacing w:after="0"/>
              <w:rPr>
                <w:sz w:val="11"/>
                <w:szCs w:val="11"/>
                <w:color w:val="auto"/>
              </w:rPr>
            </w:pPr>
          </w:p>
        </w:tc>
        <w:tc>
          <w:tcPr>
            <w:tcW w:w="1280" w:type="dxa"/>
            <w:vAlign w:val="bottom"/>
            <w:tcBorders>
              <w:top w:val="single" w:sz="8" w:color="CCEEFF"/>
            </w:tcBorders>
            <w:gridSpan w:val="2"/>
            <w:vMerge w:val="restart"/>
          </w:tcPr>
          <w:p>
            <w:pPr>
              <w:ind w:left="20"/>
              <w:spacing w:after="0"/>
              <w:rPr>
                <w:sz w:val="20"/>
                <w:szCs w:val="20"/>
                <w:color w:val="auto"/>
              </w:rPr>
            </w:pPr>
            <w:r>
              <w:rPr>
                <w:rFonts w:ascii="Arial" w:cs="Arial" w:eastAsia="Arial" w:hAnsi="Arial"/>
                <w:sz w:val="13"/>
                <w:szCs w:val="13"/>
                <w:color w:val="auto"/>
              </w:rPr>
              <w:t>First Quarter, 2023</w:t>
            </w:r>
          </w:p>
        </w:tc>
        <w:tc>
          <w:tcPr>
            <w:tcW w:w="1040" w:type="dxa"/>
            <w:vAlign w:val="bottom"/>
            <w:tcBorders>
              <w:top w:val="single" w:sz="8" w:color="CCEEFF"/>
            </w:tcBorders>
            <w:gridSpan w:val="2"/>
            <w:vMerge w:val="restart"/>
          </w:tcPr>
          <w:p>
            <w:pPr>
              <w:ind w:left="20"/>
              <w:spacing w:after="0"/>
              <w:rPr>
                <w:sz w:val="20"/>
                <w:szCs w:val="20"/>
                <w:color w:val="auto"/>
              </w:rPr>
            </w:pPr>
            <w:r>
              <w:rPr>
                <w:rFonts w:ascii="Arial" w:cs="Arial" w:eastAsia="Arial" w:hAnsi="Arial"/>
                <w:sz w:val="13"/>
                <w:szCs w:val="13"/>
                <w:color w:val="auto"/>
              </w:rPr>
              <w:t>Waltham, MA</w:t>
            </w:r>
          </w:p>
        </w:tc>
        <w:tc>
          <w:tcPr>
            <w:tcW w:w="62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3"/>
                <w:szCs w:val="13"/>
                <w:color w:val="auto"/>
              </w:rPr>
              <w:t>244,000</w:t>
            </w: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3"/>
                <w:szCs w:val="13"/>
                <w:color w:val="auto"/>
              </w:rPr>
              <w:t>100,112</w:t>
            </w: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60" w:type="dxa"/>
            <w:vAlign w:val="bottom"/>
            <w:tcBorders>
              <w:top w:val="single" w:sz="8" w:color="CCEEFF"/>
            </w:tcBorders>
            <w:vMerge w:val="restart"/>
          </w:tcPr>
          <w:p>
            <w:pPr>
              <w:jc w:val="right"/>
              <w:ind w:right="17"/>
              <w:spacing w:after="0"/>
              <w:rPr>
                <w:sz w:val="20"/>
                <w:szCs w:val="20"/>
                <w:color w:val="auto"/>
              </w:rPr>
            </w:pPr>
            <w:r>
              <w:rPr>
                <w:rFonts w:ascii="Arial" w:cs="Arial" w:eastAsia="Arial" w:hAnsi="Arial"/>
                <w:sz w:val="13"/>
                <w:szCs w:val="13"/>
                <w:color w:val="auto"/>
              </w:rPr>
              <w:t>108,000</w:t>
            </w:r>
          </w:p>
        </w:tc>
        <w:tc>
          <w:tcPr>
            <w:tcW w:w="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tcPr>
          <w:p>
            <w:pPr>
              <w:spacing w:after="0"/>
              <w:rPr>
                <w:sz w:val="11"/>
                <w:szCs w:val="11"/>
                <w:color w:val="auto"/>
              </w:rPr>
            </w:pPr>
          </w:p>
        </w:tc>
        <w:tc>
          <w:tcPr>
            <w:tcW w:w="1040" w:type="dxa"/>
            <w:vAlign w:val="bottom"/>
            <w:tcBorders>
              <w:top w:val="single" w:sz="8" w:color="CCEEFF"/>
            </w:tcBorders>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3"/>
                <w:szCs w:val="13"/>
                <w:color w:val="auto"/>
              </w:rPr>
              <w:t>7,888</w:t>
            </w:r>
          </w:p>
        </w:tc>
        <w:tc>
          <w:tcPr>
            <w:tcW w:w="8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3"/>
                <w:szCs w:val="13"/>
                <w:color w:val="auto"/>
              </w:rPr>
              <w:t>97 %</w:t>
            </w:r>
          </w:p>
        </w:tc>
        <w:tc>
          <w:tcPr>
            <w:tcW w:w="280" w:type="dxa"/>
            <w:vAlign w:val="bottom"/>
            <w:tcBorders>
              <w:top w:val="single" w:sz="8" w:color="CCEEFF"/>
            </w:tcBorders>
            <w:vMerge w:val="restart"/>
          </w:tcPr>
          <w:p>
            <w:pPr>
              <w:ind w:left="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2"/>
        </w:trPr>
        <w:tc>
          <w:tcPr>
            <w:tcW w:w="2000" w:type="dxa"/>
            <w:vAlign w:val="bottom"/>
            <w:gridSpan w:val="5"/>
          </w:tcPr>
          <w:p>
            <w:pPr>
              <w:ind w:left="180"/>
              <w:spacing w:after="0"/>
              <w:rPr>
                <w:sz w:val="20"/>
                <w:szCs w:val="20"/>
                <w:color w:val="auto"/>
              </w:rPr>
            </w:pPr>
            <w:r>
              <w:rPr>
                <w:rFonts w:ascii="Arial" w:cs="Arial" w:eastAsia="Arial" w:hAnsi="Arial"/>
                <w:sz w:val="13"/>
                <w:szCs w:val="13"/>
                <w:color w:val="auto"/>
              </w:rPr>
              <w:t>(Redevelopment)</w:t>
            </w:r>
          </w:p>
        </w:tc>
        <w:tc>
          <w:tcPr>
            <w:tcW w:w="12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00" w:type="dxa"/>
            <w:vAlign w:val="bottom"/>
            <w:tcBorders>
              <w:left w:val="single" w:sz="8" w:color="CCEEFF"/>
            </w:tcBorders>
            <w:gridSpan w:val="5"/>
            <w:vMerge w:val="restart"/>
            <w:shd w:val="clear" w:color="auto" w:fill="CCEEFF"/>
          </w:tcPr>
          <w:p>
            <w:pPr>
              <w:ind w:left="20"/>
              <w:spacing w:after="0"/>
              <w:rPr>
                <w:sz w:val="20"/>
                <w:szCs w:val="20"/>
                <w:color w:val="auto"/>
              </w:rPr>
            </w:pPr>
            <w:r>
              <w:rPr>
                <w:rFonts w:ascii="Arial" w:cs="Arial" w:eastAsia="Arial" w:hAnsi="Arial"/>
                <w:sz w:val="13"/>
                <w:szCs w:val="13"/>
                <w:color w:val="auto"/>
              </w:rPr>
              <w:t>751 Gateway (49% ownership)</w:t>
            </w:r>
          </w:p>
        </w:tc>
        <w:tc>
          <w:tcPr>
            <w:tcW w:w="128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3"/>
                <w:szCs w:val="13"/>
                <w:color w:val="auto"/>
              </w:rPr>
              <w:t>Second Quarter,</w:t>
            </w:r>
          </w:p>
        </w:tc>
        <w:tc>
          <w:tcPr>
            <w:tcW w:w="104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3"/>
                <w:szCs w:val="13"/>
                <w:color w:val="auto"/>
              </w:rPr>
              <w:t>South San</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231,000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81,235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127,600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46,365</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00" w:type="dxa"/>
            <w:vAlign w:val="bottom"/>
            <w:tcBorders>
              <w:left w:val="single" w:sz="8" w:color="CCEEFF"/>
            </w:tcBorders>
            <w:gridSpan w:val="5"/>
            <w:vMerge w:val="continue"/>
            <w:shd w:val="clear" w:color="auto" w:fill="CCEEFF"/>
          </w:tcPr>
          <w:p>
            <w:pPr>
              <w:spacing w:after="0"/>
              <w:rPr>
                <w:sz w:val="15"/>
                <w:szCs w:val="15"/>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Francisco, CA</w:t>
            </w: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00" w:type="dxa"/>
            <w:vAlign w:val="bottom"/>
            <w:gridSpan w:val="5"/>
          </w:tcPr>
          <w:p>
            <w:pPr>
              <w:ind w:left="20"/>
              <w:spacing w:after="0"/>
              <w:rPr>
                <w:sz w:val="20"/>
                <w:szCs w:val="20"/>
                <w:color w:val="auto"/>
              </w:rPr>
            </w:pPr>
            <w:r>
              <w:rPr>
                <w:rFonts w:ascii="Arial" w:cs="Arial" w:eastAsia="Arial" w:hAnsi="Arial"/>
                <w:sz w:val="13"/>
                <w:szCs w:val="13"/>
                <w:color w:val="auto"/>
              </w:rPr>
              <w:t>103 CityPoint</w:t>
            </w: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Third Quarter, 2024</w:t>
            </w: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Waltham, MA</w:t>
            </w:r>
          </w:p>
        </w:tc>
        <w:tc>
          <w:tcPr>
            <w:tcW w:w="62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113,000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33,288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115,100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81,812</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 %</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00" w:type="dxa"/>
            <w:vAlign w:val="bottom"/>
            <w:tcBorders>
              <w:left w:val="single" w:sz="8" w:color="CCEEFF"/>
            </w:tcBorders>
            <w:gridSpan w:val="5"/>
            <w:vMerge w:val="restart"/>
            <w:shd w:val="clear" w:color="auto" w:fill="CCEEFF"/>
          </w:tcPr>
          <w:p>
            <w:pPr>
              <w:ind w:left="20"/>
              <w:spacing w:after="0"/>
              <w:rPr>
                <w:sz w:val="20"/>
                <w:szCs w:val="20"/>
                <w:color w:val="auto"/>
              </w:rPr>
            </w:pPr>
            <w:r>
              <w:rPr>
                <w:rFonts w:ascii="Arial" w:cs="Arial" w:eastAsia="Arial" w:hAnsi="Arial"/>
                <w:sz w:val="13"/>
                <w:szCs w:val="13"/>
                <w:color w:val="auto"/>
              </w:rPr>
              <w:t>180 CityPoint</w:t>
            </w:r>
          </w:p>
        </w:tc>
        <w:tc>
          <w:tcPr>
            <w:tcW w:w="128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3"/>
                <w:szCs w:val="13"/>
                <w:color w:val="auto"/>
              </w:rPr>
              <w:t>Fourth Quarter,</w:t>
            </w: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Waltham, MA</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329,000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119,190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274,700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155,510</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43 %</w:t>
            </w: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00" w:type="dxa"/>
            <w:vAlign w:val="bottom"/>
            <w:tcBorders>
              <w:left w:val="single" w:sz="8" w:color="CCEEFF"/>
            </w:tcBorders>
            <w:gridSpan w:val="5"/>
            <w:vMerge w:val="continue"/>
            <w:shd w:val="clear" w:color="auto" w:fill="CCEEFF"/>
          </w:tcPr>
          <w:p>
            <w:pPr>
              <w:spacing w:after="0"/>
              <w:rPr>
                <w:sz w:val="15"/>
                <w:szCs w:val="15"/>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8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00" w:type="dxa"/>
            <w:vAlign w:val="bottom"/>
            <w:gridSpan w:val="5"/>
          </w:tcPr>
          <w:p>
            <w:pPr>
              <w:ind w:left="20"/>
              <w:spacing w:after="0" w:line="127" w:lineRule="exact"/>
              <w:rPr>
                <w:sz w:val="20"/>
                <w:szCs w:val="20"/>
                <w:color w:val="auto"/>
              </w:rPr>
            </w:pPr>
            <w:r>
              <w:rPr>
                <w:rFonts w:ascii="Arial" w:cs="Arial" w:eastAsia="Arial" w:hAnsi="Arial"/>
                <w:sz w:val="13"/>
                <w:szCs w:val="13"/>
                <w:color w:val="auto"/>
              </w:rPr>
              <w:t>651 Gateway (50% ownership)</w:t>
            </w:r>
          </w:p>
        </w:tc>
        <w:tc>
          <w:tcPr>
            <w:tcW w:w="1280" w:type="dxa"/>
            <w:vAlign w:val="bottom"/>
            <w:gridSpan w:val="2"/>
          </w:tcPr>
          <w:p>
            <w:pPr>
              <w:ind w:left="20"/>
              <w:spacing w:after="0" w:line="127" w:lineRule="exact"/>
              <w:rPr>
                <w:sz w:val="20"/>
                <w:szCs w:val="20"/>
                <w:color w:val="auto"/>
              </w:rPr>
            </w:pPr>
            <w:r>
              <w:rPr>
                <w:rFonts w:ascii="Arial" w:cs="Arial" w:eastAsia="Arial" w:hAnsi="Arial"/>
                <w:sz w:val="13"/>
                <w:szCs w:val="13"/>
                <w:color w:val="auto"/>
              </w:rPr>
              <w:t>Fourth Quarter,</w:t>
            </w:r>
          </w:p>
        </w:tc>
        <w:tc>
          <w:tcPr>
            <w:tcW w:w="1040" w:type="dxa"/>
            <w:vAlign w:val="bottom"/>
            <w:gridSpan w:val="2"/>
          </w:tcPr>
          <w:p>
            <w:pPr>
              <w:ind w:left="20"/>
              <w:spacing w:after="0" w:line="127" w:lineRule="exact"/>
              <w:rPr>
                <w:sz w:val="20"/>
                <w:szCs w:val="20"/>
                <w:color w:val="auto"/>
              </w:rPr>
            </w:pPr>
            <w:r>
              <w:rPr>
                <w:rFonts w:ascii="Arial" w:cs="Arial" w:eastAsia="Arial" w:hAnsi="Arial"/>
                <w:sz w:val="13"/>
                <w:szCs w:val="13"/>
                <w:color w:val="auto"/>
              </w:rPr>
              <w:t>South San</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327,000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33,738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146,500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112,762</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00" w:type="dxa"/>
            <w:vAlign w:val="bottom"/>
            <w:tcBorders>
              <w:bottom w:val="single" w:sz="8" w:color="CCEEFF"/>
            </w:tcBorders>
            <w:gridSpan w:val="5"/>
          </w:tcPr>
          <w:p>
            <w:pPr>
              <w:ind w:left="180"/>
              <w:spacing w:after="0"/>
              <w:rPr>
                <w:sz w:val="20"/>
                <w:szCs w:val="20"/>
                <w:color w:val="auto"/>
              </w:rPr>
            </w:pPr>
            <w:r>
              <w:rPr>
                <w:rFonts w:ascii="Arial" w:cs="Arial" w:eastAsia="Arial" w:hAnsi="Arial"/>
                <w:sz w:val="13"/>
                <w:szCs w:val="13"/>
                <w:color w:val="auto"/>
              </w:rPr>
              <w:t>(Redevelopment)</w:t>
            </w:r>
          </w:p>
        </w:tc>
        <w:tc>
          <w:tcPr>
            <w:tcW w:w="1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2025</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Francisco, CA</w:t>
            </w: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320" w:type="dxa"/>
            <w:vAlign w:val="bottom"/>
            <w:tcBorders>
              <w:left w:val="single" w:sz="8" w:color="CCEEFF"/>
            </w:tcBorders>
            <w:gridSpan w:val="9"/>
            <w:shd w:val="clear" w:color="auto" w:fill="CCEEFF"/>
          </w:tcPr>
          <w:p>
            <w:pPr>
              <w:ind w:left="180"/>
              <w:spacing w:after="0"/>
              <w:rPr>
                <w:sz w:val="20"/>
                <w:szCs w:val="20"/>
                <w:color w:val="auto"/>
              </w:rPr>
            </w:pPr>
            <w:r>
              <w:rPr>
                <w:rFonts w:ascii="Arial" w:cs="Arial" w:eastAsia="Arial" w:hAnsi="Arial"/>
                <w:sz w:val="13"/>
                <w:szCs w:val="13"/>
                <w:b w:val="1"/>
                <w:bCs w:val="1"/>
                <w:color w:val="auto"/>
              </w:rPr>
              <w:t>Total Laboratory/Life Sciences Properties under Construction</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1,244,000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367,563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771,900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404,337</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49 %</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00" w:type="dxa"/>
            <w:vAlign w:val="bottom"/>
            <w:tcBorders>
              <w:left w:val="single" w:sz="8" w:color="CCEEFF"/>
              <w:bottom w:val="single" w:sz="8" w:color="auto"/>
            </w:tcBorders>
            <w:gridSpan w:val="2"/>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w w:val="95"/>
              </w:rPr>
              <w:t>Residential</w:t>
            </w:r>
          </w:p>
        </w:tc>
        <w:tc>
          <w:tcPr>
            <w:tcW w:w="1300" w:type="dxa"/>
            <w:vAlign w:val="bottom"/>
            <w:tcBorders>
              <w:bottom w:val="single" w:sz="8" w:color="CCEEFF"/>
            </w:tcBorders>
            <w:gridSpan w:val="3"/>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00" w:type="dxa"/>
            <w:vAlign w:val="bottom"/>
            <w:gridSpan w:val="5"/>
          </w:tcPr>
          <w:p>
            <w:pPr>
              <w:ind w:left="20"/>
              <w:spacing w:after="0" w:line="127" w:lineRule="exact"/>
              <w:rPr>
                <w:sz w:val="20"/>
                <w:szCs w:val="20"/>
                <w:color w:val="auto"/>
              </w:rPr>
            </w:pPr>
            <w:r>
              <w:rPr>
                <w:rFonts w:ascii="Arial" w:cs="Arial" w:eastAsia="Arial" w:hAnsi="Arial"/>
                <w:sz w:val="13"/>
                <w:szCs w:val="13"/>
                <w:color w:val="auto"/>
              </w:rPr>
              <w:t>Reston Next Residential (508</w:t>
            </w:r>
          </w:p>
        </w:tc>
        <w:tc>
          <w:tcPr>
            <w:tcW w:w="1280" w:type="dxa"/>
            <w:vAlign w:val="bottom"/>
            <w:gridSpan w:val="2"/>
          </w:tcPr>
          <w:p>
            <w:pPr>
              <w:ind w:left="20"/>
              <w:spacing w:after="0" w:line="127" w:lineRule="exact"/>
              <w:rPr>
                <w:sz w:val="20"/>
                <w:szCs w:val="20"/>
                <w:color w:val="auto"/>
              </w:rPr>
            </w:pPr>
            <w:r>
              <w:rPr>
                <w:rFonts w:ascii="Arial" w:cs="Arial" w:eastAsia="Arial" w:hAnsi="Arial"/>
                <w:sz w:val="13"/>
                <w:szCs w:val="13"/>
                <w:color w:val="auto"/>
              </w:rPr>
              <w:t>Second Quarter,</w:t>
            </w:r>
          </w:p>
        </w:tc>
        <w:tc>
          <w:tcPr>
            <w:tcW w:w="1040" w:type="dxa"/>
            <w:vAlign w:val="bottom"/>
            <w:gridSpan w:val="2"/>
            <w:vMerge w:val="restart"/>
          </w:tcPr>
          <w:p>
            <w:pPr>
              <w:ind w:left="20"/>
              <w:spacing w:after="0"/>
              <w:rPr>
                <w:sz w:val="20"/>
                <w:szCs w:val="20"/>
                <w:color w:val="auto"/>
              </w:rPr>
            </w:pPr>
            <w:r>
              <w:rPr>
                <w:rFonts w:ascii="Arial" w:cs="Arial" w:eastAsia="Arial" w:hAnsi="Arial"/>
                <w:sz w:val="13"/>
                <w:szCs w:val="13"/>
                <w:color w:val="auto"/>
              </w:rPr>
              <w:t>Reston, VA</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417,000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11,394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47,700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28,000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4,116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12,422</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00" w:type="dxa"/>
            <w:vAlign w:val="bottom"/>
            <w:tcBorders>
              <w:bottom w:val="single" w:sz="8" w:color="CCEEFF"/>
            </w:tcBorders>
            <w:gridSpan w:val="5"/>
          </w:tcPr>
          <w:p>
            <w:pPr>
              <w:ind w:left="180"/>
              <w:spacing w:after="0"/>
              <w:rPr>
                <w:sz w:val="20"/>
                <w:szCs w:val="20"/>
                <w:color w:val="auto"/>
              </w:rPr>
            </w:pPr>
            <w:r>
              <w:rPr>
                <w:rFonts w:ascii="Arial" w:cs="Arial" w:eastAsia="Arial" w:hAnsi="Arial"/>
                <w:sz w:val="13"/>
                <w:szCs w:val="13"/>
                <w:color w:val="auto"/>
              </w:rPr>
              <w:t>units) (20% ownership)</w:t>
            </w:r>
          </w:p>
        </w:tc>
        <w:tc>
          <w:tcPr>
            <w:tcW w:w="1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2026</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gridSpan w:val="2"/>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280" w:type="dxa"/>
            <w:vAlign w:val="bottom"/>
            <w:tcBorders>
              <w:left w:val="single" w:sz="8" w:color="CCEEFF"/>
            </w:tcBorders>
            <w:gridSpan w:val="7"/>
            <w:shd w:val="clear" w:color="auto" w:fill="CCEEFF"/>
          </w:tcPr>
          <w:p>
            <w:pPr>
              <w:ind w:left="180"/>
              <w:spacing w:after="0"/>
              <w:rPr>
                <w:sz w:val="20"/>
                <w:szCs w:val="20"/>
                <w:color w:val="auto"/>
              </w:rPr>
            </w:pPr>
            <w:r>
              <w:rPr>
                <w:rFonts w:ascii="Arial" w:cs="Arial" w:eastAsia="Arial" w:hAnsi="Arial"/>
                <w:sz w:val="13"/>
                <w:szCs w:val="13"/>
                <w:b w:val="1"/>
                <w:bCs w:val="1"/>
                <w:color w:val="auto"/>
              </w:rPr>
              <w:t>Total Residential Property under Construction</w:t>
            </w: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417,000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11,394</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47,700</w:t>
            </w: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28,000</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4,116</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12,422</w:t>
            </w:r>
          </w:p>
        </w:tc>
        <w:tc>
          <w:tcPr>
            <w:tcW w:w="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00" w:type="dxa"/>
            <w:vAlign w:val="bottom"/>
            <w:tcBorders>
              <w:left w:val="single" w:sz="8" w:color="CCEEFF"/>
            </w:tcBorders>
            <w:gridSpan w:val="5"/>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rPr>
              <w:t>Retail</w:t>
            </w: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380" w:type="dxa"/>
            <w:vAlign w:val="bottom"/>
            <w:tcBorders>
              <w:left w:val="single" w:sz="8" w:color="CCEEFF"/>
              <w:right w:val="single" w:sz="8" w:color="CCEEFF"/>
            </w:tcBorders>
            <w:shd w:val="clear" w:color="auto" w:fill="000000"/>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00" w:type="dxa"/>
            <w:vAlign w:val="bottom"/>
            <w:gridSpan w:val="5"/>
          </w:tcPr>
          <w:p>
            <w:pPr>
              <w:ind w:left="20"/>
              <w:spacing w:after="0" w:line="127" w:lineRule="exact"/>
              <w:rPr>
                <w:sz w:val="20"/>
                <w:szCs w:val="20"/>
                <w:color w:val="auto"/>
              </w:rPr>
            </w:pPr>
            <w:r>
              <w:rPr>
                <w:rFonts w:ascii="Arial" w:cs="Arial" w:eastAsia="Arial" w:hAnsi="Arial"/>
                <w:sz w:val="13"/>
                <w:szCs w:val="13"/>
                <w:color w:val="auto"/>
              </w:rPr>
              <w:t>760 Boylston Street</w:t>
            </w:r>
          </w:p>
        </w:tc>
        <w:tc>
          <w:tcPr>
            <w:tcW w:w="1280" w:type="dxa"/>
            <w:vAlign w:val="bottom"/>
            <w:gridSpan w:val="2"/>
          </w:tcPr>
          <w:p>
            <w:pPr>
              <w:ind w:left="20"/>
              <w:spacing w:after="0" w:line="127" w:lineRule="exact"/>
              <w:rPr>
                <w:sz w:val="20"/>
                <w:szCs w:val="20"/>
                <w:color w:val="auto"/>
              </w:rPr>
            </w:pPr>
            <w:r>
              <w:rPr>
                <w:rFonts w:ascii="Arial" w:cs="Arial" w:eastAsia="Arial" w:hAnsi="Arial"/>
                <w:sz w:val="13"/>
                <w:szCs w:val="13"/>
                <w:color w:val="auto"/>
              </w:rPr>
              <w:t>Second Quarter,</w:t>
            </w:r>
          </w:p>
        </w:tc>
        <w:tc>
          <w:tcPr>
            <w:tcW w:w="1040" w:type="dxa"/>
            <w:vAlign w:val="bottom"/>
            <w:gridSpan w:val="2"/>
            <w:vMerge w:val="restart"/>
          </w:tcPr>
          <w:p>
            <w:pPr>
              <w:ind w:left="20"/>
              <w:spacing w:after="0"/>
              <w:rPr>
                <w:sz w:val="20"/>
                <w:szCs w:val="20"/>
                <w:color w:val="auto"/>
              </w:rPr>
            </w:pPr>
            <w:r>
              <w:rPr>
                <w:rFonts w:ascii="Arial" w:cs="Arial" w:eastAsia="Arial" w:hAnsi="Arial"/>
                <w:sz w:val="13"/>
                <w:szCs w:val="13"/>
                <w:color w:val="auto"/>
              </w:rPr>
              <w:t>Boston, MA</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118,000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2,355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43,800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41,445</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100 %</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00" w:type="dxa"/>
            <w:vAlign w:val="bottom"/>
            <w:tcBorders>
              <w:bottom w:val="single" w:sz="8" w:color="CCEEFF"/>
            </w:tcBorders>
            <w:gridSpan w:val="5"/>
          </w:tcPr>
          <w:p>
            <w:pPr>
              <w:ind w:left="180"/>
              <w:spacing w:after="0"/>
              <w:rPr>
                <w:sz w:val="20"/>
                <w:szCs w:val="20"/>
                <w:color w:val="auto"/>
              </w:rPr>
            </w:pPr>
            <w:r>
              <w:rPr>
                <w:rFonts w:ascii="Arial" w:cs="Arial" w:eastAsia="Arial" w:hAnsi="Arial"/>
                <w:sz w:val="13"/>
                <w:szCs w:val="13"/>
                <w:color w:val="auto"/>
              </w:rPr>
              <w:t>(Redevelopment)</w:t>
            </w:r>
          </w:p>
        </w:tc>
        <w:tc>
          <w:tcPr>
            <w:tcW w:w="1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2024</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gridSpan w:val="2"/>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280" w:type="dxa"/>
            <w:vAlign w:val="bottom"/>
            <w:tcBorders>
              <w:left w:val="single" w:sz="8" w:color="CCEEFF"/>
            </w:tcBorders>
            <w:gridSpan w:val="7"/>
            <w:shd w:val="clear" w:color="auto" w:fill="CCEEFF"/>
          </w:tcPr>
          <w:p>
            <w:pPr>
              <w:ind w:left="180"/>
              <w:spacing w:after="0"/>
              <w:rPr>
                <w:sz w:val="20"/>
                <w:szCs w:val="20"/>
                <w:color w:val="auto"/>
              </w:rPr>
            </w:pPr>
            <w:r>
              <w:rPr>
                <w:rFonts w:ascii="Arial" w:cs="Arial" w:eastAsia="Arial" w:hAnsi="Arial"/>
                <w:sz w:val="13"/>
                <w:szCs w:val="13"/>
                <w:b w:val="1"/>
                <w:bCs w:val="1"/>
                <w:color w:val="auto"/>
              </w:rPr>
              <w:t>Total Retail Property under Construction</w:t>
            </w: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43,800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41,445</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80" w:type="dxa"/>
            <w:vAlign w:val="bottom"/>
            <w:tcBorders>
              <w:left w:val="single" w:sz="8" w:color="CCEEFF"/>
              <w:bottom w:val="single" w:sz="8" w:color="auto"/>
              <w:right w:val="single" w:sz="8" w:color="CCEEFF"/>
            </w:tcBorders>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w w:val="92"/>
              </w:rPr>
              <w:t>Other</w:t>
            </w:r>
          </w:p>
        </w:tc>
        <w:tc>
          <w:tcPr>
            <w:tcW w:w="1620" w:type="dxa"/>
            <w:vAlign w:val="bottom"/>
            <w:tcBorders>
              <w:bottom w:val="single" w:sz="8" w:color="CCEEFF"/>
            </w:tcBorders>
            <w:gridSpan w:val="4"/>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00" w:type="dxa"/>
            <w:vAlign w:val="bottom"/>
            <w:gridSpan w:val="5"/>
          </w:tcPr>
          <w:p>
            <w:pPr>
              <w:ind w:left="20"/>
              <w:spacing w:after="0" w:line="127" w:lineRule="exact"/>
              <w:rPr>
                <w:sz w:val="20"/>
                <w:szCs w:val="20"/>
                <w:color w:val="auto"/>
              </w:rPr>
            </w:pPr>
            <w:r>
              <w:rPr>
                <w:rFonts w:ascii="Arial" w:cs="Arial" w:eastAsia="Arial" w:hAnsi="Arial"/>
                <w:sz w:val="13"/>
                <w:szCs w:val="13"/>
                <w:color w:val="auto"/>
              </w:rPr>
              <w:t>View Boston Observatory at The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00" w:type="dxa"/>
            <w:vAlign w:val="bottom"/>
            <w:gridSpan w:val="5"/>
          </w:tcPr>
          <w:p>
            <w:pPr>
              <w:ind w:left="180"/>
              <w:spacing w:after="0" w:line="127" w:lineRule="exact"/>
              <w:rPr>
                <w:sz w:val="20"/>
                <w:szCs w:val="20"/>
                <w:color w:val="auto"/>
              </w:rPr>
            </w:pPr>
            <w:r>
              <w:rPr>
                <w:rFonts w:ascii="Arial" w:cs="Arial" w:eastAsia="Arial" w:hAnsi="Arial"/>
                <w:sz w:val="13"/>
                <w:szCs w:val="13"/>
                <w:color w:val="auto"/>
              </w:rPr>
              <w:t>Prudential Center</w:t>
            </w:r>
          </w:p>
        </w:tc>
        <w:tc>
          <w:tcPr>
            <w:tcW w:w="1280" w:type="dxa"/>
            <w:vAlign w:val="bottom"/>
            <w:gridSpan w:val="2"/>
            <w:vMerge w:val="restart"/>
          </w:tcPr>
          <w:p>
            <w:pPr>
              <w:ind w:left="20"/>
              <w:spacing w:after="0"/>
              <w:rPr>
                <w:sz w:val="20"/>
                <w:szCs w:val="20"/>
                <w:color w:val="auto"/>
              </w:rPr>
            </w:pPr>
            <w:r>
              <w:rPr>
                <w:rFonts w:ascii="Arial" w:cs="Arial" w:eastAsia="Arial" w:hAnsi="Arial"/>
                <w:sz w:val="13"/>
                <w:szCs w:val="13"/>
                <w:color w:val="auto"/>
              </w:rPr>
              <w:t>N/A</w:t>
            </w:r>
          </w:p>
        </w:tc>
        <w:tc>
          <w:tcPr>
            <w:tcW w:w="1040" w:type="dxa"/>
            <w:vAlign w:val="bottom"/>
            <w:gridSpan w:val="2"/>
            <w:vMerge w:val="restart"/>
          </w:tcPr>
          <w:p>
            <w:pPr>
              <w:ind w:left="20"/>
              <w:spacing w:after="0"/>
              <w:rPr>
                <w:sz w:val="20"/>
                <w:szCs w:val="20"/>
                <w:color w:val="auto"/>
              </w:rPr>
            </w:pPr>
            <w:r>
              <w:rPr>
                <w:rFonts w:ascii="Arial" w:cs="Arial" w:eastAsia="Arial" w:hAnsi="Arial"/>
                <w:sz w:val="13"/>
                <w:szCs w:val="13"/>
                <w:color w:val="auto"/>
              </w:rPr>
              <w:t>Boston, MA</w:t>
            </w: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3"/>
                <w:szCs w:val="13"/>
                <w:color w:val="auto"/>
                <w:w w:val="91"/>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59,000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136,896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182,300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45,404</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N/A</w:t>
            </w:r>
          </w:p>
        </w:tc>
        <w:tc>
          <w:tcPr>
            <w:tcW w:w="280" w:type="dxa"/>
            <w:vAlign w:val="bottom"/>
            <w:vMerge w:val="restart"/>
          </w:tcPr>
          <w:p>
            <w:pPr>
              <w:ind w:left="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2"/>
        </w:trPr>
        <w:tc>
          <w:tcPr>
            <w:tcW w:w="2000" w:type="dxa"/>
            <w:vAlign w:val="bottom"/>
            <w:gridSpan w:val="5"/>
          </w:tcPr>
          <w:p>
            <w:pPr>
              <w:ind w:left="180"/>
              <w:spacing w:after="0"/>
              <w:rPr>
                <w:sz w:val="20"/>
                <w:szCs w:val="20"/>
                <w:color w:val="auto"/>
              </w:rPr>
            </w:pPr>
            <w:r>
              <w:rPr>
                <w:rFonts w:ascii="Arial" w:cs="Arial" w:eastAsia="Arial" w:hAnsi="Arial"/>
                <w:sz w:val="13"/>
                <w:szCs w:val="13"/>
                <w:color w:val="auto"/>
              </w:rPr>
              <w:t>(Redevelopment)</w:t>
            </w:r>
          </w:p>
        </w:tc>
        <w:tc>
          <w:tcPr>
            <w:tcW w:w="12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280" w:type="dxa"/>
            <w:vAlign w:val="bottom"/>
            <w:tcBorders>
              <w:top w:val="single" w:sz="8" w:color="CCEEFF"/>
              <w:left w:val="single" w:sz="8" w:color="CCEEFF"/>
              <w:bottom w:val="single" w:sz="8" w:color="CCEEFF"/>
            </w:tcBorders>
            <w:gridSpan w:val="7"/>
            <w:shd w:val="clear" w:color="auto" w:fill="CCEEFF"/>
          </w:tcPr>
          <w:p>
            <w:pPr>
              <w:ind w:left="180"/>
              <w:spacing w:after="0"/>
              <w:rPr>
                <w:sz w:val="20"/>
                <w:szCs w:val="20"/>
                <w:color w:val="auto"/>
              </w:rPr>
            </w:pPr>
            <w:r>
              <w:rPr>
                <w:rFonts w:ascii="Arial" w:cs="Arial" w:eastAsia="Arial" w:hAnsi="Arial"/>
                <w:sz w:val="13"/>
                <w:szCs w:val="13"/>
                <w:b w:val="1"/>
                <w:bCs w:val="1"/>
                <w:color w:val="auto"/>
              </w:rPr>
              <w:t>Total Properties under Construction</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4,413,500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1,678,072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6"/>
              </w:rPr>
              <w:t>2,655,600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120,774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91,415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948,169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52 %</w:t>
            </w:r>
          </w:p>
        </w:tc>
        <w:tc>
          <w:tcPr>
            <w:tcW w:w="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66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56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21" w:lineRule="exact"/>
        <w:rPr>
          <w:sz w:val="20"/>
          <w:szCs w:val="20"/>
          <w:color w:val="auto"/>
        </w:rPr>
      </w:pPr>
    </w:p>
    <w:p>
      <w:pPr>
        <w:ind w:left="240"/>
        <w:spacing w:after="0"/>
        <w:tabs>
          <w:tab w:leader="none" w:pos="520" w:val="left"/>
        </w:tabs>
        <w:rPr>
          <w:sz w:val="20"/>
          <w:szCs w:val="20"/>
          <w:color w:val="auto"/>
        </w:rPr>
      </w:pPr>
      <w:r>
        <w:rPr>
          <w:rFonts w:ascii="Arial" w:cs="Arial" w:eastAsia="Arial" w:hAnsi="Arial"/>
          <w:sz w:val="14"/>
          <w:szCs w:val="14"/>
          <w:color w:val="auto"/>
        </w:rPr>
        <w:t>(1)</w:t>
        <w:tab/>
        <w:t>Represents our share.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jc w:val="both"/>
        <w:ind w:left="540" w:right="380" w:hanging="310"/>
        <w:spacing w:after="0" w:line="264" w:lineRule="auto"/>
        <w:tabs>
          <w:tab w:leader="none" w:pos="538" w:val="left"/>
        </w:tabs>
        <w:numPr>
          <w:ilvl w:val="0"/>
          <w:numId w:val="55"/>
        </w:numPr>
        <w:rPr>
          <w:rFonts w:ascii="Arial" w:cs="Arial" w:eastAsia="Arial" w:hAnsi="Arial"/>
          <w:sz w:val="14"/>
          <w:szCs w:val="14"/>
          <w:color w:val="auto"/>
        </w:rPr>
      </w:pPr>
      <w:r>
        <w:rPr>
          <w:rFonts w:ascii="Arial" w:cs="Arial" w:eastAsia="Arial" w:hAnsi="Arial"/>
          <w:sz w:val="14"/>
          <w:szCs w:val="14"/>
          <w:color w:val="auto"/>
        </w:rPr>
        <w:t>Each of Investment to Date, Estimated Total Investment and Estimated Future Equity Requirement represent our share of acquisition expenses, as applicable, and reflect our share of the estimated net revenue/expenses that we expect to incur prior to stabilization of the project, including any amounts actually received or paid through September 30, 2022.</w:t>
      </w:r>
    </w:p>
    <w:p>
      <w:pPr>
        <w:spacing w:after="0" w:line="1" w:lineRule="exact"/>
        <w:rPr>
          <w:rFonts w:ascii="Arial" w:cs="Arial" w:eastAsia="Arial" w:hAnsi="Arial"/>
          <w:sz w:val="14"/>
          <w:szCs w:val="14"/>
          <w:color w:val="auto"/>
        </w:rPr>
      </w:pPr>
    </w:p>
    <w:p>
      <w:pPr>
        <w:ind w:left="540" w:hanging="310"/>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approximately $95.9 million of unpaid but accrued construction costs and leasing commissions.</w:t>
      </w:r>
    </w:p>
    <w:p>
      <w:pPr>
        <w:spacing w:after="0" w:line="5" w:lineRule="exact"/>
        <w:rPr>
          <w:rFonts w:ascii="Arial" w:cs="Arial" w:eastAsia="Arial" w:hAnsi="Arial"/>
          <w:sz w:val="14"/>
          <w:szCs w:val="14"/>
          <w:color w:val="auto"/>
        </w:rPr>
      </w:pPr>
    </w:p>
    <w:p>
      <w:pPr>
        <w:ind w:left="540" w:hanging="310"/>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Excludes approximately $95.9 million of unpaid but accrued construction costs and leasing commissions.</w:t>
      </w:r>
    </w:p>
    <w:p>
      <w:pPr>
        <w:spacing w:after="0" w:line="15" w:lineRule="exact"/>
        <w:rPr>
          <w:rFonts w:ascii="Arial" w:cs="Arial" w:eastAsia="Arial" w:hAnsi="Arial"/>
          <w:sz w:val="14"/>
          <w:szCs w:val="14"/>
          <w:color w:val="auto"/>
        </w:rPr>
      </w:pPr>
    </w:p>
    <w:p>
      <w:pPr>
        <w:ind w:left="540" w:hanging="310"/>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percentage leased as of November 1, 2022, including leases with future commencement dates.</w:t>
      </w:r>
    </w:p>
    <w:p>
      <w:pPr>
        <w:spacing w:after="0" w:line="16" w:lineRule="exact"/>
        <w:rPr>
          <w:rFonts w:ascii="Arial" w:cs="Arial" w:eastAsia="Arial" w:hAnsi="Arial"/>
          <w:sz w:val="14"/>
          <w:szCs w:val="14"/>
          <w:color w:val="auto"/>
        </w:rPr>
      </w:pPr>
    </w:p>
    <w:p>
      <w:pPr>
        <w:ind w:left="540" w:hanging="310"/>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property was 69% placed in-service as of September 30, 2022.</w:t>
      </w:r>
    </w:p>
    <w:p>
      <w:pPr>
        <w:spacing w:after="0" w:line="5" w:lineRule="exact"/>
        <w:rPr>
          <w:rFonts w:ascii="Arial" w:cs="Arial" w:eastAsia="Arial" w:hAnsi="Arial"/>
          <w:sz w:val="14"/>
          <w:szCs w:val="14"/>
          <w:color w:val="auto"/>
        </w:rPr>
      </w:pPr>
    </w:p>
    <w:p>
      <w:pPr>
        <w:ind w:left="540" w:hanging="310"/>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property was 6% placed in-service as of September 30, 2022.</w:t>
      </w:r>
    </w:p>
    <w:p>
      <w:pPr>
        <w:spacing w:after="0" w:line="15" w:lineRule="exact"/>
        <w:rPr>
          <w:rFonts w:ascii="Arial" w:cs="Arial" w:eastAsia="Arial" w:hAnsi="Arial"/>
          <w:sz w:val="14"/>
          <w:szCs w:val="14"/>
          <w:color w:val="auto"/>
        </w:rPr>
      </w:pPr>
    </w:p>
    <w:p>
      <w:pPr>
        <w:jc w:val="both"/>
        <w:ind w:left="540" w:right="300" w:hanging="310"/>
        <w:spacing w:after="0" w:line="258" w:lineRule="auto"/>
        <w:tabs>
          <w:tab w:leader="none" w:pos="538"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Investment to Date includes all related costs incurred prior to the contribution of the property by us to the joint venture on December 15, 2021 totaling approximately $107 million and our proportionate share of the loan. Our joint venture partners will fund required capital until their aggregate investment is approximately 58% of all capital contributions; thereafter, the joint venture partners will fund required capital according to their percentage interests.</w:t>
      </w:r>
    </w:p>
    <w:p>
      <w:pPr>
        <w:spacing w:after="0" w:line="1" w:lineRule="exact"/>
        <w:rPr>
          <w:rFonts w:ascii="Arial" w:cs="Arial" w:eastAsia="Arial" w:hAnsi="Arial"/>
          <w:sz w:val="14"/>
          <w:szCs w:val="14"/>
          <w:color w:val="auto"/>
        </w:rPr>
      </w:pPr>
    </w:p>
    <w:p>
      <w:pPr>
        <w:ind w:left="540" w:hanging="310"/>
        <w:spacing w:after="0" w:line="265" w:lineRule="auto"/>
        <w:tabs>
          <w:tab w:leader="none" w:pos="538" w:val="left"/>
        </w:tabs>
        <w:numPr>
          <w:ilvl w:val="0"/>
          <w:numId w:val="55"/>
        </w:numPr>
        <w:rPr>
          <w:rFonts w:ascii="Arial" w:cs="Arial" w:eastAsia="Arial" w:hAnsi="Arial"/>
          <w:sz w:val="14"/>
          <w:szCs w:val="14"/>
          <w:color w:val="auto"/>
        </w:rPr>
      </w:pPr>
      <w:r>
        <w:rPr>
          <w:rFonts w:ascii="Arial" w:cs="Arial" w:eastAsia="Arial" w:hAnsi="Arial"/>
          <w:sz w:val="14"/>
          <w:szCs w:val="14"/>
          <w:color w:val="auto"/>
        </w:rPr>
        <w:t>Estimated total investment represents the costs to complete Building A, a 389,500 square foot building, and Building A’s proportionate share of land and garage costs. In conjunction with the construction of Building A, garage and site work will be completed for Phase II, which will support approximately 700,000 square feet of development in two office buildings, budgeted to be an incremental $141 million.</w:t>
      </w:r>
    </w:p>
    <w:p>
      <w:pPr>
        <w:ind w:left="520" w:hanging="290"/>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property was 25% placed in-service as of September 30, 2022.</w:t>
      </w:r>
    </w:p>
    <w:p>
      <w:pPr>
        <w:spacing w:after="0" w:line="42" w:lineRule="exact"/>
        <w:rPr>
          <w:rFonts w:ascii="Arial" w:cs="Arial" w:eastAsia="Arial" w:hAnsi="Arial"/>
          <w:sz w:val="14"/>
          <w:szCs w:val="14"/>
          <w:color w:val="auto"/>
        </w:rPr>
      </w:pPr>
    </w:p>
    <w:p>
      <w:pPr>
        <w:ind w:left="520" w:hanging="290"/>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We expect to place this project in-service and open to the public in the second quarter of 2023.</w:t>
      </w:r>
    </w:p>
    <w:p>
      <w:pPr>
        <w:spacing w:after="0" w:line="42" w:lineRule="exact"/>
        <w:rPr>
          <w:rFonts w:ascii="Arial" w:cs="Arial" w:eastAsia="Arial" w:hAnsi="Arial"/>
          <w:sz w:val="14"/>
          <w:szCs w:val="14"/>
          <w:color w:val="auto"/>
        </w:rPr>
      </w:pPr>
    </w:p>
    <w:p>
      <w:pPr>
        <w:ind w:left="540" w:right="20" w:hanging="310"/>
        <w:spacing w:after="0" w:line="271" w:lineRule="auto"/>
        <w:tabs>
          <w:tab w:leader="none" w:pos="529" w:val="left"/>
        </w:tabs>
        <w:numPr>
          <w:ilvl w:val="0"/>
          <w:numId w:val="55"/>
        </w:numPr>
        <w:rPr>
          <w:rFonts w:ascii="Arial" w:cs="Arial" w:eastAsia="Arial" w:hAnsi="Arial"/>
          <w:sz w:val="14"/>
          <w:szCs w:val="14"/>
          <w:color w:val="auto"/>
        </w:rPr>
      </w:pPr>
      <w:r>
        <w:rPr>
          <w:rFonts w:ascii="Arial" w:cs="Arial" w:eastAsia="Arial" w:hAnsi="Arial"/>
          <w:sz w:val="14"/>
          <w:szCs w:val="14"/>
          <w:color w:val="auto"/>
        </w:rPr>
        <w:t>Percentage leased excludes the residential property and the View Boston Observatory at The Prudential Center (redevelopment) at 800 Boylston Street - The Prudential Center. Estimated total investment excludes approximately $210 million related to the redevelopment of 300 Binney Street which is currently in-service. We terminated our existing lease agreement with Biogen at 300 Binney Street to facilitate the redevelopment of the property, which is expected to begin in early 2023. Biogen will be vacating the property in phases through early 2023. The project is 100% pre-leased. The commencement of construction is subject to various conditions. There can be no assurance that we will commence the redevelopment on the terms and schedule currently contemplated or at all.</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firstLine="381"/>
        <w:spacing w:after="0" w:line="254" w:lineRule="auto"/>
        <w:rPr>
          <w:sz w:val="20"/>
          <w:szCs w:val="20"/>
          <w:color w:val="auto"/>
        </w:rPr>
      </w:pPr>
      <w:r>
        <w:rPr>
          <w:rFonts w:ascii="Arial" w:cs="Arial" w:eastAsia="Arial" w:hAnsi="Arial"/>
          <w:sz w:val="17"/>
          <w:szCs w:val="17"/>
          <w:color w:val="auto"/>
        </w:rPr>
        <w:t>Lease revenue (which includes recoveries from clients), other income from operations, available cash balances, mortgage financings, unsecured indebtedness and draws on BPLP’s Revolving Facility are the principal sources of capital that we use to fund operating expenses, debt service, maintenance and repositioning capital expenditures, tenant improvements and the minimum distribution required to enable BXP to maintain its REIT qualification. We seek to maximize income from our existing properties by maintaining quality standards for our properties that promote high occupancy rates and permit increases in rental rates while reducing client turnover and controlling operating expenses. Our sources of revenue also include third-party fees generated by our property management, leasing, development and construction businesses, as well as the sale of assets from time to time. We believe these sources of capital will continue to provide the funds necessary for our short-term liquidity needs. Material adverse changes in one or more sources of capital may adversely affect our net cash flows.</w:t>
      </w:r>
    </w:p>
    <w:p>
      <w:pPr>
        <w:spacing w:after="0" w:line="122" w:lineRule="exact"/>
        <w:rPr>
          <w:sz w:val="20"/>
          <w:szCs w:val="20"/>
          <w:color w:val="auto"/>
        </w:rPr>
      </w:pPr>
    </w:p>
    <w:p>
      <w:pPr>
        <w:ind w:right="220" w:firstLine="381"/>
        <w:spacing w:after="0" w:line="260" w:lineRule="auto"/>
        <w:rPr>
          <w:sz w:val="20"/>
          <w:szCs w:val="20"/>
          <w:color w:val="auto"/>
        </w:rPr>
      </w:pPr>
      <w:r>
        <w:rPr>
          <w:rFonts w:ascii="Arial" w:cs="Arial" w:eastAsia="Arial" w:hAnsi="Arial"/>
          <w:sz w:val="17"/>
          <w:szCs w:val="17"/>
          <w:color w:val="auto"/>
        </w:rPr>
        <w:t>We expect our primary uses of capital over the next twelve months will be to fund the anticipated acquisition of an approximate 27% interest in the joint venture that owns 200 Fifth Avenue in New York City, the commencement, continuation and completion of our current and committed development and redevelopment projects, repaying debt maturities (as discussed below), servicing the interest payments on our outstanding indebtedness, and satisfying our REIT distribution requirements.</w:t>
      </w:r>
    </w:p>
    <w:p>
      <w:pPr>
        <w:spacing w:after="0" w:line="118" w:lineRule="exact"/>
        <w:rPr>
          <w:sz w:val="20"/>
          <w:szCs w:val="20"/>
          <w:color w:val="auto"/>
        </w:rPr>
      </w:pPr>
    </w:p>
    <w:p>
      <w:pPr>
        <w:ind w:firstLine="381"/>
        <w:spacing w:after="0" w:line="260" w:lineRule="auto"/>
        <w:rPr>
          <w:sz w:val="20"/>
          <w:szCs w:val="20"/>
          <w:color w:val="auto"/>
        </w:rPr>
      </w:pPr>
      <w:r>
        <w:rPr>
          <w:rFonts w:ascii="Arial" w:cs="Arial" w:eastAsia="Arial" w:hAnsi="Arial"/>
          <w:sz w:val="17"/>
          <w:szCs w:val="17"/>
          <w:color w:val="auto"/>
        </w:rPr>
        <w:t>As of September 30, 2022, we had 14 properties under development or redevelopment. Our share of the remaining development and redevelopment costs of active development and redevelopment projects that we expect to fund through 2026 was approximately $948.2 million (excluding costs related to 300 Binney Street). In the third quarter of 2022, we commenced two redevelopment projects and committed to begin a third redevelopment project in early 2023 described below:</w:t>
      </w:r>
    </w:p>
    <w:p>
      <w:pPr>
        <w:spacing w:after="0" w:line="118" w:lineRule="exact"/>
        <w:rPr>
          <w:sz w:val="20"/>
          <w:szCs w:val="20"/>
          <w:color w:val="auto"/>
        </w:rPr>
      </w:pPr>
    </w:p>
    <w:p>
      <w:pPr>
        <w:ind w:left="620" w:right="80" w:hanging="314"/>
        <w:spacing w:after="0" w:line="315" w:lineRule="auto"/>
        <w:tabs>
          <w:tab w:leader="none" w:pos="616" w:val="left"/>
        </w:tabs>
        <w:numPr>
          <w:ilvl w:val="0"/>
          <w:numId w:val="56"/>
        </w:numPr>
        <w:rPr>
          <w:rFonts w:ascii="Arial" w:cs="Arial" w:eastAsia="Arial" w:hAnsi="Arial"/>
          <w:sz w:val="16"/>
          <w:szCs w:val="16"/>
          <w:color w:val="auto"/>
        </w:rPr>
      </w:pPr>
      <w:r>
        <w:rPr>
          <w:rFonts w:ascii="Arial" w:cs="Arial" w:eastAsia="Arial" w:hAnsi="Arial"/>
          <w:sz w:val="16"/>
          <w:szCs w:val="16"/>
          <w:color w:val="auto"/>
        </w:rPr>
        <w:t>140 Kendrick Street Building A in Needham, Massachusetts. When completed, the building will consist of approximately 104,000 net rentable square feet and will be the first net zero, carbon neutral office repositioning of this scale in Massachusetts. This project is 100% pre-leased.</w:t>
      </w:r>
    </w:p>
    <w:p>
      <w:pPr>
        <w:spacing w:after="0" w:line="75" w:lineRule="exact"/>
        <w:rPr>
          <w:rFonts w:ascii="Arial" w:cs="Arial" w:eastAsia="Arial" w:hAnsi="Arial"/>
          <w:sz w:val="16"/>
          <w:szCs w:val="16"/>
          <w:color w:val="auto"/>
        </w:rPr>
      </w:pPr>
    </w:p>
    <w:p>
      <w:pPr>
        <w:ind w:left="620" w:right="620" w:hanging="314"/>
        <w:spacing w:after="0" w:line="283" w:lineRule="auto"/>
        <w:tabs>
          <w:tab w:leader="none" w:pos="616" w:val="left"/>
        </w:tabs>
        <w:numPr>
          <w:ilvl w:val="0"/>
          <w:numId w:val="56"/>
        </w:numPr>
        <w:rPr>
          <w:rFonts w:ascii="Arial" w:cs="Arial" w:eastAsia="Arial" w:hAnsi="Arial"/>
          <w:sz w:val="17"/>
          <w:szCs w:val="17"/>
          <w:color w:val="auto"/>
        </w:rPr>
      </w:pPr>
      <w:r>
        <w:rPr>
          <w:rFonts w:ascii="Arial" w:cs="Arial" w:eastAsia="Arial" w:hAnsi="Arial"/>
          <w:sz w:val="17"/>
          <w:szCs w:val="17"/>
          <w:color w:val="auto"/>
        </w:rPr>
        <w:t>760 Boylston Street, a retail property at the Prudential Center in Boston, Massachusetts. The redevelopment is a modernization of the approximately 118,000 net rentable square foot space. This project is 100% pre-leased.</w:t>
      </w:r>
    </w:p>
    <w:p>
      <w:pPr>
        <w:spacing w:after="0" w:line="97" w:lineRule="exact"/>
        <w:rPr>
          <w:rFonts w:ascii="Arial" w:cs="Arial" w:eastAsia="Arial" w:hAnsi="Arial"/>
          <w:sz w:val="17"/>
          <w:szCs w:val="17"/>
          <w:color w:val="auto"/>
        </w:rPr>
      </w:pPr>
    </w:p>
    <w:p>
      <w:pPr>
        <w:ind w:left="620" w:hanging="314"/>
        <w:spacing w:after="0" w:line="237" w:lineRule="auto"/>
        <w:tabs>
          <w:tab w:leader="none" w:pos="607" w:val="left"/>
        </w:tabs>
        <w:numPr>
          <w:ilvl w:val="0"/>
          <w:numId w:val="56"/>
        </w:numPr>
        <w:rPr>
          <w:rFonts w:ascii="Arial" w:cs="Arial" w:eastAsia="Arial" w:hAnsi="Arial"/>
          <w:sz w:val="22"/>
          <w:szCs w:val="22"/>
          <w:color w:val="auto"/>
          <w:vertAlign w:val="superscript"/>
        </w:rPr>
      </w:pPr>
      <w:r>
        <w:rPr>
          <w:rFonts w:ascii="Arial" w:cs="Arial" w:eastAsia="Arial" w:hAnsi="Arial"/>
          <w:sz w:val="17"/>
          <w:szCs w:val="17"/>
          <w:color w:val="auto"/>
        </w:rPr>
        <w:t>300 Binney Street in Cambridge, Massachusetts. The conversion of this approximately 195,000 net rentable square foot property into an approximately 240,000 net rentable square foot laboratory/life sciences property has a total budgeted cost of $210.0 million and is expected to begin in early 2023. This project is 100% pre-leased. There can be no assurance that we will commence the redevelopment on the terms and schedule currently contemplated or at all.</w:t>
      </w:r>
    </w:p>
    <w:p>
      <w:pPr>
        <w:spacing w:after="0" w:line="136" w:lineRule="exact"/>
        <w:rPr>
          <w:sz w:val="20"/>
          <w:szCs w:val="20"/>
          <w:color w:val="auto"/>
        </w:rPr>
      </w:pPr>
    </w:p>
    <w:p>
      <w:pPr>
        <w:ind w:right="80" w:firstLine="381"/>
        <w:spacing w:after="0" w:line="266" w:lineRule="auto"/>
        <w:rPr>
          <w:sz w:val="20"/>
          <w:szCs w:val="20"/>
          <w:color w:val="auto"/>
        </w:rPr>
      </w:pPr>
      <w:r>
        <w:rPr>
          <w:rFonts w:ascii="Arial" w:cs="Arial" w:eastAsia="Arial" w:hAnsi="Arial"/>
          <w:sz w:val="17"/>
          <w:szCs w:val="17"/>
          <w:color w:val="auto"/>
        </w:rPr>
        <w:t>On September 16, 2022, we acquired 125 Broadway in Cambridge, Massachusetts for a net purchase price, including transaction costs, of approximately $ 592.4 million. The acquisition was completed with available cash and borrowings under BPLP’s Revolving Facility. 125 Broadway is a 271,000 square foot, six-story, laboratory/life sciences property. The property is 100% leased.</w:t>
      </w:r>
    </w:p>
    <w:p>
      <w:pPr>
        <w:spacing w:after="0" w:line="112" w:lineRule="exact"/>
        <w:rPr>
          <w:sz w:val="20"/>
          <w:szCs w:val="20"/>
          <w:color w:val="auto"/>
        </w:rPr>
      </w:pPr>
    </w:p>
    <w:p>
      <w:pPr>
        <w:ind w:right="100" w:firstLine="381"/>
        <w:spacing w:after="0" w:line="260" w:lineRule="auto"/>
        <w:rPr>
          <w:sz w:val="20"/>
          <w:szCs w:val="20"/>
          <w:color w:val="auto"/>
        </w:rPr>
      </w:pPr>
      <w:r>
        <w:rPr>
          <w:rFonts w:ascii="Arial" w:cs="Arial" w:eastAsia="Arial" w:hAnsi="Arial"/>
          <w:sz w:val="17"/>
          <w:szCs w:val="17"/>
          <w:color w:val="auto"/>
        </w:rPr>
        <w:t>In the third quarter of 2022, we completed the sale of 601 Massachusetts Avenue located in Washington, DC and two parcels of land located in Loudoun County, Virginia for aggregate net proceeds of $537.9 million. On October 6, 2022, we entered into an agreement to sell the residential component of The Avant at Reston Town Center located in Reston, Virginia for a gross sale price of $141 million. There can be no assurance that we will complete the sale on the terms currently contemplated or at all.</w:t>
      </w:r>
    </w:p>
    <w:p>
      <w:pPr>
        <w:spacing w:after="0" w:line="118" w:lineRule="exact"/>
        <w:rPr>
          <w:sz w:val="20"/>
          <w:szCs w:val="20"/>
          <w:color w:val="auto"/>
        </w:rPr>
      </w:pPr>
    </w:p>
    <w:p>
      <w:pPr>
        <w:ind w:right="340" w:firstLine="381"/>
        <w:spacing w:after="0" w:line="266" w:lineRule="auto"/>
        <w:rPr>
          <w:sz w:val="20"/>
          <w:szCs w:val="20"/>
          <w:color w:val="auto"/>
        </w:rPr>
      </w:pPr>
      <w:r>
        <w:rPr>
          <w:rFonts w:ascii="Arial" w:cs="Arial" w:eastAsia="Arial" w:hAnsi="Arial"/>
          <w:sz w:val="17"/>
          <w:szCs w:val="17"/>
          <w:color w:val="auto"/>
        </w:rPr>
        <w:t>In July 2021, we announced the formation of the SCP with two partners each having a targeted equity commitment of $1.0 billion and a $250 million commitment from us. Under this agreement, we agreed to provide these partners, for up to two years, exclusive first offers to form joint ventures with us to invest in assets that meet target criteria. All investments are discretionary to each partner.</w:t>
      </w:r>
    </w:p>
    <w:p>
      <w:pPr>
        <w:spacing w:after="0" w:line="112" w:lineRule="exact"/>
        <w:rPr>
          <w:sz w:val="20"/>
          <w:szCs w:val="20"/>
          <w:color w:val="auto"/>
        </w:rPr>
      </w:pPr>
    </w:p>
    <w:p>
      <w:pPr>
        <w:ind w:right="60" w:firstLine="381"/>
        <w:spacing w:after="0" w:line="257" w:lineRule="auto"/>
        <w:rPr>
          <w:sz w:val="20"/>
          <w:szCs w:val="20"/>
          <w:color w:val="auto"/>
        </w:rPr>
      </w:pPr>
      <w:r>
        <w:rPr>
          <w:rFonts w:ascii="Arial" w:cs="Arial" w:eastAsia="Arial" w:hAnsi="Arial"/>
          <w:sz w:val="17"/>
          <w:szCs w:val="17"/>
          <w:color w:val="auto"/>
        </w:rPr>
        <w:t>The SCP provides us the opportunity to partner with large institutional investors and capitalize our investment opportunities partially through private equity. The SCP enhances our access to capital and investment capacity, enhances our returns through fee income, and in some investments provides us the opportunity to realize a greater share of income upon achieving certain success criteria. These large financial partners are among the world’s largest sovereign wealth funds and pension plans. As we move forward, we anticipate increasing our use of joint venture partner equity to manage our debt levels.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381"/>
        <w:spacing w:after="0" w:line="275" w:lineRule="auto"/>
        <w:rPr>
          <w:sz w:val="20"/>
          <w:szCs w:val="20"/>
          <w:color w:val="auto"/>
        </w:rPr>
      </w:pPr>
      <w:r>
        <w:rPr>
          <w:rFonts w:ascii="Arial" w:cs="Arial" w:eastAsia="Arial" w:hAnsi="Arial"/>
          <w:sz w:val="16"/>
          <w:szCs w:val="16"/>
          <w:color w:val="auto"/>
        </w:rPr>
        <w:t>We have no remaining debt maturities in 2022. Our 2023 debt maturities include (1) the Unsecured Term Loan, which matures on May 16, 2023, and (2) $500.0 million aggregate principal amount of BPLP’s 3.125% senior unsecured notes, which mature on September 1, 2023. In our unconsolidated joint venture portfolio, we have approximately $533.6 million (our share) of debt maturating in 2023. We expect to fund 2023 debt maturities using available cash balances, proceeds from asset sales, BPLP’s Revolving Facility, and/or through refinancings. We expect our interest expense will be materially greater in 2023 compared to 2022 due to the cessation of capitalized interest on our development deliveries, acquisitions funded by debt, higher interest rates on our floating rate debt, and the impact of refinancing our 2023 debt maturities at materially higher interest rates.</w:t>
      </w:r>
    </w:p>
    <w:p>
      <w:pPr>
        <w:spacing w:after="0" w:line="106" w:lineRule="exact"/>
        <w:rPr>
          <w:sz w:val="20"/>
          <w:szCs w:val="20"/>
          <w:color w:val="auto"/>
        </w:rPr>
      </w:pPr>
    </w:p>
    <w:p>
      <w:pPr>
        <w:ind w:firstLine="381"/>
        <w:spacing w:after="0" w:line="256" w:lineRule="auto"/>
        <w:rPr>
          <w:sz w:val="20"/>
          <w:szCs w:val="20"/>
          <w:color w:val="auto"/>
        </w:rPr>
      </w:pPr>
      <w:r>
        <w:rPr>
          <w:rFonts w:ascii="Arial" w:cs="Arial" w:eastAsia="Arial" w:hAnsi="Arial"/>
          <w:sz w:val="17"/>
          <w:szCs w:val="17"/>
          <w:color w:val="auto"/>
        </w:rPr>
        <w:t>As of November 1, 2022, we had available cash of approximately $268.5 million (of which approximately $100.3 million is attributable to our consolidated joint venture partners). Our liquidity and capital resources depend on a wide range of factors and we believe that our access to capital and our strong liquidity, including the approximately $1.1 billion available under the Revolving Facility and our available cash, as of November 1, 2022, are sufficient to fund our remaining capital requirements on existing development and redevelopment projects, fund acquisitions, repay or refinance our maturing indebtedness when due, satisfy our REIT distribution requirements and still allow us to act opportunistically on attractive investment opportunities.</w:t>
      </w:r>
    </w:p>
    <w:p>
      <w:pPr>
        <w:spacing w:after="0" w:line="120" w:lineRule="exact"/>
        <w:rPr>
          <w:sz w:val="20"/>
          <w:szCs w:val="20"/>
          <w:color w:val="auto"/>
        </w:rPr>
      </w:pPr>
    </w:p>
    <w:p>
      <w:pPr>
        <w:ind w:right="20" w:firstLine="381"/>
        <w:spacing w:after="0" w:line="257" w:lineRule="auto"/>
        <w:rPr>
          <w:sz w:val="20"/>
          <w:szCs w:val="20"/>
          <w:color w:val="auto"/>
        </w:rPr>
      </w:pPr>
      <w:r>
        <w:rPr>
          <w:rFonts w:ascii="Arial" w:cs="Arial" w:eastAsia="Arial" w:hAnsi="Arial"/>
          <w:sz w:val="17"/>
          <w:szCs w:val="17"/>
          <w:color w:val="auto"/>
        </w:rPr>
        <w:t>We may seek to enhance our liquidity to fund our current and future development activity, pursue additional attractive investment opportunities and refinance or repay indebtedness. Depending on interest rates, the overall conditions in the debt and public and private equity markets, and our leverage at the time, we may decide to access one or more of these capital sources (including utilization of BXP’s $600.0 million “at the market” equity offering program). Doing so may result in us carrying additional cash and cash equivalents pending our use of the proceeds, which could increase our net interest expense or be dilutive to our earnings, or both.</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have not sold any shares under BXP’s $600.0 million “at the market” equity offering program.</w:t>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REIT Tax Distribution Considerations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Dividend</w:t>
      </w:r>
    </w:p>
    <w:p>
      <w:pPr>
        <w:spacing w:after="0" w:line="94" w:lineRule="exact"/>
        <w:rPr>
          <w:sz w:val="20"/>
          <w:szCs w:val="20"/>
          <w:color w:val="auto"/>
        </w:rPr>
      </w:pPr>
    </w:p>
    <w:p>
      <w:pPr>
        <w:ind w:right="20" w:firstLine="419"/>
        <w:spacing w:after="0" w:line="260" w:lineRule="auto"/>
        <w:rPr>
          <w:sz w:val="20"/>
          <w:szCs w:val="20"/>
          <w:color w:val="auto"/>
        </w:rPr>
      </w:pPr>
      <w:r>
        <w:rPr>
          <w:rFonts w:ascii="Arial" w:cs="Arial" w:eastAsia="Arial" w:hAnsi="Arial"/>
          <w:sz w:val="17"/>
          <w:szCs w:val="17"/>
          <w:color w:val="auto"/>
        </w:rPr>
        <w:t>BXP as a REIT is subject to a number of organizational and operational requirements, including a requirement that BXP currently distribute at least 90% of its annual taxable income (excluding capital gains and with certain other adjustments). Our policy is for BXP to distribute at least 100% of its taxable income, including capital gains, to avoid paying federal tax. Common and LTIP unitholders (other than unearned MYLTIP units) of limited partnership interest in BPLP receive the same total distribution per unit.</w:t>
      </w:r>
    </w:p>
    <w:p>
      <w:pPr>
        <w:spacing w:after="0" w:line="118" w:lineRule="exact"/>
        <w:rPr>
          <w:sz w:val="20"/>
          <w:szCs w:val="20"/>
          <w:color w:val="auto"/>
        </w:rPr>
      </w:pPr>
    </w:p>
    <w:p>
      <w:pPr>
        <w:ind w:right="120" w:firstLine="419"/>
        <w:spacing w:after="0" w:line="266" w:lineRule="auto"/>
        <w:rPr>
          <w:sz w:val="20"/>
          <w:szCs w:val="20"/>
          <w:color w:val="auto"/>
        </w:rPr>
      </w:pPr>
      <w:r>
        <w:rPr>
          <w:rFonts w:ascii="Arial" w:cs="Arial" w:eastAsia="Arial" w:hAnsi="Arial"/>
          <w:sz w:val="17"/>
          <w:szCs w:val="17"/>
          <w:color w:val="auto"/>
        </w:rPr>
        <w:t>BXP’s Board of Directors will continue to evaluate BXP’s dividend rate in light of our actual and projected taxable income (including gains on sales), liquidity requirements and other circumstances and there can be no assurance that the future dividends declared by BXP’s Board of Directors will not differ materially from the current quarterly dividend amount.</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Sales</w:t>
      </w:r>
    </w:p>
    <w:p>
      <w:pPr>
        <w:spacing w:after="0" w:line="82" w:lineRule="exact"/>
        <w:rPr>
          <w:sz w:val="20"/>
          <w:szCs w:val="20"/>
          <w:color w:val="auto"/>
        </w:rPr>
      </w:pPr>
    </w:p>
    <w:p>
      <w:pPr>
        <w:ind w:right="120" w:firstLine="419"/>
        <w:spacing w:after="0" w:line="254" w:lineRule="auto"/>
        <w:rPr>
          <w:sz w:val="20"/>
          <w:szCs w:val="20"/>
          <w:color w:val="auto"/>
        </w:rPr>
      </w:pPr>
      <w:r>
        <w:rPr>
          <w:rFonts w:ascii="Arial" w:cs="Arial" w:eastAsia="Arial" w:hAnsi="Arial"/>
          <w:sz w:val="17"/>
          <w:szCs w:val="17"/>
          <w:color w:val="auto"/>
        </w:rPr>
        <w:t>To the extent that we sell assets at a gain and cannot efficiently use the proceeds in a tax deferred manner for either our development activities or attractive acquisitions, BXP would, at the appropriate time, decide whether it is better to declare a special dividend, adopt a stock repurchase program, reduce indebtedness or retain the cash for future investment opportunities. Such a decision will depend on many factors including, among others, the timing, availability and terms of development and acquisition opportunities, our then-current and anticipated leverage, the cost and availability of capital from other sources, the price of BXP’s common stock and REIT distribution requirements. At a minimum, we expect that BXP would distribute at least that amount of proceeds necessary for BXP to avoid paying corporate level tax on the applicable gains realized from any asset sales.</w:t>
      </w:r>
    </w:p>
    <w:p>
      <w:pPr>
        <w:spacing w:after="0" w:line="126" w:lineRule="exact"/>
        <w:rPr>
          <w:sz w:val="20"/>
          <w:szCs w:val="20"/>
          <w:color w:val="auto"/>
        </w:rPr>
      </w:pPr>
    </w:p>
    <w:p>
      <w:pPr>
        <w:ind w:right="260" w:firstLine="419"/>
        <w:spacing w:after="0" w:line="315" w:lineRule="auto"/>
        <w:rPr>
          <w:sz w:val="20"/>
          <w:szCs w:val="20"/>
          <w:color w:val="auto"/>
        </w:rPr>
      </w:pPr>
      <w:r>
        <w:rPr>
          <w:rFonts w:ascii="Arial" w:cs="Arial" w:eastAsia="Arial" w:hAnsi="Arial"/>
          <w:sz w:val="16"/>
          <w:szCs w:val="16"/>
          <w:color w:val="auto"/>
        </w:rPr>
        <w:t>From time to time in select cases, whether due to a change in use, structuring issues to comply with applicable REIT regulations or other reasons, we may sell an asset that is held by a taxable REIT subsidiary (“TRS”). Such a sale by a TRS would be subject to federal and local taxes.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Cash Flow Summary</w:t>
      </w:r>
    </w:p>
    <w:p>
      <w:pPr>
        <w:spacing w:after="0" w:line="96" w:lineRule="exact"/>
        <w:rPr>
          <w:sz w:val="20"/>
          <w:szCs w:val="20"/>
          <w:color w:val="auto"/>
        </w:rPr>
      </w:pPr>
    </w:p>
    <w:p>
      <w:pPr>
        <w:ind w:right="420" w:firstLine="419"/>
        <w:spacing w:after="0" w:line="283" w:lineRule="auto"/>
        <w:rPr>
          <w:sz w:val="20"/>
          <w:szCs w:val="20"/>
          <w:color w:val="auto"/>
        </w:rPr>
      </w:pPr>
      <w:r>
        <w:rPr>
          <w:rFonts w:ascii="Arial" w:cs="Arial" w:eastAsia="Arial" w:hAnsi="Arial"/>
          <w:sz w:val="17"/>
          <w:szCs w:val="17"/>
          <w:color w:val="auto"/>
        </w:rPr>
        <w:t>The following summary discussion of our cash flows is based on the Consolidated Statements of Cash Flows and is not meant to be an all-inclusive discussion of the changes in our cash flows for the periods presented below.</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419"/>
        <w:spacing w:after="0" w:line="283" w:lineRule="auto"/>
        <w:rPr>
          <w:sz w:val="20"/>
          <w:szCs w:val="20"/>
          <w:color w:val="auto"/>
        </w:rPr>
      </w:pPr>
      <w:r>
        <w:rPr>
          <w:rFonts w:ascii="Arial" w:cs="Arial" w:eastAsia="Arial" w:hAnsi="Arial"/>
          <w:sz w:val="17"/>
          <w:szCs w:val="17"/>
          <w:color w:val="auto"/>
        </w:rPr>
        <w:t>Cash and cash equivalents and cash held in escrows aggregated approximately $448.9 million and $1.1 billion at September 30, 2022 and 2021, respectively, representing a decrease of approximately $633.0 million. The following table sets forth changes in cash flows: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center"/>
              <w:ind w:left="659"/>
              <w:spacing w:after="0"/>
              <w:rPr>
                <w:sz w:val="20"/>
                <w:szCs w:val="20"/>
                <w:color w:val="auto"/>
              </w:rPr>
            </w:pPr>
            <w:r>
              <w:rPr>
                <w:rFonts w:ascii="Arial" w:cs="Arial" w:eastAsia="Arial" w:hAnsi="Arial"/>
                <w:sz w:val="15"/>
                <w:szCs w:val="15"/>
                <w:b w:val="1"/>
                <w:bCs w:val="1"/>
                <w:color w:val="auto"/>
              </w:rPr>
              <w:t>Nine months ended September 30,</w:t>
            </w:r>
          </w:p>
        </w:tc>
        <w:tc>
          <w:tcPr>
            <w:tcW w:w="1100" w:type="dxa"/>
            <w:vAlign w:val="bottom"/>
            <w:tcBorders>
              <w:bottom w:val="single" w:sz="8" w:color="auto"/>
            </w:tcBorders>
          </w:tcPr>
          <w:p>
            <w:pPr>
              <w:spacing w:after="0"/>
              <w:rPr>
                <w:sz w:val="17"/>
                <w:szCs w:val="17"/>
                <w:color w:val="auto"/>
              </w:rPr>
            </w:pPr>
          </w:p>
        </w:tc>
      </w:tr>
      <w:tr>
        <w:trPr>
          <w:trHeight w:val="373"/>
        </w:trPr>
        <w:tc>
          <w:tcPr>
            <w:tcW w:w="63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5"/>
                <w:szCs w:val="15"/>
                <w:b w:val="1"/>
                <w:bCs w:val="1"/>
                <w:color w:val="auto"/>
              </w:rPr>
              <w:t>2022</w:t>
            </w: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60"/>
              <w:spacing w:after="0"/>
              <w:rPr>
                <w:sz w:val="20"/>
                <w:szCs w:val="20"/>
                <w:color w:val="auto"/>
              </w:rPr>
            </w:pPr>
            <w:r>
              <w:rPr>
                <w:rFonts w:ascii="Arial" w:cs="Arial" w:eastAsia="Arial" w:hAnsi="Arial"/>
                <w:sz w:val="15"/>
                <w:szCs w:val="15"/>
                <w:b w:val="1"/>
                <w:bCs w:val="1"/>
                <w:color w:val="auto"/>
              </w:rPr>
              <w:t>2021</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Change</w:t>
            </w:r>
          </w:p>
        </w:tc>
      </w:tr>
      <w:tr>
        <w:trPr>
          <w:trHeight w:val="183"/>
        </w:trPr>
        <w:tc>
          <w:tcPr>
            <w:tcW w:w="6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160"/>
              <w:spacing w:after="0"/>
              <w:rPr>
                <w:sz w:val="20"/>
                <w:szCs w:val="20"/>
                <w:color w:val="auto"/>
              </w:rPr>
            </w:pPr>
            <w:r>
              <w:rPr>
                <w:rFonts w:ascii="Arial" w:cs="Arial" w:eastAsia="Arial" w:hAnsi="Arial"/>
                <w:sz w:val="14"/>
                <w:szCs w:val="14"/>
                <w:b w:val="1"/>
                <w:bCs w:val="1"/>
                <w:color w:val="auto"/>
                <w:w w:val="97"/>
              </w:rPr>
              <w:t>(in thousands)</w:t>
            </w: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912,403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center"/>
              <w:ind w:left="460"/>
              <w:spacing w:after="0"/>
              <w:rPr>
                <w:sz w:val="20"/>
                <w:szCs w:val="20"/>
                <w:color w:val="auto"/>
              </w:rPr>
            </w:pPr>
            <w:r>
              <w:rPr>
                <w:rFonts w:ascii="Arial" w:cs="Arial" w:eastAsia="Arial" w:hAnsi="Arial"/>
                <w:sz w:val="17"/>
                <w:szCs w:val="17"/>
                <w:color w:val="auto"/>
                <w:w w:val="97"/>
              </w:rPr>
              <w:t>786,859</w:t>
            </w:r>
          </w:p>
        </w:tc>
        <w:tc>
          <w:tcPr>
            <w:tcW w:w="50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center"/>
              <w:ind w:left="258"/>
              <w:spacing w:after="0"/>
              <w:rPr>
                <w:sz w:val="20"/>
                <w:szCs w:val="20"/>
                <w:color w:val="auto"/>
              </w:rPr>
            </w:pPr>
            <w:r>
              <w:rPr>
                <w:rFonts w:ascii="Arial" w:cs="Arial" w:eastAsia="Arial" w:hAnsi="Arial"/>
                <w:sz w:val="17"/>
                <w:szCs w:val="17"/>
                <w:color w:val="auto"/>
                <w:w w:val="97"/>
              </w:rPr>
              <w:t>125,544</w:t>
            </w:r>
          </w:p>
        </w:tc>
      </w:tr>
      <w:tr>
        <w:trPr>
          <w:trHeight w:val="216"/>
        </w:trPr>
        <w:tc>
          <w:tcPr>
            <w:tcW w:w="638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(1,313,220)</w:t>
            </w:r>
          </w:p>
        </w:tc>
        <w:tc>
          <w:tcPr>
            <w:tcW w:w="260" w:type="dxa"/>
            <w:vAlign w:val="bottom"/>
          </w:tcPr>
          <w:p>
            <w:pPr>
              <w:spacing w:after="0"/>
              <w:rPr>
                <w:sz w:val="18"/>
                <w:szCs w:val="18"/>
                <w:color w:val="auto"/>
              </w:rPr>
            </w:pPr>
          </w:p>
        </w:tc>
        <w:tc>
          <w:tcPr>
            <w:tcW w:w="1380" w:type="dxa"/>
            <w:vAlign w:val="bottom"/>
          </w:tcPr>
          <w:p>
            <w:pPr>
              <w:jc w:val="center"/>
              <w:ind w:left="440"/>
              <w:spacing w:after="0"/>
              <w:rPr>
                <w:sz w:val="20"/>
                <w:szCs w:val="20"/>
                <w:color w:val="auto"/>
              </w:rPr>
            </w:pPr>
            <w:r>
              <w:rPr>
                <w:rFonts w:ascii="Arial" w:cs="Arial" w:eastAsia="Arial" w:hAnsi="Arial"/>
                <w:sz w:val="17"/>
                <w:szCs w:val="17"/>
                <w:color w:val="auto"/>
              </w:rPr>
              <w:t>(998,368)</w:t>
            </w:r>
          </w:p>
        </w:tc>
        <w:tc>
          <w:tcPr>
            <w:tcW w:w="500" w:type="dxa"/>
            <w:vAlign w:val="bottom"/>
          </w:tcPr>
          <w:p>
            <w:pPr>
              <w:spacing w:after="0"/>
              <w:rPr>
                <w:sz w:val="18"/>
                <w:szCs w:val="18"/>
                <w:color w:val="auto"/>
              </w:rPr>
            </w:pPr>
          </w:p>
        </w:tc>
        <w:tc>
          <w:tcPr>
            <w:tcW w:w="1100" w:type="dxa"/>
            <w:vAlign w:val="bottom"/>
          </w:tcPr>
          <w:p>
            <w:pPr>
              <w:jc w:val="center"/>
              <w:ind w:left="238"/>
              <w:spacing w:after="0"/>
              <w:rPr>
                <w:sz w:val="20"/>
                <w:szCs w:val="20"/>
                <w:color w:val="auto"/>
              </w:rPr>
            </w:pPr>
            <w:r>
              <w:rPr>
                <w:rFonts w:ascii="Arial" w:cs="Arial" w:eastAsia="Arial" w:hAnsi="Arial"/>
                <w:sz w:val="17"/>
                <w:szCs w:val="17"/>
                <w:color w:val="auto"/>
              </w:rPr>
              <w:t>(314,852)</w:t>
            </w: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348,545</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left="440"/>
              <w:spacing w:after="0"/>
              <w:rPr>
                <w:sz w:val="20"/>
                <w:szCs w:val="20"/>
                <w:color w:val="auto"/>
              </w:rPr>
            </w:pPr>
            <w:r>
              <w:rPr>
                <w:rFonts w:ascii="Arial" w:cs="Arial" w:eastAsia="Arial" w:hAnsi="Arial"/>
                <w:sz w:val="17"/>
                <w:szCs w:val="17"/>
                <w:color w:val="auto"/>
              </w:rPr>
              <w:t>(425,899)</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258"/>
              <w:spacing w:after="0"/>
              <w:rPr>
                <w:sz w:val="20"/>
                <w:szCs w:val="20"/>
                <w:color w:val="auto"/>
              </w:rPr>
            </w:pPr>
            <w:r>
              <w:rPr>
                <w:rFonts w:ascii="Arial" w:cs="Arial" w:eastAsia="Arial" w:hAnsi="Arial"/>
                <w:sz w:val="17"/>
                <w:szCs w:val="17"/>
                <w:color w:val="auto"/>
                <w:w w:val="97"/>
              </w:rPr>
              <w:t>774,444</w:t>
            </w:r>
          </w:p>
        </w:tc>
      </w:tr>
    </w:tbl>
    <w:p>
      <w:pPr>
        <w:spacing w:after="0" w:line="300" w:lineRule="exact"/>
        <w:rPr>
          <w:sz w:val="20"/>
          <w:szCs w:val="20"/>
          <w:color w:val="auto"/>
        </w:rPr>
      </w:pPr>
    </w:p>
    <w:p>
      <w:pPr>
        <w:ind w:right="20" w:firstLine="419"/>
        <w:spacing w:after="0" w:line="257" w:lineRule="auto"/>
        <w:rPr>
          <w:sz w:val="20"/>
          <w:szCs w:val="20"/>
          <w:color w:val="auto"/>
        </w:rPr>
      </w:pPr>
      <w:r>
        <w:rPr>
          <w:rFonts w:ascii="Arial" w:cs="Arial" w:eastAsia="Arial" w:hAnsi="Arial"/>
          <w:sz w:val="17"/>
          <w:szCs w:val="17"/>
          <w:color w:val="auto"/>
        </w:rPr>
        <w:t>Our principal source of cash flow is related to the operation of our properties. The weighted-average term of our in-place leases, including leases signed by our unconsolidated joint ventures, excluding residential units, was approximately 7.8 years as of September 30, 2022, with occupancy rates historically in the range of 88% to 94%. Generally, our properties generate a relatively consistent stream of cash flow that provides us with resources to pay operating expenses, debt service and fund regular quarterly dividend and distribution payment requirements. In addition, over the past several years, we have raised capital through the sale of some of our properties and through secured and unsecured borrowings.</w:t>
      </w:r>
    </w:p>
    <w:p>
      <w:pPr>
        <w:spacing w:after="0" w:line="121" w:lineRule="exact"/>
        <w:rPr>
          <w:sz w:val="20"/>
          <w:szCs w:val="20"/>
          <w:color w:val="auto"/>
        </w:rPr>
      </w:pPr>
    </w:p>
    <w:p>
      <w:pPr>
        <w:ind w:right="160" w:firstLine="419"/>
        <w:spacing w:after="0" w:line="260" w:lineRule="auto"/>
        <w:rPr>
          <w:sz w:val="20"/>
          <w:szCs w:val="20"/>
          <w:color w:val="auto"/>
        </w:rPr>
      </w:pPr>
      <w:r>
        <w:rPr>
          <w:rFonts w:ascii="Arial" w:cs="Arial" w:eastAsia="Arial" w:hAnsi="Arial"/>
          <w:sz w:val="17"/>
          <w:szCs w:val="17"/>
          <w:color w:val="auto"/>
        </w:rPr>
        <w:t>Cash is used in investing activities to fund acquisitions, development, net investments in unconsolidated joint ventures and maintenance and repositioning capital expenditures. We selectively invest in new projects that enable us to take advantage of our development, leasing, financing and property management skills and invest in existing buildings to enhance or maintain our market position. Cash used in investing activities for the nine months ended September 30, 2022 and September 30, 2021 is detailed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364"/>
              <w:spacing w:after="0"/>
              <w:rPr>
                <w:sz w:val="20"/>
                <w:szCs w:val="20"/>
                <w:color w:val="auto"/>
              </w:rPr>
            </w:pPr>
            <w:r>
              <w:rPr>
                <w:rFonts w:ascii="Arial" w:cs="Arial" w:eastAsia="Arial" w:hAnsi="Arial"/>
                <w:sz w:val="15"/>
                <w:szCs w:val="15"/>
                <w:b w:val="1"/>
                <w:bCs w:val="1"/>
                <w:color w:val="auto"/>
              </w:rPr>
              <w:t>Nine months ended September 30,</w:t>
            </w:r>
          </w:p>
        </w:tc>
      </w:tr>
      <w:tr>
        <w:trPr>
          <w:trHeight w:val="196"/>
        </w:trPr>
        <w:tc>
          <w:tcPr>
            <w:tcW w:w="7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2022</w:t>
            </w: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r>
      <w:tr>
        <w:trPr>
          <w:trHeight w:val="196"/>
        </w:trPr>
        <w:tc>
          <w:tcPr>
            <w:tcW w:w="7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gridSpan w:val="3"/>
          </w:tcPr>
          <w:p>
            <w:pPr>
              <w:jc w:val="right"/>
              <w:ind w:right="24"/>
              <w:spacing w:after="0"/>
              <w:rPr>
                <w:sz w:val="20"/>
                <w:szCs w:val="20"/>
                <w:color w:val="auto"/>
              </w:rPr>
            </w:pPr>
            <w:r>
              <w:rPr>
                <w:rFonts w:ascii="Arial" w:cs="Arial" w:eastAsia="Arial" w:hAnsi="Arial"/>
                <w:sz w:val="15"/>
                <w:szCs w:val="15"/>
                <w:b w:val="1"/>
                <w:bCs w:val="1"/>
                <w:color w:val="auto"/>
              </w:rPr>
              <w:t>(in thousands)</w:t>
            </w:r>
          </w:p>
        </w:tc>
        <w:tc>
          <w:tcPr>
            <w:tcW w:w="1060" w:type="dxa"/>
            <w:vAlign w:val="bottom"/>
          </w:tcPr>
          <w:p>
            <w:pPr>
              <w:spacing w:after="0"/>
              <w:rPr>
                <w:sz w:val="17"/>
                <w:szCs w:val="17"/>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Acquisitions of real estate (1)</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(1,320,273)</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(218,679)</w:t>
            </w:r>
          </w:p>
        </w:tc>
      </w:tr>
      <w:tr>
        <w:trPr>
          <w:trHeight w:val="202"/>
        </w:trPr>
        <w:tc>
          <w:tcPr>
            <w:tcW w:w="7840" w:type="dxa"/>
            <w:vAlign w:val="bottom"/>
          </w:tcPr>
          <w:p>
            <w:pPr>
              <w:ind w:left="20"/>
              <w:spacing w:after="0"/>
              <w:rPr>
                <w:sz w:val="20"/>
                <w:szCs w:val="20"/>
                <w:color w:val="auto"/>
              </w:rPr>
            </w:pPr>
            <w:r>
              <w:rPr>
                <w:rFonts w:ascii="Arial" w:cs="Arial" w:eastAsia="Arial" w:hAnsi="Arial"/>
                <w:sz w:val="15"/>
                <w:szCs w:val="15"/>
                <w:color w:val="auto"/>
              </w:rPr>
              <w:t>Construction in progress (2)</w:t>
            </w: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(384,083)</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(381,104)</w:t>
            </w:r>
          </w:p>
        </w:tc>
      </w:tr>
      <w:tr>
        <w:trPr>
          <w:trHeight w:val="204"/>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Building and other capital improvements</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(112,755)</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(103,840)</w:t>
            </w:r>
          </w:p>
        </w:tc>
      </w:tr>
      <w:tr>
        <w:trPr>
          <w:trHeight w:val="202"/>
        </w:trPr>
        <w:tc>
          <w:tcPr>
            <w:tcW w:w="7840" w:type="dxa"/>
            <w:vAlign w:val="bottom"/>
          </w:tcPr>
          <w:p>
            <w:pPr>
              <w:ind w:left="20"/>
              <w:spacing w:after="0"/>
              <w:rPr>
                <w:sz w:val="20"/>
                <w:szCs w:val="20"/>
                <w:color w:val="auto"/>
              </w:rPr>
            </w:pPr>
            <w:r>
              <w:rPr>
                <w:rFonts w:ascii="Arial" w:cs="Arial" w:eastAsia="Arial" w:hAnsi="Arial"/>
                <w:sz w:val="15"/>
                <w:szCs w:val="15"/>
                <w:color w:val="auto"/>
              </w:rPr>
              <w:t>Tenant improvements</w:t>
            </w: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(139,986)</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(218,878)</w:t>
            </w:r>
          </w:p>
        </w:tc>
      </w:tr>
      <w:tr>
        <w:trPr>
          <w:trHeight w:val="204"/>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the sales of real estate (3)</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695,231</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7840" w:type="dxa"/>
            <w:vAlign w:val="bottom"/>
          </w:tcPr>
          <w:p>
            <w:pPr>
              <w:ind w:left="20"/>
              <w:spacing w:after="0"/>
              <w:rPr>
                <w:sz w:val="20"/>
                <w:szCs w:val="20"/>
                <w:color w:val="auto"/>
              </w:rPr>
            </w:pPr>
            <w:r>
              <w:rPr>
                <w:rFonts w:ascii="Arial" w:cs="Arial" w:eastAsia="Arial" w:hAnsi="Arial"/>
                <w:sz w:val="15"/>
                <w:szCs w:val="15"/>
                <w:color w:val="auto"/>
              </w:rPr>
              <w:t>Proceeds from assignment fee (4)</w:t>
            </w: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6,624</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4"/>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Capital contributions to unconsolidated joint ventures (5)</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(109,643)</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(95,462)</w:t>
            </w:r>
          </w:p>
        </w:tc>
      </w:tr>
      <w:tr>
        <w:trPr>
          <w:trHeight w:val="202"/>
        </w:trPr>
        <w:tc>
          <w:tcPr>
            <w:tcW w:w="7840" w:type="dxa"/>
            <w:vAlign w:val="bottom"/>
          </w:tcPr>
          <w:p>
            <w:pPr>
              <w:ind w:left="20"/>
              <w:spacing w:after="0"/>
              <w:rPr>
                <w:sz w:val="20"/>
                <w:szCs w:val="20"/>
                <w:color w:val="auto"/>
              </w:rPr>
            </w:pPr>
            <w:r>
              <w:rPr>
                <w:rFonts w:ascii="Arial" w:cs="Arial" w:eastAsia="Arial" w:hAnsi="Arial"/>
                <w:sz w:val="15"/>
                <w:szCs w:val="15"/>
                <w:color w:val="auto"/>
              </w:rPr>
              <w:t>Capital distributions from unconsolidated joint ventures (6)</w:t>
            </w: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36,622</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122</w:t>
            </w:r>
          </w:p>
        </w:tc>
      </w:tr>
      <w:tr>
        <w:trPr>
          <w:trHeight w:val="204"/>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sale of investment in unconsolidated joint venture (7)</w:t>
            </w:r>
          </w:p>
        </w:tc>
        <w:tc>
          <w:tcPr>
            <w:tcW w:w="2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17,789</w:t>
            </w:r>
          </w:p>
        </w:tc>
      </w:tr>
      <w:tr>
        <w:trPr>
          <w:trHeight w:val="202"/>
        </w:trPr>
        <w:tc>
          <w:tcPr>
            <w:tcW w:w="7840" w:type="dxa"/>
            <w:vAlign w:val="bottom"/>
          </w:tcPr>
          <w:p>
            <w:pPr>
              <w:ind w:left="20"/>
              <w:spacing w:after="0"/>
              <w:rPr>
                <w:sz w:val="20"/>
                <w:szCs w:val="20"/>
                <w:color w:val="auto"/>
              </w:rPr>
            </w:pPr>
            <w:r>
              <w:rPr>
                <w:rFonts w:ascii="Arial" w:cs="Arial" w:eastAsia="Arial" w:hAnsi="Arial"/>
                <w:sz w:val="15"/>
                <w:szCs w:val="15"/>
                <w:color w:val="auto"/>
              </w:rPr>
              <w:t>Proceeds from note receivable (8)</w:t>
            </w: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10,000</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4"/>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Investments in securities, net</w:t>
            </w:r>
          </w:p>
        </w:tc>
        <w:tc>
          <w:tcPr>
            <w:tcW w:w="2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5,043</w:t>
            </w:r>
          </w:p>
        </w:tc>
        <w:tc>
          <w:tcPr>
            <w:tcW w:w="2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1,684</w:t>
            </w:r>
          </w:p>
        </w:tc>
      </w:tr>
      <w:tr>
        <w:trPr>
          <w:trHeight w:val="194"/>
        </w:trPr>
        <w:tc>
          <w:tcPr>
            <w:tcW w:w="784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(1,313,220)</w:t>
            </w:r>
          </w:p>
        </w:tc>
        <w:tc>
          <w:tcPr>
            <w:tcW w:w="200" w:type="dxa"/>
            <w:vAlign w:val="bottom"/>
          </w:tcPr>
          <w:p>
            <w:pPr>
              <w:spacing w:after="0"/>
              <w:rPr>
                <w:sz w:val="16"/>
                <w:szCs w:val="16"/>
                <w:color w:val="auto"/>
              </w:rPr>
            </w:pPr>
          </w:p>
        </w:tc>
        <w:tc>
          <w:tcPr>
            <w:tcW w:w="5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(998,368)</w:t>
            </w:r>
          </w:p>
        </w:tc>
      </w:tr>
      <w:tr>
        <w:trPr>
          <w:trHeight w:val="20"/>
        </w:trPr>
        <w:tc>
          <w:tcPr>
            <w:tcW w:w="7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Cash used in investing activities changed primarily due to the following:</w:t>
      </w:r>
    </w:p>
    <w:p>
      <w:pPr>
        <w:spacing w:after="0" w:line="160" w:lineRule="exact"/>
        <w:rPr>
          <w:sz w:val="20"/>
          <w:szCs w:val="20"/>
          <w:color w:val="auto"/>
        </w:rPr>
      </w:pPr>
    </w:p>
    <w:p>
      <w:pPr>
        <w:ind w:left="620" w:right="280" w:hanging="314"/>
        <w:spacing w:after="0" w:line="266" w:lineRule="auto"/>
        <w:tabs>
          <w:tab w:leader="none" w:pos="611" w:val="left"/>
        </w:tabs>
        <w:numPr>
          <w:ilvl w:val="0"/>
          <w:numId w:val="57"/>
        </w:numPr>
        <w:rPr>
          <w:rFonts w:ascii="Arial" w:cs="Arial" w:eastAsia="Arial" w:hAnsi="Arial"/>
          <w:sz w:val="17"/>
          <w:szCs w:val="17"/>
          <w:color w:val="auto"/>
        </w:rPr>
      </w:pPr>
      <w:r>
        <w:rPr>
          <w:rFonts w:ascii="Arial" w:cs="Arial" w:eastAsia="Arial" w:hAnsi="Arial"/>
          <w:sz w:val="17"/>
          <w:szCs w:val="17"/>
          <w:color w:val="auto"/>
        </w:rPr>
        <w:t>On September 16, 2022, we acquired 125 Broadway in Cambridge, Massachusetts for a net purchase price, including transaction costs, of approximately $592.4 million. The acquisition was completed with available cash and borrowings under BPLP’s Revolving Facility. 125 Broadway is a 271,000 net rentable square foot, six-story, laboratory/life sciences property.</w:t>
      </w:r>
    </w:p>
    <w:p>
      <w:pPr>
        <w:spacing w:after="0" w:line="112" w:lineRule="exact"/>
        <w:rPr>
          <w:sz w:val="20"/>
          <w:szCs w:val="20"/>
          <w:color w:val="auto"/>
        </w:rPr>
      </w:pPr>
    </w:p>
    <w:p>
      <w:pPr>
        <w:ind w:left="620" w:right="360"/>
        <w:spacing w:after="0" w:line="266" w:lineRule="auto"/>
        <w:rPr>
          <w:sz w:val="20"/>
          <w:szCs w:val="20"/>
          <w:color w:val="auto"/>
        </w:rPr>
      </w:pPr>
      <w:r>
        <w:rPr>
          <w:rFonts w:ascii="Arial" w:cs="Arial" w:eastAsia="Arial" w:hAnsi="Arial"/>
          <w:sz w:val="17"/>
          <w:szCs w:val="17"/>
          <w:color w:val="auto"/>
        </w:rPr>
        <w:t>On May 17, 2022, we completed the acquisition of Madison Centre in Seattle, Washington, for an aggregate purchase price, including transaction costs, of approximately $724.3 million. Madison Centre is an approximately 755,000 net rentable square foot, 37-story, LEED-Platinum certified, premier workplace.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20" w:right="160"/>
        <w:spacing w:after="0" w:line="266" w:lineRule="auto"/>
        <w:rPr>
          <w:sz w:val="20"/>
          <w:szCs w:val="20"/>
          <w:color w:val="auto"/>
        </w:rPr>
      </w:pPr>
      <w:r>
        <w:rPr>
          <w:rFonts w:ascii="Arial" w:cs="Arial" w:eastAsia="Arial" w:hAnsi="Arial"/>
          <w:sz w:val="17"/>
          <w:szCs w:val="17"/>
          <w:color w:val="auto"/>
        </w:rPr>
        <w:t>On August 2, 2021, we acquired Shady Grove Bio+Tech Campus in Rockville, Maryland, for a purchase price, including transaction costs, of approximately $118.5 million in cash. Shady Grove Bio+Tech Campus is an approximately 435,000 net rentable square foot, seven-building office park situated on an approximately 31-acre site.</w:t>
      </w:r>
    </w:p>
    <w:p>
      <w:pPr>
        <w:spacing w:after="0" w:line="112" w:lineRule="exact"/>
        <w:rPr>
          <w:sz w:val="20"/>
          <w:szCs w:val="20"/>
          <w:color w:val="auto"/>
        </w:rPr>
      </w:pPr>
    </w:p>
    <w:p>
      <w:pPr>
        <w:jc w:val="both"/>
        <w:ind w:left="620" w:right="420"/>
        <w:spacing w:after="0" w:line="266" w:lineRule="auto"/>
        <w:rPr>
          <w:sz w:val="20"/>
          <w:szCs w:val="20"/>
          <w:color w:val="auto"/>
        </w:rPr>
      </w:pPr>
      <w:r>
        <w:rPr>
          <w:rFonts w:ascii="Arial" w:cs="Arial" w:eastAsia="Arial" w:hAnsi="Arial"/>
          <w:sz w:val="17"/>
          <w:szCs w:val="17"/>
          <w:color w:val="auto"/>
        </w:rPr>
        <w:t>On June 2, 2021, we acquired 153 &amp; 211 Second Avenue located in Waltham, Massachusetts for a purchase price of approximately $100.2 million in cash. 153 &amp; 211 Second Avenue consists of two life sciences lab buildings totaling approximately 137,000 net rentable square feet.</w:t>
      </w:r>
    </w:p>
    <w:p>
      <w:pPr>
        <w:spacing w:after="0" w:line="112" w:lineRule="exact"/>
        <w:rPr>
          <w:sz w:val="20"/>
          <w:szCs w:val="20"/>
          <w:color w:val="auto"/>
        </w:rPr>
      </w:pPr>
    </w:p>
    <w:p>
      <w:pPr>
        <w:ind w:left="620" w:right="40" w:hanging="314"/>
        <w:spacing w:after="0" w:line="257" w:lineRule="auto"/>
        <w:tabs>
          <w:tab w:leader="none" w:pos="611"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Construction in progress for the nine months ended September 30, 2022 included ongoing expenditures associated with Reston Next, 2100 Pennsylvania Avenue and 880 Winter Street, each of which are partially placed in-service, and 325 Main Street, which was completed and fully placed in-service during the nine months ended September 30, 2022. In addition, we incurred costs associated with our continued development/redevelopment of 180 CityPoint, View Boston Observatory at The Prudential Center, 103 CityPoint, Reston Next Office Phase II, 140 Kendrick Street Building A and 760 Boylston Street.</w:t>
      </w:r>
    </w:p>
    <w:p>
      <w:pPr>
        <w:spacing w:after="0" w:line="121" w:lineRule="exact"/>
        <w:rPr>
          <w:rFonts w:ascii="Arial" w:cs="Arial" w:eastAsia="Arial" w:hAnsi="Arial"/>
          <w:sz w:val="17"/>
          <w:szCs w:val="17"/>
          <w:color w:val="auto"/>
        </w:rPr>
      </w:pPr>
    </w:p>
    <w:p>
      <w:pPr>
        <w:ind w:left="620" w:right="140"/>
        <w:spacing w:after="0" w:line="260" w:lineRule="auto"/>
        <w:rPr>
          <w:rFonts w:ascii="Arial" w:cs="Arial" w:eastAsia="Arial" w:hAnsi="Arial"/>
          <w:sz w:val="17"/>
          <w:szCs w:val="17"/>
          <w:color w:val="auto"/>
        </w:rPr>
      </w:pPr>
      <w:r>
        <w:rPr>
          <w:rFonts w:ascii="Arial" w:cs="Arial" w:eastAsia="Arial" w:hAnsi="Arial"/>
          <w:sz w:val="17"/>
          <w:szCs w:val="17"/>
          <w:color w:val="auto"/>
        </w:rPr>
        <w:t>Construction in progress for the nine months ended September 30, 2021 included ongoing expenditures associated with One Five Nine East 53rd Street, which was completed and fully placed in-service during the nine months ended September 30, 2021. In addition, we incurred costs associated with our continued development/redevelopment of 200 West Street, 325 Main Street, 2100 Pennsylvania Avenue, Reston Next, 180 CityPoint, View Boston Observatory at The Prudential Center and 880 Winter Street.</w:t>
      </w:r>
    </w:p>
    <w:p>
      <w:pPr>
        <w:spacing w:after="0" w:line="117" w:lineRule="exact"/>
        <w:rPr>
          <w:rFonts w:ascii="Arial" w:cs="Arial" w:eastAsia="Arial" w:hAnsi="Arial"/>
          <w:sz w:val="17"/>
          <w:szCs w:val="17"/>
          <w:color w:val="auto"/>
        </w:rPr>
      </w:pPr>
    </w:p>
    <w:p>
      <w:pPr>
        <w:ind w:left="620" w:right="20" w:hanging="314"/>
        <w:spacing w:after="0" w:line="260" w:lineRule="auto"/>
        <w:tabs>
          <w:tab w:leader="none" w:pos="611" w:val="left"/>
        </w:tabs>
        <w:numPr>
          <w:ilvl w:val="0"/>
          <w:numId w:val="58"/>
        </w:numPr>
        <w:rPr>
          <w:rFonts w:ascii="Arial" w:cs="Arial" w:eastAsia="Arial" w:hAnsi="Arial"/>
          <w:sz w:val="17"/>
          <w:szCs w:val="17"/>
          <w:color w:val="auto"/>
        </w:rPr>
      </w:pPr>
      <w:r>
        <w:rPr>
          <w:rFonts w:ascii="Arial" w:cs="Arial" w:eastAsia="Arial" w:hAnsi="Arial"/>
          <w:sz w:val="17"/>
          <w:szCs w:val="17"/>
          <w:color w:val="auto"/>
        </w:rPr>
        <w:t>On August 30, 2022, we completed the sale of 601 Massachusetts Avenue located in Washington, DC for a gross sale price of $531.0 million. Net cash proceeds totaled approximately $512.3 million, resulting in a gain on sale of real estate totaling approximately $237.4 million for BXP and approximately $237.5 million for BPLP. 601 Massachusetts Avenue is an approximately 479,000 net rentable square foot premier workplace.</w:t>
      </w:r>
    </w:p>
    <w:p>
      <w:pPr>
        <w:spacing w:after="0" w:line="117" w:lineRule="exact"/>
        <w:rPr>
          <w:rFonts w:ascii="Arial" w:cs="Arial" w:eastAsia="Arial" w:hAnsi="Arial"/>
          <w:sz w:val="17"/>
          <w:szCs w:val="17"/>
          <w:color w:val="auto"/>
        </w:rPr>
      </w:pPr>
    </w:p>
    <w:p>
      <w:pPr>
        <w:ind w:left="620" w:right="800"/>
        <w:spacing w:after="0" w:line="266" w:lineRule="auto"/>
        <w:rPr>
          <w:rFonts w:ascii="Arial" w:cs="Arial" w:eastAsia="Arial" w:hAnsi="Arial"/>
          <w:sz w:val="17"/>
          <w:szCs w:val="17"/>
          <w:color w:val="auto"/>
        </w:rPr>
      </w:pPr>
      <w:r>
        <w:rPr>
          <w:rFonts w:ascii="Arial" w:cs="Arial" w:eastAsia="Arial" w:hAnsi="Arial"/>
          <w:sz w:val="17"/>
          <w:szCs w:val="17"/>
          <w:color w:val="auto"/>
        </w:rPr>
        <w:t>On September 15, 2022, we completed the sale of two parcels of land located in Loudoun County, Virginia for a gross sale price of $27.0 million. Net cash proceeds totaled approximately $25.6 million, resulting in a gain on sale of real estate totaling approximately $24.4 million for BXP and BPLP.</w:t>
      </w:r>
    </w:p>
    <w:p>
      <w:pPr>
        <w:spacing w:after="0" w:line="111" w:lineRule="exact"/>
        <w:rPr>
          <w:rFonts w:ascii="Arial" w:cs="Arial" w:eastAsia="Arial" w:hAnsi="Arial"/>
          <w:sz w:val="17"/>
          <w:szCs w:val="17"/>
          <w:color w:val="auto"/>
        </w:rPr>
      </w:pPr>
    </w:p>
    <w:p>
      <w:pPr>
        <w:ind w:left="620"/>
        <w:spacing w:after="0" w:line="260" w:lineRule="auto"/>
        <w:rPr>
          <w:rFonts w:ascii="Arial" w:cs="Arial" w:eastAsia="Arial" w:hAnsi="Arial"/>
          <w:sz w:val="17"/>
          <w:szCs w:val="17"/>
          <w:color w:val="auto"/>
        </w:rPr>
      </w:pPr>
      <w:r>
        <w:rPr>
          <w:rFonts w:ascii="Arial" w:cs="Arial" w:eastAsia="Arial" w:hAnsi="Arial"/>
          <w:sz w:val="17"/>
          <w:szCs w:val="17"/>
          <w:color w:val="auto"/>
        </w:rPr>
        <w:t>On June 15, 2022, we completed the sale of our Virginia 95 Office Park properties located in Springfield, Virginia for an aggregate gross sale price of $127.5 million. Net cash proceeds totaled approximately $121.9 million, resulting in a gain on sale of real estate totaling approximately $96.2 million for BXP and approximately $99.5 million for BPLP. Virginia 95 Office Park consists of eleven office/flex properties aggregating approximately 733,000 net rentable square feet.</w:t>
      </w:r>
    </w:p>
    <w:p>
      <w:pPr>
        <w:spacing w:after="0" w:line="117" w:lineRule="exact"/>
        <w:rPr>
          <w:rFonts w:ascii="Arial" w:cs="Arial" w:eastAsia="Arial" w:hAnsi="Arial"/>
          <w:sz w:val="17"/>
          <w:szCs w:val="17"/>
          <w:color w:val="auto"/>
        </w:rPr>
      </w:pPr>
    </w:p>
    <w:p>
      <w:pPr>
        <w:ind w:left="620" w:right="100"/>
        <w:spacing w:after="0" w:line="266" w:lineRule="auto"/>
        <w:rPr>
          <w:rFonts w:ascii="Arial" w:cs="Arial" w:eastAsia="Arial" w:hAnsi="Arial"/>
          <w:sz w:val="17"/>
          <w:szCs w:val="17"/>
          <w:color w:val="auto"/>
        </w:rPr>
      </w:pPr>
      <w:r>
        <w:rPr>
          <w:rFonts w:ascii="Arial" w:cs="Arial" w:eastAsia="Arial" w:hAnsi="Arial"/>
          <w:sz w:val="17"/>
          <w:szCs w:val="17"/>
          <w:color w:val="auto"/>
        </w:rPr>
        <w:t>On March 31, 2022, we completed the sale of 195 West Street located in Waltham, Massachusetts for a gross sale price of $37.7 million. Net cash proceeds totaled approximately $35.4 million, resulting in a gain on sale of real estate totaling approximately $22.7 million for BXP and approximately $23.4 million for BPLP. 195 West Street is an approximately 63,500 net rentable square foot office property.</w:t>
      </w:r>
    </w:p>
    <w:p>
      <w:pPr>
        <w:spacing w:after="0" w:line="111" w:lineRule="exact"/>
        <w:rPr>
          <w:rFonts w:ascii="Arial" w:cs="Arial" w:eastAsia="Arial" w:hAnsi="Arial"/>
          <w:sz w:val="17"/>
          <w:szCs w:val="17"/>
          <w:color w:val="auto"/>
        </w:rPr>
      </w:pPr>
    </w:p>
    <w:p>
      <w:pPr>
        <w:ind w:left="620" w:right="120" w:hanging="314"/>
        <w:spacing w:after="0" w:line="260" w:lineRule="auto"/>
        <w:tabs>
          <w:tab w:leader="none" w:pos="611" w:val="left"/>
        </w:tabs>
        <w:numPr>
          <w:ilvl w:val="0"/>
          <w:numId w:val="58"/>
        </w:numPr>
        <w:rPr>
          <w:rFonts w:ascii="Arial" w:cs="Arial" w:eastAsia="Arial" w:hAnsi="Arial"/>
          <w:sz w:val="17"/>
          <w:szCs w:val="17"/>
          <w:color w:val="auto"/>
        </w:rPr>
      </w:pPr>
      <w:r>
        <w:rPr>
          <w:rFonts w:ascii="Arial" w:cs="Arial" w:eastAsia="Arial" w:hAnsi="Arial"/>
          <w:sz w:val="17"/>
          <w:szCs w:val="17"/>
          <w:color w:val="auto"/>
        </w:rPr>
        <w:t>On April 19, 2021, we entered into an agreement to acquire 11251 Roger Bacon Drive in Reston, Virginia for an aggregate purchase price of approximately $5.6 million. On April 7, 2022, we executed an agreement to assign the right to acquire 11251 Roger Bacon Drive to a third party for an assignment fee of approximately $6.9 million. Net cash proceeds totaled approximately $6.6 million. 11251 Roger Bacon Drive is an approximately 65,000 square foot office building situated on approximately 2.6 acres. The property was 100% leased.</w:t>
      </w:r>
    </w:p>
    <w:p>
      <w:pPr>
        <w:spacing w:after="0" w:line="117" w:lineRule="exact"/>
        <w:rPr>
          <w:rFonts w:ascii="Arial" w:cs="Arial" w:eastAsia="Arial" w:hAnsi="Arial"/>
          <w:sz w:val="17"/>
          <w:szCs w:val="17"/>
          <w:color w:val="auto"/>
        </w:rPr>
      </w:pPr>
    </w:p>
    <w:p>
      <w:pPr>
        <w:ind w:left="620" w:right="40" w:hanging="314"/>
        <w:spacing w:after="0" w:line="266" w:lineRule="auto"/>
        <w:tabs>
          <w:tab w:leader="none" w:pos="611" w:val="left"/>
        </w:tabs>
        <w:numPr>
          <w:ilvl w:val="0"/>
          <w:numId w:val="58"/>
        </w:numPr>
        <w:rPr>
          <w:rFonts w:ascii="Arial" w:cs="Arial" w:eastAsia="Arial" w:hAnsi="Arial"/>
          <w:sz w:val="17"/>
          <w:szCs w:val="17"/>
          <w:color w:val="auto"/>
        </w:rPr>
      </w:pPr>
      <w:r>
        <w:rPr>
          <w:rFonts w:ascii="Arial" w:cs="Arial" w:eastAsia="Arial" w:hAnsi="Arial"/>
          <w:sz w:val="17"/>
          <w:szCs w:val="17"/>
          <w:color w:val="auto"/>
        </w:rPr>
        <w:t>Capital contributions to unconsolidated joint ventures for the nine months ended September 30, 2022 consisted primarily of cash contributions of approximately $44.8 million, $31.6 million and $16.4 million to our Gateway Commons, Platform 16 and 751 Gateway joint ventures, respectively.</w:t>
      </w:r>
    </w:p>
    <w:p>
      <w:pPr>
        <w:spacing w:after="0" w:line="111" w:lineRule="exact"/>
        <w:rPr>
          <w:rFonts w:ascii="Arial" w:cs="Arial" w:eastAsia="Arial" w:hAnsi="Arial"/>
          <w:sz w:val="17"/>
          <w:szCs w:val="17"/>
          <w:color w:val="auto"/>
        </w:rPr>
      </w:pPr>
    </w:p>
    <w:p>
      <w:pPr>
        <w:ind w:left="620" w:right="40"/>
        <w:spacing w:after="0" w:line="266" w:lineRule="auto"/>
        <w:rPr>
          <w:rFonts w:ascii="Arial" w:cs="Arial" w:eastAsia="Arial" w:hAnsi="Arial"/>
          <w:sz w:val="17"/>
          <w:szCs w:val="17"/>
          <w:color w:val="auto"/>
        </w:rPr>
      </w:pPr>
      <w:r>
        <w:rPr>
          <w:rFonts w:ascii="Arial" w:cs="Arial" w:eastAsia="Arial" w:hAnsi="Arial"/>
          <w:sz w:val="17"/>
          <w:szCs w:val="17"/>
          <w:color w:val="auto"/>
        </w:rPr>
        <w:t>Capital contributions to unconsolidated joint ventures for the nine months ended September 30, 2021 consisted primarily of cash contributions of approximately $72.6 million and $11.4 million to our Safeco Plaza and Santa Monica Business Park joint ventures, respectively. On September 1, 2021, we entered into a new joint venture for Safeco Plaza located in Seattle, Washington.</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20" w:right="280" w:hanging="314"/>
        <w:spacing w:after="0" w:line="266" w:lineRule="auto"/>
        <w:tabs>
          <w:tab w:leader="none" w:pos="611" w:val="left"/>
        </w:tabs>
        <w:numPr>
          <w:ilvl w:val="0"/>
          <w:numId w:val="59"/>
        </w:numPr>
        <w:rPr>
          <w:rFonts w:ascii="Arial" w:cs="Arial" w:eastAsia="Arial" w:hAnsi="Arial"/>
          <w:sz w:val="17"/>
          <w:szCs w:val="17"/>
          <w:color w:val="auto"/>
        </w:rPr>
      </w:pPr>
      <w:r>
        <w:rPr>
          <w:rFonts w:ascii="Arial" w:cs="Arial" w:eastAsia="Arial" w:hAnsi="Arial"/>
          <w:sz w:val="17"/>
          <w:szCs w:val="17"/>
          <w:color w:val="auto"/>
        </w:rPr>
        <w:t>Capital distributions from unconsolidated joint ventures for the nine months ended September 30, 2022 consisted primarily of a cash distribution totaling approximately $21.6 million and $11.6 million from our Metropolitan Square and 7750 Wisconsin Avenue joint ventures, respectively.</w:t>
      </w:r>
    </w:p>
    <w:p>
      <w:pPr>
        <w:spacing w:after="0" w:line="111" w:lineRule="exact"/>
        <w:rPr>
          <w:rFonts w:ascii="Arial" w:cs="Arial" w:eastAsia="Arial" w:hAnsi="Arial"/>
          <w:sz w:val="17"/>
          <w:szCs w:val="17"/>
          <w:color w:val="auto"/>
        </w:rPr>
      </w:pPr>
    </w:p>
    <w:p>
      <w:pPr>
        <w:jc w:val="both"/>
        <w:ind w:left="620" w:right="300" w:hanging="314"/>
        <w:spacing w:after="0" w:line="266" w:lineRule="auto"/>
        <w:tabs>
          <w:tab w:leader="none" w:pos="611" w:val="left"/>
        </w:tabs>
        <w:numPr>
          <w:ilvl w:val="0"/>
          <w:numId w:val="59"/>
        </w:numPr>
        <w:rPr>
          <w:rFonts w:ascii="Arial" w:cs="Arial" w:eastAsia="Arial" w:hAnsi="Arial"/>
          <w:sz w:val="17"/>
          <w:szCs w:val="17"/>
          <w:color w:val="auto"/>
        </w:rPr>
      </w:pPr>
      <w:r>
        <w:rPr>
          <w:rFonts w:ascii="Arial" w:cs="Arial" w:eastAsia="Arial" w:hAnsi="Arial"/>
          <w:sz w:val="17"/>
          <w:szCs w:val="17"/>
          <w:color w:val="auto"/>
        </w:rPr>
        <w:t>On March 30, 2021, we completed the sale of our 50% ownership interest in Annapolis Junction NFM LLC to the joint venture partner for a gross sale price of $65.9 million. Net cash proceeds to us totaled approximately $17.8 million after repayment of our share of debt totaling approximately $15.1 million.</w:t>
      </w:r>
    </w:p>
    <w:p>
      <w:pPr>
        <w:spacing w:after="0" w:line="111" w:lineRule="exact"/>
        <w:rPr>
          <w:rFonts w:ascii="Arial" w:cs="Arial" w:eastAsia="Arial" w:hAnsi="Arial"/>
          <w:sz w:val="17"/>
          <w:szCs w:val="17"/>
          <w:color w:val="auto"/>
        </w:rPr>
      </w:pPr>
    </w:p>
    <w:p>
      <w:pPr>
        <w:ind w:left="620" w:right="40" w:hanging="314"/>
        <w:spacing w:after="0" w:line="260" w:lineRule="auto"/>
        <w:tabs>
          <w:tab w:leader="none" w:pos="611"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 affiliate of The Bernstein Companies exercised its option to borrow $10.0 million from us, and we provided the financing on June 1, 2020. The financing bore interest at a fixed rate of 8.00% per annum, compounded monthly, and was scheduled to mature on the fifth anniversary of the date on which the base building of the affiliate of The Bernstein Companies’ hotel property was substantially completed. On June 27, 2022, the borrower repaid the loan in full, including approximately $1.6 million of accrued interest.</w:t>
      </w:r>
    </w:p>
    <w:p>
      <w:pPr>
        <w:spacing w:after="0" w:line="206" w:lineRule="exact"/>
        <w:rPr>
          <w:sz w:val="20"/>
          <w:szCs w:val="20"/>
          <w:color w:val="auto"/>
        </w:rPr>
      </w:pPr>
    </w:p>
    <w:p>
      <w:pPr>
        <w:ind w:firstLine="381"/>
        <w:spacing w:after="0" w:line="260" w:lineRule="auto"/>
        <w:rPr>
          <w:sz w:val="20"/>
          <w:szCs w:val="20"/>
          <w:color w:val="auto"/>
        </w:rPr>
      </w:pPr>
      <w:r>
        <w:rPr>
          <w:rFonts w:ascii="Arial" w:cs="Arial" w:eastAsia="Arial" w:hAnsi="Arial"/>
          <w:sz w:val="17"/>
          <w:szCs w:val="17"/>
          <w:color w:val="auto"/>
        </w:rPr>
        <w:t xml:space="preserve">Cash provided by financing activities for the nine months ended September 30, 2022 totaled approximately $ 348.5 million. This amount consisted primarily of borrowings under BPLP’s Revolving Facility and Unsecured Term Loan partially offset by the payment of our regular dividends and distributions to our shareholders and unitholders and distributions to noncontrolling interests in property partnerships. Future debt payments are discussed below under the heading </w:t>
      </w:r>
      <w:r>
        <w:rPr>
          <w:rFonts w:ascii="Arial" w:cs="Arial" w:eastAsia="Arial" w:hAnsi="Arial"/>
          <w:sz w:val="17"/>
          <w:szCs w:val="17"/>
          <w:i w:val="1"/>
          <w:iCs w:val="1"/>
          <w:color w:val="auto"/>
        </w:rPr>
        <w:t>“Debt Financing</w:t>
      </w:r>
      <w:r>
        <w:rPr>
          <w:rFonts w:ascii="Arial" w:cs="Arial" w:eastAsia="Arial" w:hAnsi="Arial"/>
          <w:sz w:val="17"/>
          <w:szCs w:val="17"/>
          <w:color w:val="auto"/>
        </w:rPr>
        <w:t>.”</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Capitalization</w:t>
      </w:r>
    </w:p>
    <w:p>
      <w:pPr>
        <w:spacing w:after="0" w:line="96" w:lineRule="exact"/>
        <w:rPr>
          <w:sz w:val="20"/>
          <w:szCs w:val="20"/>
          <w:color w:val="auto"/>
        </w:rPr>
      </w:pPr>
    </w:p>
    <w:p>
      <w:pPr>
        <w:ind w:right="20" w:firstLine="419"/>
        <w:spacing w:after="0" w:line="266" w:lineRule="auto"/>
        <w:rPr>
          <w:sz w:val="20"/>
          <w:szCs w:val="20"/>
          <w:color w:val="auto"/>
        </w:rPr>
      </w:pPr>
      <w:r>
        <w:rPr>
          <w:rFonts w:ascii="Arial" w:cs="Arial" w:eastAsia="Arial" w:hAnsi="Arial"/>
          <w:sz w:val="17"/>
          <w:szCs w:val="17"/>
          <w:color w:val="auto"/>
        </w:rPr>
        <w:t>The following table presents Consolidated Market Capitalization and BXP’s Share of Market Capitalization, as well as the corresponding ratios of Consolidated Debt to Consolidated Market Capitalization and BXP’s Share of Debt to BXP’s Share of Market Capitalization (in thousands except for percentages):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September 30, 2022</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5920" w:type="dxa"/>
            <w:vAlign w:val="bottom"/>
          </w:tcPr>
          <w:p>
            <w:pPr>
              <w:spacing w:after="0"/>
              <w:rPr>
                <w:sz w:val="12"/>
                <w:szCs w:val="12"/>
                <w:color w:val="auto"/>
              </w:rPr>
            </w:pPr>
          </w:p>
        </w:tc>
        <w:tc>
          <w:tcPr>
            <w:tcW w:w="1640" w:type="dxa"/>
            <w:vAlign w:val="bottom"/>
            <w:gridSpan w:val="2"/>
          </w:tcPr>
          <w:p>
            <w:pPr>
              <w:jc w:val="center"/>
              <w:ind w:right="200"/>
              <w:spacing w:after="0" w:line="146" w:lineRule="exact"/>
              <w:rPr>
                <w:sz w:val="20"/>
                <w:szCs w:val="20"/>
                <w:color w:val="auto"/>
              </w:rPr>
            </w:pPr>
            <w:r>
              <w:rPr>
                <w:rFonts w:ascii="Arial" w:cs="Arial" w:eastAsia="Arial" w:hAnsi="Arial"/>
                <w:sz w:val="15"/>
                <w:szCs w:val="15"/>
                <w:b w:val="1"/>
                <w:bCs w:val="1"/>
                <w:color w:val="auto"/>
                <w:w w:val="99"/>
              </w:rPr>
              <w:t>Shares / Units</w:t>
            </w:r>
          </w:p>
        </w:tc>
        <w:tc>
          <w:tcPr>
            <w:tcW w:w="1660" w:type="dxa"/>
            <w:vAlign w:val="bottom"/>
            <w:gridSpan w:val="2"/>
          </w:tcPr>
          <w:p>
            <w:pPr>
              <w:jc w:val="center"/>
              <w:ind w:right="200"/>
              <w:spacing w:after="0" w:line="146" w:lineRule="exact"/>
              <w:rPr>
                <w:sz w:val="20"/>
                <w:szCs w:val="20"/>
                <w:color w:val="auto"/>
              </w:rPr>
            </w:pPr>
            <w:r>
              <w:rPr>
                <w:rFonts w:ascii="Arial" w:cs="Arial" w:eastAsia="Arial" w:hAnsi="Arial"/>
                <w:sz w:val="15"/>
                <w:szCs w:val="15"/>
                <w:b w:val="1"/>
                <w:bCs w:val="1"/>
                <w:color w:val="auto"/>
                <w:w w:val="99"/>
              </w:rPr>
              <w:t>Common Stock</w:t>
            </w:r>
          </w:p>
        </w:tc>
        <w:tc>
          <w:tcPr>
            <w:tcW w:w="158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rPr>
              <w:t>Equivalent Value (1)</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17"/>
                <w:szCs w:val="17"/>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9"/>
              </w:rPr>
              <w:t>Outstanding</w:t>
            </w:r>
          </w:p>
        </w:tc>
        <w:tc>
          <w:tcPr>
            <w:tcW w:w="16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Equivalent</w:t>
            </w:r>
          </w:p>
        </w:tc>
        <w:tc>
          <w:tcPr>
            <w:tcW w:w="158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Common Stock</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156,755</w:t>
            </w:r>
          </w:p>
        </w:tc>
        <w:tc>
          <w:tcPr>
            <w:tcW w:w="2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156,755</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11,751,922</w:t>
            </w:r>
          </w:p>
        </w:tc>
        <w:tc>
          <w:tcPr>
            <w:tcW w:w="4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Common Operating Partnership Units</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18,215</w:t>
            </w:r>
          </w:p>
        </w:tc>
        <w:tc>
          <w:tcPr>
            <w:tcW w:w="2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18,215</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1,365,579</w:t>
            </w:r>
          </w:p>
        </w:tc>
        <w:tc>
          <w:tcPr>
            <w:tcW w:w="400" w:type="dxa"/>
            <w:vAlign w:val="bottom"/>
            <w:tcBorders>
              <w:bottom w:val="single" w:sz="8" w:color="CCEEFF"/>
            </w:tcBorders>
          </w:tcPr>
          <w:p>
            <w:pPr>
              <w:jc w:val="right"/>
              <w:ind w:right="124"/>
              <w:spacing w:after="0"/>
              <w:rPr>
                <w:sz w:val="20"/>
                <w:szCs w:val="20"/>
                <w:color w:val="auto"/>
              </w:rPr>
            </w:pP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22"/>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Equity</w:t>
            </w:r>
          </w:p>
        </w:tc>
        <w:tc>
          <w:tcPr>
            <w:tcW w:w="14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174,970</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13,117,501</w:t>
            </w:r>
          </w:p>
        </w:tc>
        <w:tc>
          <w:tcPr>
            <w:tcW w:w="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Consolidated Debt</w:t>
            </w: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13,832,871</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ind w:left="20"/>
              <w:spacing w:after="0"/>
              <w:rPr>
                <w:sz w:val="20"/>
                <w:szCs w:val="20"/>
                <w:color w:val="auto"/>
              </w:rPr>
            </w:pPr>
            <w:r>
              <w:rPr>
                <w:rFonts w:ascii="Arial" w:cs="Arial" w:eastAsia="Arial" w:hAnsi="Arial"/>
                <w:sz w:val="15"/>
                <w:szCs w:val="15"/>
                <w:color w:val="auto"/>
              </w:rPr>
              <w:t>Add:</w:t>
            </w: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BXP’s share of unconsolidated joint venture debt (3)</w:t>
            </w: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1,450,624</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ind w:left="20"/>
              <w:spacing w:after="0"/>
              <w:rPr>
                <w:sz w:val="20"/>
                <w:szCs w:val="20"/>
                <w:color w:val="auto"/>
              </w:rPr>
            </w:pPr>
            <w:r>
              <w:rPr>
                <w:rFonts w:ascii="Arial" w:cs="Arial" w:eastAsia="Arial" w:hAnsi="Arial"/>
                <w:sz w:val="15"/>
                <w:szCs w:val="15"/>
                <w:color w:val="auto"/>
              </w:rPr>
              <w:t>Subtract:</w:t>
            </w: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Partners’ share of Consolidated Debt (4)</w:t>
            </w: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(1,357,896)</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20" w:type="dxa"/>
            <w:vAlign w:val="bottom"/>
          </w:tcPr>
          <w:p>
            <w:pPr>
              <w:ind w:left="20"/>
              <w:spacing w:after="0"/>
              <w:rPr>
                <w:sz w:val="20"/>
                <w:szCs w:val="20"/>
                <w:color w:val="auto"/>
              </w:rPr>
            </w:pPr>
            <w:r>
              <w:rPr>
                <w:rFonts w:ascii="Arial" w:cs="Arial" w:eastAsia="Arial" w:hAnsi="Arial"/>
                <w:sz w:val="15"/>
                <w:szCs w:val="15"/>
                <w:color w:val="auto"/>
              </w:rPr>
              <w:t>BXP’s Share of Debt</w:t>
            </w: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13,925,599</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Consolidated Market Capitalization</w:t>
            </w:r>
          </w:p>
        </w:tc>
        <w:tc>
          <w:tcPr>
            <w:tcW w:w="14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26,950,372</w:t>
            </w:r>
          </w:p>
        </w:tc>
        <w:tc>
          <w:tcPr>
            <w:tcW w:w="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BXP’s Share of Market Capitalization</w:t>
            </w: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27,043,100</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920" w:type="dxa"/>
            <w:vAlign w:val="bottom"/>
          </w:tcPr>
          <w:p>
            <w:pPr>
              <w:ind w:left="20"/>
              <w:spacing w:after="0"/>
              <w:rPr>
                <w:sz w:val="20"/>
                <w:szCs w:val="20"/>
                <w:color w:val="auto"/>
              </w:rPr>
            </w:pPr>
            <w:r>
              <w:rPr>
                <w:rFonts w:ascii="Arial" w:cs="Arial" w:eastAsia="Arial" w:hAnsi="Arial"/>
                <w:sz w:val="15"/>
                <w:szCs w:val="15"/>
                <w:color w:val="auto"/>
              </w:rPr>
              <w:t>Consolidated Debt/Consolidated Market Capitalization</w:t>
            </w: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51.33 %</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BXP’s Share of Debt/BXP’s Share of Market Capitalization</w:t>
            </w: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51.49 %</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3" w:lineRule="exact"/>
        <w:rPr>
          <w:sz w:val="20"/>
          <w:szCs w:val="20"/>
          <w:color w:val="auto"/>
        </w:rPr>
      </w:pPr>
    </w:p>
    <w:p>
      <w:pPr>
        <w:ind w:left="600" w:hanging="294"/>
        <w:spacing w:after="0"/>
        <w:tabs>
          <w:tab w:leader="none" w:pos="6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Values are based on the closing price per share of BXP’s Common Stock on the New York Stock Exchange on September 30, 2022 of $74.97.</w:t>
      </w:r>
    </w:p>
    <w:p>
      <w:pPr>
        <w:spacing w:after="0" w:line="5" w:lineRule="exact"/>
        <w:rPr>
          <w:rFonts w:ascii="Arial" w:cs="Arial" w:eastAsia="Arial" w:hAnsi="Arial"/>
          <w:sz w:val="15"/>
          <w:szCs w:val="15"/>
          <w:color w:val="auto"/>
        </w:rPr>
      </w:pPr>
    </w:p>
    <w:p>
      <w:pPr>
        <w:ind w:left="620" w:right="200" w:hanging="314"/>
        <w:spacing w:after="0" w:line="256" w:lineRule="auto"/>
        <w:tabs>
          <w:tab w:leader="none" w:pos="616" w:val="left"/>
        </w:tabs>
        <w:numPr>
          <w:ilvl w:val="0"/>
          <w:numId w:val="60"/>
        </w:numPr>
        <w:rPr>
          <w:rFonts w:ascii="Arial" w:cs="Arial" w:eastAsia="Arial" w:hAnsi="Arial"/>
          <w:sz w:val="15"/>
          <w:szCs w:val="15"/>
          <w:color w:val="auto"/>
        </w:rPr>
      </w:pPr>
      <w:r>
        <w:rPr>
          <w:rFonts w:ascii="Arial" w:cs="Arial" w:eastAsia="Arial" w:hAnsi="Arial"/>
          <w:sz w:val="15"/>
          <w:szCs w:val="15"/>
          <w:color w:val="auto"/>
        </w:rPr>
        <w:t>Includes long-term incentive plan units (including 2012 OPP Units and 2013 - 2019 MYLTIP Units) but excludes the 2020 - 2022 MYLTIP Units because the three-year performance periods have not ended.</w:t>
      </w:r>
    </w:p>
    <w:p>
      <w:pPr>
        <w:ind w:left="600" w:hanging="294"/>
        <w:spacing w:after="0"/>
        <w:tabs>
          <w:tab w:leader="none" w:pos="6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See page 90 for additional information.</w:t>
      </w:r>
    </w:p>
    <w:p>
      <w:pPr>
        <w:spacing w:after="0" w:line="5" w:lineRule="exact"/>
        <w:rPr>
          <w:rFonts w:ascii="Arial" w:cs="Arial" w:eastAsia="Arial" w:hAnsi="Arial"/>
          <w:sz w:val="15"/>
          <w:szCs w:val="15"/>
          <w:color w:val="auto"/>
        </w:rPr>
      </w:pPr>
    </w:p>
    <w:p>
      <w:pPr>
        <w:ind w:left="600" w:hanging="294"/>
        <w:spacing w:after="0"/>
        <w:tabs>
          <w:tab w:leader="none" w:pos="6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See page 89 for additional information.</w:t>
      </w:r>
    </w:p>
    <w:p>
      <w:pPr>
        <w:spacing w:after="0" w:line="304" w:lineRule="exact"/>
        <w:rPr>
          <w:sz w:val="20"/>
          <w:szCs w:val="20"/>
          <w:color w:val="auto"/>
        </w:rPr>
      </w:pPr>
    </w:p>
    <w:p>
      <w:pPr>
        <w:ind w:right="100" w:firstLine="381"/>
        <w:spacing w:after="0" w:line="266" w:lineRule="auto"/>
        <w:rPr>
          <w:sz w:val="20"/>
          <w:szCs w:val="20"/>
          <w:color w:val="auto"/>
        </w:rPr>
      </w:pPr>
      <w:r>
        <w:rPr>
          <w:rFonts w:ascii="Arial" w:cs="Arial" w:eastAsia="Arial" w:hAnsi="Arial"/>
          <w:sz w:val="17"/>
          <w:szCs w:val="17"/>
          <w:color w:val="auto"/>
        </w:rPr>
        <w:t>Consolidated Debt to Consolidated Market Capitalization Ratio is a measure of leverage commonly used by analysts in the REIT sector. We present this measure as a percentage and it is calculated by dividing (A) our consolidated debt by (B) our consolidated market capitalization, which is the market value of our outstanding equity securities plus our consolidated debt. Consolidated market capitalization is the sum of: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left="1060" w:hanging="449"/>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consolidated debt; plus</w:t>
      </w:r>
    </w:p>
    <w:p>
      <w:pPr>
        <w:spacing w:after="0" w:line="172" w:lineRule="exact"/>
        <w:rPr>
          <w:rFonts w:ascii="Arial" w:cs="Arial" w:eastAsia="Arial" w:hAnsi="Arial"/>
          <w:sz w:val="17"/>
          <w:szCs w:val="17"/>
          <w:color w:val="auto"/>
        </w:rPr>
      </w:pPr>
    </w:p>
    <w:p>
      <w:pPr>
        <w:ind w:right="600" w:firstLine="611"/>
        <w:spacing w:after="0" w:line="283" w:lineRule="auto"/>
        <w:tabs>
          <w:tab w:leader="none" w:pos="1051"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product of (x) the closing price per share of BXP Common Stock on September 30, 2022, as reported by the New York Stock Exchange, multiplied by (y) the sum of:</w:t>
      </w:r>
    </w:p>
    <w:p>
      <w:pPr>
        <w:spacing w:after="0" w:line="122" w:lineRule="exact"/>
        <w:rPr>
          <w:rFonts w:ascii="Arial" w:cs="Arial" w:eastAsia="Arial" w:hAnsi="Arial"/>
          <w:sz w:val="17"/>
          <w:szCs w:val="17"/>
          <w:color w:val="auto"/>
        </w:rPr>
      </w:pPr>
    </w:p>
    <w:p>
      <w:pPr>
        <w:ind w:left="1600" w:hanging="380"/>
        <w:spacing w:after="0"/>
        <w:tabs>
          <w:tab w:leader="none" w:pos="1600"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number of outstanding shares of Common Stock of BXP,</w:t>
      </w:r>
    </w:p>
    <w:p>
      <w:pPr>
        <w:spacing w:after="0" w:line="172" w:lineRule="exact"/>
        <w:rPr>
          <w:rFonts w:ascii="Arial" w:cs="Arial" w:eastAsia="Arial" w:hAnsi="Arial"/>
          <w:sz w:val="17"/>
          <w:szCs w:val="17"/>
          <w:color w:val="auto"/>
        </w:rPr>
      </w:pPr>
    </w:p>
    <w:p>
      <w:pPr>
        <w:ind w:left="1640" w:hanging="420"/>
        <w:spacing w:after="0"/>
        <w:tabs>
          <w:tab w:leader="none" w:pos="1640"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number of outstanding OP Units in BPLP (excluding OP Units held by BXP),</w:t>
      </w:r>
    </w:p>
    <w:p>
      <w:pPr>
        <w:spacing w:after="0" w:line="172" w:lineRule="exact"/>
        <w:rPr>
          <w:rFonts w:ascii="Arial" w:cs="Arial" w:eastAsia="Arial" w:hAnsi="Arial"/>
          <w:sz w:val="17"/>
          <w:szCs w:val="17"/>
          <w:color w:val="auto"/>
        </w:rPr>
      </w:pPr>
    </w:p>
    <w:p>
      <w:pPr>
        <w:ind w:left="1820" w:right="160" w:hanging="600"/>
        <w:spacing w:after="0" w:line="283" w:lineRule="auto"/>
        <w:tabs>
          <w:tab w:leader="none" w:pos="1671"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number of OP Units issuable upon conversion of all outstanding LTIP Units, assuming all conditions have been met for the conversion of the LTIP Units, and</w:t>
      </w:r>
    </w:p>
    <w:p>
      <w:pPr>
        <w:spacing w:after="0" w:line="122" w:lineRule="exact"/>
        <w:rPr>
          <w:rFonts w:ascii="Arial" w:cs="Arial" w:eastAsia="Arial" w:hAnsi="Arial"/>
          <w:sz w:val="17"/>
          <w:szCs w:val="17"/>
          <w:color w:val="auto"/>
        </w:rPr>
      </w:pPr>
    </w:p>
    <w:p>
      <w:pPr>
        <w:ind w:left="1820" w:right="240" w:hanging="600"/>
        <w:spacing w:after="0" w:line="283" w:lineRule="auto"/>
        <w:tabs>
          <w:tab w:leader="none" w:pos="1681"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number of OP Units issuable upon conversion of 2012 OPP Units, and 2013 - 2019 MYLTIP Units that were issued in the form of LTIP Units.</w:t>
      </w:r>
    </w:p>
    <w:p>
      <w:pPr>
        <w:spacing w:after="0" w:line="110" w:lineRule="exact"/>
        <w:rPr>
          <w:sz w:val="20"/>
          <w:szCs w:val="20"/>
          <w:color w:val="auto"/>
        </w:rPr>
      </w:pPr>
    </w:p>
    <w:p>
      <w:pPr>
        <w:jc w:val="both"/>
        <w:ind w:right="220" w:firstLine="381"/>
        <w:spacing w:after="0" w:line="266" w:lineRule="auto"/>
        <w:rPr>
          <w:sz w:val="20"/>
          <w:szCs w:val="20"/>
          <w:color w:val="auto"/>
        </w:rPr>
      </w:pPr>
      <w:r>
        <w:rPr>
          <w:rFonts w:ascii="Arial" w:cs="Arial" w:eastAsia="Arial" w:hAnsi="Arial"/>
          <w:sz w:val="17"/>
          <w:szCs w:val="17"/>
          <w:color w:val="auto"/>
        </w:rPr>
        <w:t>The calculation of consolidated market capitalization does not include LTIP Units issued in the form of MYLTIP Awards unless and until certain performance thresholds are achieved and they are earned. Because their three-year performance periods have not yet ended, 2020 - 2022 MYLTIP Units are not included in this calculation as of September 30, 2022.</w:t>
      </w:r>
    </w:p>
    <w:p>
      <w:pPr>
        <w:spacing w:after="0" w:line="124" w:lineRule="exact"/>
        <w:rPr>
          <w:sz w:val="20"/>
          <w:szCs w:val="20"/>
          <w:color w:val="auto"/>
        </w:rPr>
      </w:pPr>
    </w:p>
    <w:p>
      <w:pPr>
        <w:ind w:firstLine="381"/>
        <w:spacing w:after="0" w:line="251" w:lineRule="auto"/>
        <w:rPr>
          <w:sz w:val="20"/>
          <w:szCs w:val="20"/>
          <w:color w:val="auto"/>
        </w:rPr>
      </w:pPr>
      <w:r>
        <w:rPr>
          <w:rFonts w:ascii="Arial" w:cs="Arial" w:eastAsia="Arial" w:hAnsi="Arial"/>
          <w:sz w:val="17"/>
          <w:szCs w:val="17"/>
          <w:color w:val="auto"/>
        </w:rPr>
        <w:t>We also present BXP’s Share of Market Capitalization and BXP’s Share of Debt/BXP’s Share of Market Capitalization, which are calculated in the same manner, except that BXP’s Share of Debt is utilized instead of our consolidated debt in both the numerator and the denominator. BXP’s Share of Debt is defined as our consolidated debt plus our share of debt from our unconsolidated joint ventures (calculated based upon our ownership percentage), minus our partners’ share of debt from our consolidated joint ventures (calculated based upon the partners’ percentage ownership interests adjusted for basis differentials). Management believes that BXP’s Share of Debt provides useful information to investors regarding our financial condition because it includes our share of debt from unconsolidated joint ventures and excludes our partners’ share of debt from consolidated joint ventures, in each case presented on the same basis. We have several significant joint ventures and presenting various measures of financial condition in this manner can help investors better understand our financial condition and/or results of operations after taking into account our economic interest in these joint ventures. We caution investors that the ownership percentages used in calculating BXP’s Share of Debt may not completely and accurately depict all of the legal and economic implications of holding an interest in a consolidated or unconsolidated joint venture. For example, in addition to partners’ interests in profits and capital, venture agreements vary in the allocation of rights regarding decision making (both for routine and major decisions), distributions, transferability of interests, financing and guarantees, liquidations and other matters. Moreover, in some cases we exercise significant influence over, but do not control, the joint venture in which case GAAP requires that we account for the joint venture entity using the equity method of accounting and we do not consolidate it for financial reporting purposes. In other cases, GAAP requires that we consolidate the venture even though our partner(s) own(s) a significant percentage interest. As a result, management believes that the presentation of BXP’s Share of a financial measure should not be considered a substitute for, and should only be considered with and as a supplement to our financial information presented in accordance with GAAP.</w:t>
      </w:r>
    </w:p>
    <w:p>
      <w:pPr>
        <w:spacing w:after="0" w:line="129" w:lineRule="exact"/>
        <w:rPr>
          <w:sz w:val="20"/>
          <w:szCs w:val="20"/>
          <w:color w:val="auto"/>
        </w:rPr>
      </w:pPr>
    </w:p>
    <w:p>
      <w:pPr>
        <w:ind w:right="40" w:firstLine="381"/>
        <w:spacing w:after="0" w:line="254" w:lineRule="auto"/>
        <w:rPr>
          <w:sz w:val="20"/>
          <w:szCs w:val="20"/>
          <w:color w:val="auto"/>
        </w:rPr>
      </w:pPr>
      <w:r>
        <w:rPr>
          <w:rFonts w:ascii="Arial" w:cs="Arial" w:eastAsia="Arial" w:hAnsi="Arial"/>
          <w:sz w:val="17"/>
          <w:szCs w:val="17"/>
          <w:color w:val="auto"/>
        </w:rPr>
        <w:t>We present these supplemental ratios because our degree of leverage could affect our ability to obtain additional financing for working capital, capital expenditures, acquisitions, development or other general corporate purposes and because different investors and lenders consider one or both of these ratios. Investors should understand that these ratios are, in part, a function of the market price of the common stock of BXP and as such will fluctuate with changes in such price, and they do not necessarily reflect our capacity to incur additional debt to finance our activities or our ability to manage our existing debt obligations. However, for a company like BXP, whose assets are primarily income-producing real estate, these ratios may provide investors with an alternate indication of leverage, so long as they are evaluated along with the ratio of indebtedness to other measures of asset value used by financial analysts and other financial ratios, as well as the various components of our outstanding indebtedness.</w:t>
      </w:r>
    </w:p>
    <w:p>
      <w:pPr>
        <w:spacing w:after="0" w:line="126" w:lineRule="exact"/>
        <w:rPr>
          <w:sz w:val="20"/>
          <w:szCs w:val="20"/>
          <w:color w:val="auto"/>
        </w:rPr>
      </w:pPr>
    </w:p>
    <w:p>
      <w:pPr>
        <w:ind w:right="300" w:firstLine="381"/>
        <w:spacing w:after="0" w:line="260" w:lineRule="auto"/>
        <w:rPr>
          <w:sz w:val="20"/>
          <w:szCs w:val="20"/>
          <w:color w:val="auto"/>
        </w:rPr>
      </w:pPr>
      <w:r>
        <w:rPr>
          <w:rFonts w:ascii="Arial" w:cs="Arial" w:eastAsia="Arial" w:hAnsi="Arial"/>
          <w:sz w:val="17"/>
          <w:szCs w:val="17"/>
          <w:color w:val="auto"/>
        </w:rPr>
        <w:t>For a discussion of our unconsolidated joint venture indebtedness, see “</w:t>
      </w:r>
      <w:r>
        <w:rPr>
          <w:rFonts w:ascii="Arial" w:cs="Arial" w:eastAsia="Arial" w:hAnsi="Arial"/>
          <w:sz w:val="17"/>
          <w:szCs w:val="17"/>
          <w:i w:val="1"/>
          <w:iCs w:val="1"/>
          <w:color w:val="auto"/>
        </w:rPr>
        <w:t>Liquidity and Capital Resources—Investment in Unconsolidated Joint</w:t>
      </w:r>
      <w:r>
        <w:rPr>
          <w:rFonts w:ascii="Arial" w:cs="Arial" w:eastAsia="Arial" w:hAnsi="Arial"/>
          <w:sz w:val="17"/>
          <w:szCs w:val="17"/>
          <w:color w:val="auto"/>
        </w:rPr>
        <w:t xml:space="preserve"> </w:t>
      </w:r>
      <w:r>
        <w:rPr>
          <w:rFonts w:ascii="Arial" w:cs="Arial" w:eastAsia="Arial" w:hAnsi="Arial"/>
          <w:sz w:val="17"/>
          <w:szCs w:val="17"/>
          <w:i w:val="1"/>
          <w:iCs w:val="1"/>
          <w:color w:val="auto"/>
        </w:rPr>
        <w:t>Ventures - Secured Debt” w</w:t>
      </w:r>
      <w:r>
        <w:rPr>
          <w:rFonts w:ascii="Arial" w:cs="Arial" w:eastAsia="Arial" w:hAnsi="Arial"/>
          <w:sz w:val="17"/>
          <w:szCs w:val="17"/>
          <w:color w:val="auto"/>
        </w:rPr>
        <w:t>ithin “</w:t>
      </w:r>
      <w:r>
        <w:rPr>
          <w:rFonts w:ascii="Arial" w:cs="Arial" w:eastAsia="Arial" w:hAnsi="Arial"/>
          <w:sz w:val="17"/>
          <w:szCs w:val="17"/>
          <w:i w:val="1"/>
          <w:iCs w:val="1"/>
          <w:color w:val="auto"/>
        </w:rPr>
        <w:t>Item 2—Management’s Discussion and Analysis of Financial Condition and Results of Operations</w:t>
      </w:r>
      <w:r>
        <w:rPr>
          <w:rFonts w:ascii="Arial" w:cs="Arial" w:eastAsia="Arial" w:hAnsi="Arial"/>
          <w:sz w:val="17"/>
          <w:szCs w:val="17"/>
          <w:color w:val="auto"/>
        </w:rPr>
        <w:t>” and for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discussion of our consolidated joint venture indebtedness see </w:t>
      </w:r>
      <w:r>
        <w:rPr>
          <w:rFonts w:ascii="Arial" w:cs="Arial" w:eastAsia="Arial" w:hAnsi="Arial"/>
          <w:sz w:val="17"/>
          <w:szCs w:val="17"/>
          <w:i w:val="1"/>
          <w:iCs w:val="1"/>
          <w:color w:val="auto"/>
        </w:rPr>
        <w:t>“Liquidity and Capital Resources—Mortgage Notes Payable</w:t>
      </w:r>
      <w:r>
        <w:rPr>
          <w:rFonts w:ascii="Arial" w:cs="Arial" w:eastAsia="Arial" w:hAnsi="Arial"/>
          <w:sz w:val="17"/>
          <w:szCs w:val="17"/>
          <w:color w:val="auto"/>
        </w:rPr>
        <w:t>” within “</w:t>
      </w:r>
      <w:r>
        <w:rPr>
          <w:rFonts w:ascii="Arial" w:cs="Arial" w:eastAsia="Arial" w:hAnsi="Arial"/>
          <w:sz w:val="17"/>
          <w:szCs w:val="17"/>
          <w:i w:val="1"/>
          <w:iCs w:val="1"/>
          <w:color w:val="auto"/>
        </w:rPr>
        <w:t>Item 2—</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Debt Financing</w:t>
      </w:r>
    </w:p>
    <w:p>
      <w:pPr>
        <w:spacing w:after="0" w:line="84" w:lineRule="exact"/>
        <w:rPr>
          <w:sz w:val="20"/>
          <w:szCs w:val="20"/>
          <w:color w:val="auto"/>
        </w:rPr>
      </w:pPr>
    </w:p>
    <w:p>
      <w:pPr>
        <w:jc w:val="both"/>
        <w:ind w:right="20" w:firstLine="419"/>
        <w:spacing w:after="0" w:line="271" w:lineRule="auto"/>
        <w:rPr>
          <w:sz w:val="20"/>
          <w:szCs w:val="20"/>
          <w:color w:val="auto"/>
        </w:rPr>
      </w:pPr>
      <w:r>
        <w:rPr>
          <w:rFonts w:ascii="Arial" w:cs="Arial" w:eastAsia="Arial" w:hAnsi="Arial"/>
          <w:sz w:val="16"/>
          <w:szCs w:val="16"/>
          <w:color w:val="auto"/>
        </w:rPr>
        <w:t>As of September 30, 2022, we had approximately $13.8 billion of outstanding consolidated indebtedness, representing approximately 51.33% of our Consolidated Market Capitalization as calculated above consisting of approximately (1) $9.5 billion (net of discount and deferred financing fees) in publicly traded unsecured senior notes having a GAAP weighted-average interest rate of 3.43% per annum and maturities in 2023 through 2033,</w:t>
      </w:r>
    </w:p>
    <w:p>
      <w:pPr>
        <w:spacing w:after="0" w:line="2" w:lineRule="exact"/>
        <w:rPr>
          <w:sz w:val="20"/>
          <w:szCs w:val="20"/>
          <w:color w:val="auto"/>
        </w:rPr>
      </w:pPr>
    </w:p>
    <w:p>
      <w:pPr>
        <w:ind w:right="60" w:firstLine="2"/>
        <w:spacing w:after="0" w:line="256" w:lineRule="auto"/>
        <w:tabs>
          <w:tab w:leader="none" w:pos="254" w:val="left"/>
        </w:tabs>
        <w:numPr>
          <w:ilvl w:val="0"/>
          <w:numId w:val="62"/>
        </w:numPr>
        <w:rPr>
          <w:rFonts w:ascii="Arial" w:cs="Arial" w:eastAsia="Arial" w:hAnsi="Arial"/>
          <w:sz w:val="17"/>
          <w:szCs w:val="17"/>
          <w:color w:val="auto"/>
        </w:rPr>
      </w:pPr>
      <w:r>
        <w:rPr>
          <w:rFonts w:ascii="Arial" w:cs="Arial" w:eastAsia="Arial" w:hAnsi="Arial"/>
          <w:sz w:val="17"/>
          <w:szCs w:val="17"/>
          <w:color w:val="auto"/>
        </w:rPr>
        <w:t>$3.3 billion (net of deferred financing fees) of property-specific mortgage debt having a GAAP weighted-average interest rate of 3.42% per annum and a weighted-average term of 6.1 years, (3) $340.0 million outstanding under BPLP’s Revolving Facility that matures on June 15, 2026 and (4) $730.0 million outstanding under BPLP’s Unsecured Term Loan that matures on May 16, 2023.</w:t>
      </w:r>
    </w:p>
    <w:p>
      <w:pPr>
        <w:spacing w:after="0" w:line="120" w:lineRule="exact"/>
        <w:rPr>
          <w:sz w:val="20"/>
          <w:szCs w:val="20"/>
          <w:color w:val="auto"/>
        </w:rPr>
      </w:pPr>
    </w:p>
    <w:p>
      <w:pPr>
        <w:ind w:right="20" w:firstLine="381"/>
        <w:spacing w:after="0" w:line="283" w:lineRule="auto"/>
        <w:rPr>
          <w:sz w:val="20"/>
          <w:szCs w:val="20"/>
          <w:color w:val="auto"/>
        </w:rPr>
      </w:pPr>
      <w:r>
        <w:rPr>
          <w:rFonts w:ascii="Arial" w:cs="Arial" w:eastAsia="Arial" w:hAnsi="Arial"/>
          <w:sz w:val="17"/>
          <w:szCs w:val="17"/>
          <w:color w:val="auto"/>
        </w:rPr>
        <w:t>The table below summarizes the aggregate carrying value of our mortgage notes payable and BPLP’s unsecured senior notes, line of credit, and Unsecured Term Loan, as well as Consolidated Debt Financing Statistics at September 30, 2022 and September 30,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r>
      <w:tr>
        <w:trPr>
          <w:trHeight w:val="208"/>
        </w:trPr>
        <w:tc>
          <w:tcPr>
            <w:tcW w:w="77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2021</w:t>
            </w:r>
          </w:p>
        </w:tc>
      </w:tr>
      <w:tr>
        <w:trPr>
          <w:trHeight w:val="208"/>
        </w:trPr>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80" w:type="dxa"/>
            <w:vAlign w:val="bottom"/>
            <w:gridSpan w:val="4"/>
          </w:tcPr>
          <w:p>
            <w:pPr>
              <w:jc w:val="right"/>
              <w:ind w:right="755"/>
              <w:spacing w:after="0"/>
              <w:rPr>
                <w:sz w:val="20"/>
                <w:szCs w:val="20"/>
                <w:color w:val="auto"/>
              </w:rPr>
            </w:pPr>
            <w:r>
              <w:rPr>
                <w:rFonts w:ascii="Arial" w:cs="Arial" w:eastAsia="Arial" w:hAnsi="Arial"/>
                <w:sz w:val="17"/>
                <w:szCs w:val="17"/>
                <w:b w:val="1"/>
                <w:bCs w:val="1"/>
                <w:color w:val="auto"/>
              </w:rPr>
              <w:t>(dollars in thousands)</w:t>
            </w: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Debt Summary:</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Arial" w:cs="Arial" w:eastAsia="Arial" w:hAnsi="Arial"/>
                <w:sz w:val="17"/>
                <w:szCs w:val="17"/>
                <w:color w:val="auto"/>
              </w:rPr>
              <w:t>Balance</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Fixed rate mortgage notes payable, net</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3,271,157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2,898,699</w:t>
            </w:r>
          </w:p>
        </w:tc>
      </w:tr>
      <w:tr>
        <w:trPr>
          <w:trHeight w:val="216"/>
        </w:trPr>
        <w:tc>
          <w:tcPr>
            <w:tcW w:w="7760" w:type="dxa"/>
            <w:vAlign w:val="bottom"/>
          </w:tcPr>
          <w:p>
            <w:pPr>
              <w:ind w:left="320"/>
              <w:spacing w:after="0"/>
              <w:rPr>
                <w:sz w:val="20"/>
                <w:szCs w:val="20"/>
                <w:color w:val="auto"/>
              </w:rPr>
            </w:pPr>
            <w:r>
              <w:rPr>
                <w:rFonts w:ascii="Arial" w:cs="Arial" w:eastAsia="Arial" w:hAnsi="Arial"/>
                <w:sz w:val="17"/>
                <w:szCs w:val="17"/>
                <w:color w:val="auto"/>
              </w:rPr>
              <w:t>Unsecured senior notes, net</w:t>
            </w:r>
          </w:p>
        </w:tc>
        <w:tc>
          <w:tcPr>
            <w:tcW w:w="360" w:type="dxa"/>
            <w:vAlign w:val="bottom"/>
          </w:tcPr>
          <w:p>
            <w:pPr>
              <w:spacing w:after="0"/>
              <w:rPr>
                <w:sz w:val="18"/>
                <w:szCs w:val="18"/>
                <w:color w:val="auto"/>
              </w:rPr>
            </w:pPr>
          </w:p>
        </w:tc>
        <w:tc>
          <w:tcPr>
            <w:tcW w:w="1320" w:type="dxa"/>
            <w:vAlign w:val="bottom"/>
          </w:tcPr>
          <w:p>
            <w:pPr>
              <w:jc w:val="right"/>
              <w:ind w:right="155"/>
              <w:spacing w:after="0"/>
              <w:rPr>
                <w:sz w:val="20"/>
                <w:szCs w:val="20"/>
                <w:color w:val="auto"/>
              </w:rPr>
            </w:pPr>
            <w:r>
              <w:rPr>
                <w:rFonts w:ascii="Arial" w:cs="Arial" w:eastAsia="Arial" w:hAnsi="Arial"/>
                <w:sz w:val="17"/>
                <w:szCs w:val="17"/>
                <w:color w:val="auto"/>
              </w:rPr>
              <w:t>9,491,714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10,479,651</w:t>
            </w:r>
          </w:p>
        </w:tc>
      </w:tr>
      <w:tr>
        <w:trPr>
          <w:trHeight w:val="216"/>
        </w:trPr>
        <w:tc>
          <w:tcPr>
            <w:tcW w:w="7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Unsecured line of credit</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340,000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r>
      <w:tr>
        <w:trPr>
          <w:trHeight w:val="216"/>
        </w:trPr>
        <w:tc>
          <w:tcPr>
            <w:tcW w:w="77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Unsecured term loan, net</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730,000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r>
      <w:tr>
        <w:trPr>
          <w:trHeight w:val="208"/>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Consolidated Debt</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13,832,871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13,378,350</w:t>
            </w:r>
          </w:p>
        </w:tc>
      </w:tr>
      <w:tr>
        <w:trPr>
          <w:trHeight w:val="216"/>
        </w:trPr>
        <w:tc>
          <w:tcPr>
            <w:tcW w:w="7760" w:type="dxa"/>
            <w:vAlign w:val="bottom"/>
          </w:tcPr>
          <w:p>
            <w:pPr>
              <w:ind w:left="20"/>
              <w:spacing w:after="0"/>
              <w:rPr>
                <w:sz w:val="20"/>
                <w:szCs w:val="20"/>
                <w:color w:val="auto"/>
              </w:rPr>
            </w:pPr>
            <w:r>
              <w:rPr>
                <w:rFonts w:ascii="Arial" w:cs="Arial" w:eastAsia="Arial" w:hAnsi="Arial"/>
                <w:sz w:val="17"/>
                <w:szCs w:val="17"/>
                <w:color w:val="auto"/>
              </w:rPr>
              <w:t>Add:</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BXP’s share of unconsolidated joint venture debt, net (1)</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1,450,624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1,289,582</w:t>
            </w:r>
          </w:p>
        </w:tc>
      </w:tr>
      <w:tr>
        <w:trPr>
          <w:trHeight w:val="216"/>
        </w:trPr>
        <w:tc>
          <w:tcPr>
            <w:tcW w:w="7760" w:type="dxa"/>
            <w:vAlign w:val="bottom"/>
          </w:tcPr>
          <w:p>
            <w:pPr>
              <w:ind w:left="20"/>
              <w:spacing w:after="0"/>
              <w:rPr>
                <w:sz w:val="20"/>
                <w:szCs w:val="20"/>
                <w:color w:val="auto"/>
              </w:rPr>
            </w:pPr>
            <w:r>
              <w:rPr>
                <w:rFonts w:ascii="Arial" w:cs="Arial" w:eastAsia="Arial" w:hAnsi="Arial"/>
                <w:sz w:val="17"/>
                <w:szCs w:val="17"/>
                <w:color w:val="auto"/>
              </w:rPr>
              <w:t>Subtract:</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Partners’ share of consolidated mortgage notes payable, net (2)</w:t>
            </w:r>
          </w:p>
        </w:tc>
        <w:tc>
          <w:tcPr>
            <w:tcW w:w="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(1,357,896)</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(1,190,479)</w:t>
            </w:r>
          </w:p>
        </w:tc>
      </w:tr>
      <w:tr>
        <w:trPr>
          <w:trHeight w:val="208"/>
        </w:trPr>
        <w:tc>
          <w:tcPr>
            <w:tcW w:w="7760" w:type="dxa"/>
            <w:vAlign w:val="bottom"/>
          </w:tcPr>
          <w:p>
            <w:pPr>
              <w:ind w:left="20"/>
              <w:spacing w:after="0"/>
              <w:rPr>
                <w:sz w:val="20"/>
                <w:szCs w:val="20"/>
                <w:color w:val="auto"/>
              </w:rPr>
            </w:pPr>
            <w:r>
              <w:rPr>
                <w:rFonts w:ascii="Arial" w:cs="Arial" w:eastAsia="Arial" w:hAnsi="Arial"/>
                <w:sz w:val="17"/>
                <w:szCs w:val="17"/>
                <w:color w:val="auto"/>
              </w:rPr>
              <w:t>BXP’s Share of Debt</w:t>
            </w: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13,925,599</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13,477,453</w:t>
            </w: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60" w:type="dxa"/>
            <w:vAlign w:val="bottom"/>
          </w:tcPr>
          <w:p>
            <w:pPr>
              <w:spacing w:after="0"/>
              <w:rPr>
                <w:sz w:val="19"/>
                <w:szCs w:val="19"/>
                <w:color w:val="auto"/>
              </w:rPr>
            </w:pPr>
          </w:p>
        </w:tc>
        <w:tc>
          <w:tcPr>
            <w:tcW w:w="2360" w:type="dxa"/>
            <w:vAlign w:val="bottom"/>
            <w:tcBorders>
              <w:bottom w:val="single" w:sz="8" w:color="auto"/>
            </w:tcBorders>
            <w:gridSpan w:val="3"/>
          </w:tcPr>
          <w:p>
            <w:pPr>
              <w:ind w:left="1140"/>
              <w:spacing w:after="0"/>
              <w:rPr>
                <w:sz w:val="20"/>
                <w:szCs w:val="20"/>
                <w:color w:val="auto"/>
              </w:rPr>
            </w:pPr>
            <w:r>
              <w:rPr>
                <w:rFonts w:ascii="Arial" w:cs="Arial" w:eastAsia="Arial" w:hAnsi="Arial"/>
                <w:sz w:val="17"/>
                <w:szCs w:val="17"/>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76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96"/>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Debt Financing Statistics: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
              <w:spacing w:after="0"/>
              <w:rPr>
                <w:sz w:val="20"/>
                <w:szCs w:val="20"/>
                <w:color w:val="auto"/>
              </w:rPr>
            </w:pPr>
            <w:r>
              <w:rPr>
                <w:rFonts w:ascii="Arial" w:cs="Arial" w:eastAsia="Arial" w:hAnsi="Arial"/>
                <w:sz w:val="17"/>
                <w:szCs w:val="17"/>
                <w:color w:val="auto"/>
              </w:rPr>
              <w:t>Percent of total debt: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Fixed rate</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92.26 %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100.00 %</w:t>
            </w:r>
          </w:p>
        </w:tc>
        <w:tc>
          <w:tcPr>
            <w:tcW w:w="0" w:type="dxa"/>
            <w:vAlign w:val="bottom"/>
          </w:tcPr>
          <w:p>
            <w:pPr>
              <w:spacing w:after="0"/>
              <w:rPr>
                <w:sz w:val="1"/>
                <w:szCs w:val="1"/>
                <w:color w:val="auto"/>
              </w:rPr>
            </w:pPr>
          </w:p>
        </w:tc>
      </w:tr>
      <w:tr>
        <w:trPr>
          <w:trHeight w:val="216"/>
        </w:trPr>
        <w:tc>
          <w:tcPr>
            <w:tcW w:w="77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Variable rate</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7.74 %</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33"/>
        </w:trPr>
        <w:tc>
          <w:tcPr>
            <w:tcW w:w="77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7"/>
                <w:szCs w:val="17"/>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100.00 %</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100.00 %</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GAAP Weighted-average interest rate at end of period:</w:t>
            </w: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76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Fixed rate</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3.57 %</w:t>
            </w:r>
          </w:p>
        </w:tc>
        <w:tc>
          <w:tcPr>
            <w:tcW w:w="0" w:type="dxa"/>
            <w:vAlign w:val="bottom"/>
          </w:tcPr>
          <w:p>
            <w:pPr>
              <w:spacing w:after="0"/>
              <w:rPr>
                <w:sz w:val="1"/>
                <w:szCs w:val="1"/>
                <w:color w:val="auto"/>
              </w:rPr>
            </w:pPr>
          </w:p>
        </w:tc>
      </w:tr>
      <w:tr>
        <w:trPr>
          <w:trHeight w:val="216"/>
        </w:trPr>
        <w:tc>
          <w:tcPr>
            <w:tcW w:w="77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Variable rate</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3.43 %</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8"/>
        </w:trPr>
        <w:tc>
          <w:tcPr>
            <w:tcW w:w="77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3.43 %</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3.57 %</w:t>
            </w:r>
          </w:p>
        </w:tc>
        <w:tc>
          <w:tcPr>
            <w:tcW w:w="0" w:type="dxa"/>
            <w:vAlign w:val="bottom"/>
          </w:tcPr>
          <w:p>
            <w:pPr>
              <w:spacing w:after="0"/>
              <w:rPr>
                <w:sz w:val="1"/>
                <w:szCs w:val="1"/>
                <w:color w:val="auto"/>
              </w:rPr>
            </w:pPr>
          </w:p>
        </w:tc>
      </w:tr>
      <w:tr>
        <w:trPr>
          <w:trHeight w:val="196"/>
        </w:trPr>
        <w:tc>
          <w:tcPr>
            <w:tcW w:w="7760" w:type="dxa"/>
            <w:vAlign w:val="bottom"/>
          </w:tcPr>
          <w:p>
            <w:pPr>
              <w:ind w:left="20"/>
              <w:spacing w:after="0"/>
              <w:rPr>
                <w:sz w:val="20"/>
                <w:szCs w:val="20"/>
                <w:color w:val="auto"/>
              </w:rPr>
            </w:pPr>
            <w:r>
              <w:rPr>
                <w:rFonts w:ascii="Arial" w:cs="Arial" w:eastAsia="Arial" w:hAnsi="Arial"/>
                <w:sz w:val="17"/>
                <w:szCs w:val="17"/>
                <w:color w:val="auto"/>
              </w:rPr>
              <w:t>Coupon/Stated Weighted-average interest rate at end of period:</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Fixed rate</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3.47 %</w:t>
            </w:r>
          </w:p>
        </w:tc>
        <w:tc>
          <w:tcPr>
            <w:tcW w:w="0" w:type="dxa"/>
            <w:vAlign w:val="bottom"/>
          </w:tcPr>
          <w:p>
            <w:pPr>
              <w:spacing w:after="0"/>
              <w:rPr>
                <w:sz w:val="1"/>
                <w:szCs w:val="1"/>
                <w:color w:val="auto"/>
              </w:rPr>
            </w:pPr>
          </w:p>
        </w:tc>
      </w:tr>
      <w:tr>
        <w:trPr>
          <w:trHeight w:val="216"/>
        </w:trPr>
        <w:tc>
          <w:tcPr>
            <w:tcW w:w="77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Variable rate</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3.40 %</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8"/>
        </w:trPr>
        <w:tc>
          <w:tcPr>
            <w:tcW w:w="77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3.33 %</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3.47 %</w:t>
            </w:r>
          </w:p>
        </w:tc>
        <w:tc>
          <w:tcPr>
            <w:tcW w:w="0" w:type="dxa"/>
            <w:vAlign w:val="bottom"/>
          </w:tcPr>
          <w:p>
            <w:pPr>
              <w:spacing w:after="0"/>
              <w:rPr>
                <w:sz w:val="1"/>
                <w:szCs w:val="1"/>
                <w:color w:val="auto"/>
              </w:rPr>
            </w:pPr>
          </w:p>
        </w:tc>
      </w:tr>
      <w:tr>
        <w:trPr>
          <w:trHeight w:val="196"/>
        </w:trPr>
        <w:tc>
          <w:tcPr>
            <w:tcW w:w="7760" w:type="dxa"/>
            <w:vAlign w:val="bottom"/>
          </w:tcPr>
          <w:p>
            <w:pPr>
              <w:ind w:left="20"/>
              <w:spacing w:after="0"/>
              <w:rPr>
                <w:sz w:val="20"/>
                <w:szCs w:val="20"/>
                <w:color w:val="auto"/>
              </w:rPr>
            </w:pPr>
            <w:r>
              <w:rPr>
                <w:rFonts w:ascii="Arial" w:cs="Arial" w:eastAsia="Arial" w:hAnsi="Arial"/>
                <w:sz w:val="17"/>
                <w:szCs w:val="17"/>
                <w:color w:val="auto"/>
              </w:rPr>
              <w:t>Weighted-average maturity at end of period (in years):</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Fixed rate</w:t>
            </w:r>
          </w:p>
        </w:tc>
        <w:tc>
          <w:tcPr>
            <w:tcW w:w="16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16"/>
        </w:trPr>
        <w:tc>
          <w:tcPr>
            <w:tcW w:w="77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Variable rate</w:t>
            </w:r>
          </w:p>
        </w:tc>
        <w:tc>
          <w:tcPr>
            <w:tcW w:w="16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77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Total</w:t>
            </w:r>
          </w:p>
        </w:tc>
        <w:tc>
          <w:tcPr>
            <w:tcW w:w="16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26" w:lineRule="exact"/>
        <w:rPr>
          <w:sz w:val="20"/>
          <w:szCs w:val="20"/>
          <w:color w:val="auto"/>
        </w:rPr>
      </w:pPr>
    </w:p>
    <w:p>
      <w:pPr>
        <w:ind w:left="600" w:hanging="294"/>
        <w:spacing w:after="0"/>
        <w:tabs>
          <w:tab w:leader="none" w:pos="6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See page 90 for additional information.</w:t>
      </w:r>
    </w:p>
    <w:p>
      <w:pPr>
        <w:spacing w:after="0" w:line="5" w:lineRule="exact"/>
        <w:rPr>
          <w:rFonts w:ascii="Arial" w:cs="Arial" w:eastAsia="Arial" w:hAnsi="Arial"/>
          <w:sz w:val="15"/>
          <w:szCs w:val="15"/>
          <w:color w:val="auto"/>
        </w:rPr>
      </w:pPr>
    </w:p>
    <w:p>
      <w:pPr>
        <w:ind w:left="600" w:hanging="294"/>
        <w:spacing w:after="0"/>
        <w:tabs>
          <w:tab w:leader="none" w:pos="6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See page 89 for additional information.</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275" w:right="379" w:bottom="1440" w:gutter="0" w:footer="0" w:header="0"/>
        </w:sectPr>
      </w:pPr>
    </w:p>
    <w:bookmarkStart w:id="92" w:name="page93"/>
    <w:bookmarkEnd w:id="9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Unsecured Credit Facility</w:t>
      </w:r>
    </w:p>
    <w:p>
      <w:pPr>
        <w:spacing w:after="0" w:line="84" w:lineRule="exact"/>
        <w:rPr>
          <w:sz w:val="20"/>
          <w:szCs w:val="20"/>
          <w:color w:val="auto"/>
        </w:rPr>
      </w:pPr>
    </w:p>
    <w:p>
      <w:pPr>
        <w:ind w:right="20" w:firstLine="419"/>
        <w:spacing w:after="0" w:line="254" w:lineRule="auto"/>
        <w:rPr>
          <w:sz w:val="20"/>
          <w:szCs w:val="20"/>
          <w:color w:val="auto"/>
        </w:rPr>
      </w:pPr>
      <w:r>
        <w:rPr>
          <w:rFonts w:ascii="Arial" w:cs="Arial" w:eastAsia="Arial" w:hAnsi="Arial"/>
          <w:sz w:val="17"/>
          <w:szCs w:val="17"/>
          <w:color w:val="auto"/>
        </w:rPr>
        <w:t>On June 15, 2021, BPLP amended and restated its prior credit facility (as amended and restated, the “2021 Credit Facility”). The 2021 Credit Facility provides for borrowings of up to $1.5 billion through the Revolving Facility, subject to customary conditions. Among other things, the 2021 Credit Facility (1) extended the maturity date from April 24, 2022 to June 15, 2026, (2) eliminated the $500.0 million delayed draw facility (3) reduced the per annum variable interest rates on borrowings and (4) added a sustainability-linked pricing component. Under the 2021 Credit Facility, BPLP may increase the total commitment by up to $500.0 million by increasing the amount of the Revolving Facility and/or by incurring one or more term loans, in each case, subject to syndication of the increase and other conditions. Based on BPLP’s September 30, 2022 credit rating, (1) the applicable Eurocurrency and LIBOR Daily Floating Rate margins are 0.775%, (2) the alternate base rate margin is zero basis points and (3) the facility fee is 0.15% per annum.</w:t>
      </w:r>
    </w:p>
    <w:p>
      <w:pPr>
        <w:spacing w:after="0" w:line="122" w:lineRule="exact"/>
        <w:rPr>
          <w:sz w:val="20"/>
          <w:szCs w:val="20"/>
          <w:color w:val="auto"/>
        </w:rPr>
      </w:pPr>
    </w:p>
    <w:p>
      <w:pPr>
        <w:ind w:firstLine="419"/>
        <w:spacing w:after="0" w:line="266" w:lineRule="auto"/>
        <w:rPr>
          <w:sz w:val="20"/>
          <w:szCs w:val="20"/>
          <w:color w:val="auto"/>
        </w:rPr>
      </w:pPr>
      <w:r>
        <w:rPr>
          <w:rFonts w:ascii="Arial" w:cs="Arial" w:eastAsia="Arial" w:hAnsi="Arial"/>
          <w:sz w:val="17"/>
          <w:szCs w:val="17"/>
          <w:color w:val="auto"/>
        </w:rPr>
        <w:t>At September 30, 2022, BPLP had $ 340.0 million of borrowings under its Revolving Facility and outstanding letters of credit totaling approximately $6.4 million, with the ability to borrow approximately $1.2 billion. At November 1, 2022, BPLP had $440.0 million of borrowings under its Revolving Facility and outstanding letters of credit totaling approximately $6.4 million, with the ability to borrow approximately $1.1 billion.</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Unsecured Term Loan</w:t>
      </w:r>
    </w:p>
    <w:p>
      <w:pPr>
        <w:spacing w:after="0" w:line="96" w:lineRule="exact"/>
        <w:rPr>
          <w:sz w:val="20"/>
          <w:szCs w:val="20"/>
          <w:color w:val="auto"/>
        </w:rPr>
      </w:pPr>
    </w:p>
    <w:p>
      <w:pPr>
        <w:ind w:right="320" w:firstLine="419"/>
        <w:spacing w:after="0" w:line="283" w:lineRule="auto"/>
        <w:rPr>
          <w:sz w:val="20"/>
          <w:szCs w:val="20"/>
          <w:color w:val="auto"/>
        </w:rPr>
      </w:pPr>
      <w:r>
        <w:rPr>
          <w:rFonts w:ascii="Arial" w:cs="Arial" w:eastAsia="Arial" w:hAnsi="Arial"/>
          <w:sz w:val="17"/>
          <w:szCs w:val="17"/>
          <w:color w:val="auto"/>
        </w:rPr>
        <w:t>On May 17, 2022, BPLP entered into an Unsecured Term Loan providing for a single borrowing of up to $730.0 million. The Unsecured Term Loan matures on May 16, 2023.</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At BPLP’s option, the Unsecured Term Loan will bear interest at a rate per annum equal to (A) (1) a base rate per annum equal to the greater of</w:t>
      </w:r>
    </w:p>
    <w:p>
      <w:pPr>
        <w:spacing w:after="0" w:line="35" w:lineRule="exact"/>
        <w:rPr>
          <w:sz w:val="20"/>
          <w:szCs w:val="20"/>
          <w:color w:val="auto"/>
        </w:rPr>
      </w:pPr>
    </w:p>
    <w:p>
      <w:pPr>
        <w:ind w:right="140" w:firstLine="2"/>
        <w:spacing w:after="0" w:line="252" w:lineRule="auto"/>
        <w:tabs>
          <w:tab w:leader="none" w:pos="254"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federal funds rate plus 0.5%, (b) the administrative agent’s prime rate, (c) term SOFR plus 1.00% and (d) 1.00%, or (2) a term SOFR rate per annum equal to the forward-looking SOFR term rate administered by CME Group Benchmark Administration (“CME”) two business days prior to the commencement of such interest period; or if the rate is unavailable, then the forward-looking SOFR term rate administered by CME on the first business day immediately prior thereto, in each case, plus 0.10%, and (B) a margin ranging from zero to 160 basis points based on BPLP’s credit rating.</w:t>
      </w:r>
    </w:p>
    <w:p>
      <w:pPr>
        <w:spacing w:after="0" w:line="125" w:lineRule="exact"/>
        <w:rPr>
          <w:sz w:val="20"/>
          <w:szCs w:val="20"/>
          <w:color w:val="auto"/>
        </w:rPr>
      </w:pPr>
    </w:p>
    <w:p>
      <w:pPr>
        <w:ind w:right="300" w:firstLine="419"/>
        <w:spacing w:after="0" w:line="260" w:lineRule="auto"/>
        <w:rPr>
          <w:sz w:val="20"/>
          <w:szCs w:val="20"/>
          <w:color w:val="auto"/>
        </w:rPr>
      </w:pPr>
      <w:r>
        <w:rPr>
          <w:rFonts w:ascii="Arial" w:cs="Arial" w:eastAsia="Arial" w:hAnsi="Arial"/>
          <w:sz w:val="17"/>
          <w:szCs w:val="17"/>
          <w:color w:val="auto"/>
        </w:rPr>
        <w:t>On May 17, 2022, BPLP exercised its option to draw $730.0 million under the Unsecured Term Loan (See Notes 3 and 6 to the Consolidated Financial Statements). As of September 30, 2022, the Unsecured Term Loan bears interest at a variable rate equal to term SOFR plus 0.95% per annum based on BPLP’s current credit rating at September 30, 2022. At September 30, 2022, BPLP had $730.0 million outstanding under its Unsecured Term Loan.</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bookmarkStart w:id="93" w:name="page94"/>
    <w:bookmarkEnd w:id="9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Unsecured Senior Notes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summarizes the unsecured senior notes outstanding as of September 30, 2022 (dollars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Coupon/Stated Rate</w:t>
            </w:r>
          </w:p>
        </w:tc>
        <w:tc>
          <w:tcPr>
            <w:tcW w:w="184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Effective Rate(1)</w:t>
            </w:r>
          </w:p>
        </w:tc>
        <w:tc>
          <w:tcPr>
            <w:tcW w:w="128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Principal Amount</w:t>
            </w:r>
          </w:p>
        </w:tc>
        <w:tc>
          <w:tcPr>
            <w:tcW w:w="200" w:type="dxa"/>
            <w:vAlign w:val="bottom"/>
          </w:tcPr>
          <w:p>
            <w:pPr>
              <w:spacing w:after="0"/>
              <w:rPr>
                <w:sz w:val="16"/>
                <w:szCs w:val="16"/>
                <w:color w:val="auto"/>
              </w:rPr>
            </w:pPr>
          </w:p>
        </w:tc>
        <w:tc>
          <w:tcPr>
            <w:tcW w:w="2520" w:type="dxa"/>
            <w:vAlign w:val="bottom"/>
          </w:tcPr>
          <w:p>
            <w:pPr>
              <w:ind w:left="760"/>
              <w:spacing w:after="0"/>
              <w:rPr>
                <w:sz w:val="20"/>
                <w:szCs w:val="20"/>
                <w:color w:val="auto"/>
              </w:rPr>
            </w:pPr>
            <w:r>
              <w:rPr>
                <w:rFonts w:ascii="Arial" w:cs="Arial" w:eastAsia="Arial" w:hAnsi="Arial"/>
                <w:sz w:val="14"/>
                <w:szCs w:val="14"/>
                <w:b w:val="1"/>
                <w:bCs w:val="1"/>
                <w:color w:val="auto"/>
              </w:rPr>
              <w:t>Maturity Date(2)</w:t>
            </w:r>
          </w:p>
        </w:tc>
      </w:tr>
      <w:tr>
        <w:trPr>
          <w:trHeight w:val="209"/>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10.5 Year Unsecured Senior Notes</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3.125 %</w:t>
            </w: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3.279 %</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2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September 1, 2023</w:t>
            </w:r>
          </w:p>
        </w:tc>
      </w:tr>
      <w:tr>
        <w:trPr>
          <w:trHeight w:val="216"/>
        </w:trPr>
        <w:tc>
          <w:tcPr>
            <w:tcW w:w="3660" w:type="dxa"/>
            <w:vAlign w:val="bottom"/>
          </w:tcPr>
          <w:p>
            <w:pPr>
              <w:ind w:left="20"/>
              <w:spacing w:after="0"/>
              <w:rPr>
                <w:sz w:val="20"/>
                <w:szCs w:val="20"/>
                <w:color w:val="auto"/>
              </w:rPr>
            </w:pPr>
            <w:r>
              <w:rPr>
                <w:rFonts w:ascii="Arial" w:cs="Arial" w:eastAsia="Arial" w:hAnsi="Arial"/>
                <w:sz w:val="17"/>
                <w:szCs w:val="17"/>
                <w:color w:val="auto"/>
              </w:rPr>
              <w:t>10.5 Year Unsecured Senior Notes</w:t>
            </w:r>
          </w:p>
        </w:tc>
        <w:tc>
          <w:tcPr>
            <w:tcW w:w="1540" w:type="dxa"/>
            <w:vAlign w:val="bottom"/>
          </w:tcPr>
          <w:p>
            <w:pPr>
              <w:jc w:val="right"/>
              <w:spacing w:after="0"/>
              <w:rPr>
                <w:sz w:val="20"/>
                <w:szCs w:val="20"/>
                <w:color w:val="auto"/>
              </w:rPr>
            </w:pPr>
            <w:r>
              <w:rPr>
                <w:rFonts w:ascii="Arial" w:cs="Arial" w:eastAsia="Arial" w:hAnsi="Arial"/>
                <w:sz w:val="17"/>
                <w:szCs w:val="17"/>
                <w:color w:val="auto"/>
              </w:rPr>
              <w:t>3.800 %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3.916 %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700,000</w:t>
            </w:r>
          </w:p>
        </w:tc>
        <w:tc>
          <w:tcPr>
            <w:tcW w:w="200" w:type="dxa"/>
            <w:vAlign w:val="bottom"/>
          </w:tcPr>
          <w:p>
            <w:pPr>
              <w:spacing w:after="0"/>
              <w:rPr>
                <w:sz w:val="18"/>
                <w:szCs w:val="18"/>
                <w:color w:val="auto"/>
              </w:rPr>
            </w:pPr>
          </w:p>
        </w:tc>
        <w:tc>
          <w:tcPr>
            <w:tcW w:w="2520" w:type="dxa"/>
            <w:vAlign w:val="bottom"/>
          </w:tcPr>
          <w:p>
            <w:pPr>
              <w:ind w:left="20"/>
              <w:spacing w:after="0"/>
              <w:rPr>
                <w:sz w:val="20"/>
                <w:szCs w:val="20"/>
                <w:color w:val="auto"/>
              </w:rPr>
            </w:pPr>
            <w:r>
              <w:rPr>
                <w:rFonts w:ascii="Arial" w:cs="Arial" w:eastAsia="Arial" w:hAnsi="Arial"/>
                <w:sz w:val="17"/>
                <w:szCs w:val="17"/>
                <w:color w:val="auto"/>
              </w:rPr>
              <w:t>February 1, 2024</w:t>
            </w: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7 Year Unsecured Senior Notes</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3.350 %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w:t>
            </w:r>
          </w:p>
        </w:tc>
        <w:tc>
          <w:tcPr>
            <w:tcW w:w="200" w:type="dxa"/>
            <w:vAlign w:val="bottom"/>
            <w:shd w:val="clear" w:color="auto" w:fill="CCEEFF"/>
          </w:tcPr>
          <w:p>
            <w:pPr>
              <w:spacing w:after="0"/>
              <w:rPr>
                <w:sz w:val="18"/>
                <w:szCs w:val="18"/>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January 15, 2025</w:t>
            </w:r>
          </w:p>
        </w:tc>
      </w:tr>
      <w:tr>
        <w:trPr>
          <w:trHeight w:val="216"/>
        </w:trPr>
        <w:tc>
          <w:tcPr>
            <w:tcW w:w="3660" w:type="dxa"/>
            <w:vAlign w:val="bottom"/>
          </w:tcPr>
          <w:p>
            <w:pPr>
              <w:ind w:left="20"/>
              <w:spacing w:after="0"/>
              <w:rPr>
                <w:sz w:val="20"/>
                <w:szCs w:val="20"/>
                <w:color w:val="auto"/>
              </w:rPr>
            </w:pPr>
            <w:r>
              <w:rPr>
                <w:rFonts w:ascii="Arial" w:cs="Arial" w:eastAsia="Arial" w:hAnsi="Arial"/>
                <w:sz w:val="17"/>
                <w:szCs w:val="17"/>
                <w:color w:val="auto"/>
              </w:rPr>
              <w:t>10 Year Unsecured Senior Notes</w:t>
            </w:r>
          </w:p>
        </w:tc>
        <w:tc>
          <w:tcPr>
            <w:tcW w:w="1540" w:type="dxa"/>
            <w:vAlign w:val="bottom"/>
          </w:tcPr>
          <w:p>
            <w:pPr>
              <w:jc w:val="right"/>
              <w:spacing w:after="0"/>
              <w:rPr>
                <w:sz w:val="20"/>
                <w:szCs w:val="20"/>
                <w:color w:val="auto"/>
              </w:rPr>
            </w:pPr>
            <w:r>
              <w:rPr>
                <w:rFonts w:ascii="Arial" w:cs="Arial" w:eastAsia="Arial" w:hAnsi="Arial"/>
                <w:sz w:val="17"/>
                <w:szCs w:val="17"/>
                <w:color w:val="auto"/>
              </w:rPr>
              <w:t>3.650 %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3.766 %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1,000,000</w:t>
            </w:r>
          </w:p>
        </w:tc>
        <w:tc>
          <w:tcPr>
            <w:tcW w:w="200" w:type="dxa"/>
            <w:vAlign w:val="bottom"/>
          </w:tcPr>
          <w:p>
            <w:pPr>
              <w:spacing w:after="0"/>
              <w:rPr>
                <w:sz w:val="18"/>
                <w:szCs w:val="18"/>
                <w:color w:val="auto"/>
              </w:rPr>
            </w:pPr>
          </w:p>
        </w:tc>
        <w:tc>
          <w:tcPr>
            <w:tcW w:w="2520" w:type="dxa"/>
            <w:vAlign w:val="bottom"/>
          </w:tcPr>
          <w:p>
            <w:pPr>
              <w:ind w:left="20"/>
              <w:spacing w:after="0"/>
              <w:rPr>
                <w:sz w:val="20"/>
                <w:szCs w:val="20"/>
                <w:color w:val="auto"/>
              </w:rPr>
            </w:pPr>
            <w:r>
              <w:rPr>
                <w:rFonts w:ascii="Arial" w:cs="Arial" w:eastAsia="Arial" w:hAnsi="Arial"/>
                <w:sz w:val="17"/>
                <w:szCs w:val="17"/>
                <w:color w:val="auto"/>
              </w:rPr>
              <w:t>February 1, 2026</w:t>
            </w: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 Year Unsecured Senior Notes</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2.750 %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3.495 %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200" w:type="dxa"/>
            <w:vAlign w:val="bottom"/>
            <w:shd w:val="clear" w:color="auto" w:fill="CCEEFF"/>
          </w:tcPr>
          <w:p>
            <w:pPr>
              <w:spacing w:after="0"/>
              <w:rPr>
                <w:sz w:val="18"/>
                <w:szCs w:val="18"/>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October 1, 2026</w:t>
            </w:r>
          </w:p>
        </w:tc>
      </w:tr>
      <w:tr>
        <w:trPr>
          <w:trHeight w:val="216"/>
        </w:trPr>
        <w:tc>
          <w:tcPr>
            <w:tcW w:w="3660" w:type="dxa"/>
            <w:vAlign w:val="bottom"/>
          </w:tcPr>
          <w:p>
            <w:pPr>
              <w:ind w:left="20"/>
              <w:spacing w:after="0"/>
              <w:rPr>
                <w:sz w:val="20"/>
                <w:szCs w:val="20"/>
                <w:color w:val="auto"/>
              </w:rPr>
            </w:pPr>
            <w:r>
              <w:rPr>
                <w:rFonts w:ascii="Arial" w:cs="Arial" w:eastAsia="Arial" w:hAnsi="Arial"/>
                <w:sz w:val="17"/>
                <w:szCs w:val="17"/>
                <w:color w:val="auto"/>
              </w:rPr>
              <w:t>10 Year Unsecured Senior Notes</w:t>
            </w:r>
          </w:p>
        </w:tc>
        <w:tc>
          <w:tcPr>
            <w:tcW w:w="1540" w:type="dxa"/>
            <w:vAlign w:val="bottom"/>
          </w:tcPr>
          <w:p>
            <w:pPr>
              <w:jc w:val="right"/>
              <w:spacing w:after="0"/>
              <w:rPr>
                <w:sz w:val="20"/>
                <w:szCs w:val="20"/>
                <w:color w:val="auto"/>
              </w:rPr>
            </w:pPr>
            <w:r>
              <w:rPr>
                <w:rFonts w:ascii="Arial" w:cs="Arial" w:eastAsia="Arial" w:hAnsi="Arial"/>
                <w:sz w:val="17"/>
                <w:szCs w:val="17"/>
                <w:color w:val="auto"/>
              </w:rPr>
              <w:t>4.500 %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4.628 %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1,000,000</w:t>
            </w:r>
          </w:p>
        </w:tc>
        <w:tc>
          <w:tcPr>
            <w:tcW w:w="200" w:type="dxa"/>
            <w:vAlign w:val="bottom"/>
          </w:tcPr>
          <w:p>
            <w:pPr>
              <w:spacing w:after="0"/>
              <w:rPr>
                <w:sz w:val="18"/>
                <w:szCs w:val="18"/>
                <w:color w:val="auto"/>
              </w:rPr>
            </w:pPr>
          </w:p>
        </w:tc>
        <w:tc>
          <w:tcPr>
            <w:tcW w:w="2520" w:type="dxa"/>
            <w:vAlign w:val="bottom"/>
          </w:tcPr>
          <w:p>
            <w:pPr>
              <w:ind w:left="20"/>
              <w:spacing w:after="0"/>
              <w:rPr>
                <w:sz w:val="20"/>
                <w:szCs w:val="20"/>
                <w:color w:val="auto"/>
              </w:rPr>
            </w:pPr>
            <w:r>
              <w:rPr>
                <w:rFonts w:ascii="Arial" w:cs="Arial" w:eastAsia="Arial" w:hAnsi="Arial"/>
                <w:sz w:val="17"/>
                <w:szCs w:val="17"/>
                <w:color w:val="auto"/>
              </w:rPr>
              <w:t>December 1, 2028</w:t>
            </w: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 Year Unsecured Senior Notes</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3.400 %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3.505 %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w:t>
            </w:r>
          </w:p>
        </w:tc>
        <w:tc>
          <w:tcPr>
            <w:tcW w:w="200" w:type="dxa"/>
            <w:vAlign w:val="bottom"/>
            <w:shd w:val="clear" w:color="auto" w:fill="CCEEFF"/>
          </w:tcPr>
          <w:p>
            <w:pPr>
              <w:spacing w:after="0"/>
              <w:rPr>
                <w:sz w:val="18"/>
                <w:szCs w:val="18"/>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21, 2029</w:t>
            </w:r>
          </w:p>
        </w:tc>
      </w:tr>
      <w:tr>
        <w:trPr>
          <w:trHeight w:val="216"/>
        </w:trPr>
        <w:tc>
          <w:tcPr>
            <w:tcW w:w="3660" w:type="dxa"/>
            <w:vAlign w:val="bottom"/>
          </w:tcPr>
          <w:p>
            <w:pPr>
              <w:ind w:left="20"/>
              <w:spacing w:after="0"/>
              <w:rPr>
                <w:sz w:val="20"/>
                <w:szCs w:val="20"/>
                <w:color w:val="auto"/>
              </w:rPr>
            </w:pPr>
            <w:r>
              <w:rPr>
                <w:rFonts w:ascii="Arial" w:cs="Arial" w:eastAsia="Arial" w:hAnsi="Arial"/>
                <w:sz w:val="17"/>
                <w:szCs w:val="17"/>
                <w:color w:val="auto"/>
              </w:rPr>
              <w:t>10.5 Year Unsecured Senior Notes</w:t>
            </w:r>
          </w:p>
        </w:tc>
        <w:tc>
          <w:tcPr>
            <w:tcW w:w="1540" w:type="dxa"/>
            <w:vAlign w:val="bottom"/>
          </w:tcPr>
          <w:p>
            <w:pPr>
              <w:jc w:val="right"/>
              <w:spacing w:after="0"/>
              <w:rPr>
                <w:sz w:val="20"/>
                <w:szCs w:val="20"/>
                <w:color w:val="auto"/>
              </w:rPr>
            </w:pPr>
            <w:r>
              <w:rPr>
                <w:rFonts w:ascii="Arial" w:cs="Arial" w:eastAsia="Arial" w:hAnsi="Arial"/>
                <w:sz w:val="17"/>
                <w:szCs w:val="17"/>
                <w:color w:val="auto"/>
              </w:rPr>
              <w:t>2.900 %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2.984 %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700,000</w:t>
            </w:r>
          </w:p>
        </w:tc>
        <w:tc>
          <w:tcPr>
            <w:tcW w:w="200" w:type="dxa"/>
            <w:vAlign w:val="bottom"/>
          </w:tcPr>
          <w:p>
            <w:pPr>
              <w:spacing w:after="0"/>
              <w:rPr>
                <w:sz w:val="18"/>
                <w:szCs w:val="18"/>
                <w:color w:val="auto"/>
              </w:rPr>
            </w:pPr>
          </w:p>
        </w:tc>
        <w:tc>
          <w:tcPr>
            <w:tcW w:w="2520" w:type="dxa"/>
            <w:vAlign w:val="bottom"/>
          </w:tcPr>
          <w:p>
            <w:pPr>
              <w:ind w:left="20"/>
              <w:spacing w:after="0"/>
              <w:rPr>
                <w:sz w:val="20"/>
                <w:szCs w:val="20"/>
                <w:color w:val="auto"/>
              </w:rPr>
            </w:pPr>
            <w:r>
              <w:rPr>
                <w:rFonts w:ascii="Arial" w:cs="Arial" w:eastAsia="Arial" w:hAnsi="Arial"/>
                <w:sz w:val="17"/>
                <w:szCs w:val="17"/>
                <w:color w:val="auto"/>
              </w:rPr>
              <w:t>March 15, 2030</w:t>
            </w: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10.75 Year Unsecured Senior Notes</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3.250 %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3.343 %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1,250,000</w:t>
            </w:r>
          </w:p>
        </w:tc>
        <w:tc>
          <w:tcPr>
            <w:tcW w:w="200" w:type="dxa"/>
            <w:vAlign w:val="bottom"/>
            <w:shd w:val="clear" w:color="auto" w:fill="CCEEFF"/>
          </w:tcPr>
          <w:p>
            <w:pPr>
              <w:spacing w:after="0"/>
              <w:rPr>
                <w:sz w:val="18"/>
                <w:szCs w:val="18"/>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January 30, 2031</w:t>
            </w:r>
          </w:p>
        </w:tc>
      </w:tr>
      <w:tr>
        <w:trPr>
          <w:trHeight w:val="216"/>
        </w:trPr>
        <w:tc>
          <w:tcPr>
            <w:tcW w:w="3660" w:type="dxa"/>
            <w:vAlign w:val="bottom"/>
          </w:tcPr>
          <w:p>
            <w:pPr>
              <w:ind w:left="20"/>
              <w:spacing w:after="0"/>
              <w:rPr>
                <w:sz w:val="20"/>
                <w:szCs w:val="20"/>
                <w:color w:val="auto"/>
              </w:rPr>
            </w:pPr>
            <w:r>
              <w:rPr>
                <w:rFonts w:ascii="Arial" w:cs="Arial" w:eastAsia="Arial" w:hAnsi="Arial"/>
                <w:sz w:val="17"/>
                <w:szCs w:val="17"/>
                <w:color w:val="auto"/>
              </w:rPr>
              <w:t>11 Year Unsecured Senior Notes</w:t>
            </w:r>
          </w:p>
        </w:tc>
        <w:tc>
          <w:tcPr>
            <w:tcW w:w="1540" w:type="dxa"/>
            <w:vAlign w:val="bottom"/>
          </w:tcPr>
          <w:p>
            <w:pPr>
              <w:jc w:val="right"/>
              <w:spacing w:after="0"/>
              <w:rPr>
                <w:sz w:val="20"/>
                <w:szCs w:val="20"/>
                <w:color w:val="auto"/>
              </w:rPr>
            </w:pPr>
            <w:r>
              <w:rPr>
                <w:rFonts w:ascii="Arial" w:cs="Arial" w:eastAsia="Arial" w:hAnsi="Arial"/>
                <w:sz w:val="17"/>
                <w:szCs w:val="17"/>
                <w:color w:val="auto"/>
              </w:rPr>
              <w:t>2.550 %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2.671 %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850,000</w:t>
            </w:r>
          </w:p>
        </w:tc>
        <w:tc>
          <w:tcPr>
            <w:tcW w:w="200" w:type="dxa"/>
            <w:vAlign w:val="bottom"/>
          </w:tcPr>
          <w:p>
            <w:pPr>
              <w:spacing w:after="0"/>
              <w:rPr>
                <w:sz w:val="18"/>
                <w:szCs w:val="18"/>
                <w:color w:val="auto"/>
              </w:rPr>
            </w:pPr>
          </w:p>
        </w:tc>
        <w:tc>
          <w:tcPr>
            <w:tcW w:w="2520" w:type="dxa"/>
            <w:vAlign w:val="bottom"/>
          </w:tcPr>
          <w:p>
            <w:pPr>
              <w:ind w:left="20"/>
              <w:spacing w:after="0"/>
              <w:rPr>
                <w:sz w:val="20"/>
                <w:szCs w:val="20"/>
                <w:color w:val="auto"/>
              </w:rPr>
            </w:pPr>
            <w:r>
              <w:rPr>
                <w:rFonts w:ascii="Arial" w:cs="Arial" w:eastAsia="Arial" w:hAnsi="Arial"/>
                <w:sz w:val="17"/>
                <w:szCs w:val="17"/>
                <w:color w:val="auto"/>
              </w:rPr>
              <w:t>April 1, 2032</w:t>
            </w: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12 Year Unsecured Senior Notes</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2.450 %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2.524 %</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850,000</w:t>
            </w:r>
          </w:p>
        </w:tc>
        <w:tc>
          <w:tcPr>
            <w:tcW w:w="200" w:type="dxa"/>
            <w:vAlign w:val="bottom"/>
            <w:shd w:val="clear" w:color="auto" w:fill="CCEEFF"/>
          </w:tcPr>
          <w:p>
            <w:pPr>
              <w:spacing w:after="0"/>
              <w:rPr>
                <w:sz w:val="18"/>
                <w:szCs w:val="18"/>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October 1, 2033</w:t>
            </w:r>
          </w:p>
        </w:tc>
      </w:tr>
      <w:tr>
        <w:trPr>
          <w:trHeight w:val="208"/>
        </w:trPr>
        <w:tc>
          <w:tcPr>
            <w:tcW w:w="3660" w:type="dxa"/>
            <w:vAlign w:val="bottom"/>
          </w:tcPr>
          <w:p>
            <w:pPr>
              <w:ind w:left="20"/>
              <w:spacing w:after="0"/>
              <w:rPr>
                <w:sz w:val="20"/>
                <w:szCs w:val="20"/>
                <w:color w:val="auto"/>
              </w:rPr>
            </w:pPr>
            <w:r>
              <w:rPr>
                <w:rFonts w:ascii="Arial" w:cs="Arial" w:eastAsia="Arial" w:hAnsi="Arial"/>
                <w:sz w:val="17"/>
                <w:szCs w:val="17"/>
                <w:color w:val="auto"/>
              </w:rPr>
              <w:t>Total principal</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9,550,000</w:t>
            </w:r>
          </w:p>
        </w:tc>
        <w:tc>
          <w:tcPr>
            <w:tcW w:w="2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7"/>
                <w:szCs w:val="17"/>
                <w:color w:val="auto"/>
              </w:rPr>
              <w:t>Net unamortized discount</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14,391</w:t>
            </w:r>
          </w:p>
        </w:tc>
        <w:tc>
          <w:tcPr>
            <w:tcW w:w="2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financing costs, net</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43,895</w:t>
            </w:r>
          </w:p>
        </w:tc>
        <w:tc>
          <w:tcPr>
            <w:tcW w:w="2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r>
      <w:tr>
        <w:trPr>
          <w:trHeight w:val="208"/>
        </w:trPr>
        <w:tc>
          <w:tcPr>
            <w:tcW w:w="3660" w:type="dxa"/>
            <w:vAlign w:val="bottom"/>
          </w:tcPr>
          <w:p>
            <w:pPr>
              <w:ind w:left="20"/>
              <w:spacing w:after="0"/>
              <w:rPr>
                <w:sz w:val="20"/>
                <w:szCs w:val="20"/>
                <w:color w:val="auto"/>
              </w:rPr>
            </w:pPr>
            <w:r>
              <w:rPr>
                <w:rFonts w:ascii="Arial" w:cs="Arial" w:eastAsia="Arial" w:hAnsi="Arial"/>
                <w:sz w:val="17"/>
                <w:szCs w:val="17"/>
                <w:color w:val="auto"/>
              </w:rPr>
              <w:t>Total</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9,491,714</w:t>
            </w:r>
          </w:p>
        </w:tc>
        <w:tc>
          <w:tcPr>
            <w:tcW w:w="2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w:t>
      </w:r>
    </w:p>
    <w:p>
      <w:pPr>
        <w:spacing w:after="0" w:line="19" w:lineRule="exact"/>
        <w:rPr>
          <w:sz w:val="20"/>
          <w:szCs w:val="20"/>
          <w:color w:val="auto"/>
        </w:rPr>
      </w:pPr>
    </w:p>
    <w:p>
      <w:pPr>
        <w:ind w:left="460" w:hanging="306"/>
        <w:spacing w:after="0"/>
        <w:tabs>
          <w:tab w:leader="none" w:pos="4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Yield on issuance date including the effects of discounts on the notes, settlements of interest rate contracts and the amortization of financing costs.</w:t>
      </w:r>
    </w:p>
    <w:p>
      <w:pPr>
        <w:spacing w:after="0" w:line="13" w:lineRule="exact"/>
        <w:rPr>
          <w:rFonts w:ascii="Arial" w:cs="Arial" w:eastAsia="Arial" w:hAnsi="Arial"/>
          <w:sz w:val="15"/>
          <w:szCs w:val="15"/>
          <w:color w:val="auto"/>
        </w:rPr>
      </w:pPr>
    </w:p>
    <w:p>
      <w:pPr>
        <w:ind w:left="460" w:hanging="306"/>
        <w:spacing w:after="0"/>
        <w:tabs>
          <w:tab w:leader="none" w:pos="4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No principal amounts are due prior to maturity.</w:t>
      </w:r>
    </w:p>
    <w:p>
      <w:pPr>
        <w:spacing w:after="0" w:line="232" w:lineRule="exact"/>
        <w:rPr>
          <w:sz w:val="20"/>
          <w:szCs w:val="20"/>
          <w:color w:val="auto"/>
        </w:rPr>
      </w:pPr>
    </w:p>
    <w:p>
      <w:pPr>
        <w:ind w:right="40" w:firstLine="419"/>
        <w:spacing w:after="0" w:line="260" w:lineRule="auto"/>
        <w:rPr>
          <w:sz w:val="20"/>
          <w:szCs w:val="20"/>
          <w:color w:val="auto"/>
        </w:rPr>
      </w:pPr>
      <w:r>
        <w:rPr>
          <w:rFonts w:ascii="Arial" w:cs="Arial" w:eastAsia="Arial" w:hAnsi="Arial"/>
          <w:sz w:val="17"/>
          <w:szCs w:val="17"/>
          <w:color w:val="auto"/>
        </w:rPr>
        <w:t>The indenture relating to the unsecured senior notes contains certain financial restrictions and requirements, including (1) a leverage ratio not to exceed 60%, (2) a secured debt leverage ratio not to exceed 50%, (3) an interest coverage ratio of greater than 1.50, and (4) an unencumbered asset value of not less than 150% of unsecured debt. At September 30, 2022, BPLP was in compliance with each of these financial restrictions and requirements.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Mortgage Notes Payable</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represents the outstanding principal balances due under the mortgage notes payable at September 30, 2022:</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1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ind w:right="277"/>
              <w:spacing w:after="0"/>
              <w:rPr>
                <w:sz w:val="20"/>
                <w:szCs w:val="20"/>
                <w:color w:val="auto"/>
              </w:rPr>
            </w:pPr>
            <w:r>
              <w:rPr>
                <w:rFonts w:ascii="Arial" w:cs="Arial" w:eastAsia="Arial" w:hAnsi="Arial"/>
                <w:sz w:val="12"/>
                <w:szCs w:val="12"/>
                <w:b w:val="1"/>
                <w:bCs w:val="1"/>
                <w:color w:val="auto"/>
              </w:rPr>
              <w:t>Stated</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GAAP</w:t>
            </w:r>
          </w:p>
        </w:tc>
        <w:tc>
          <w:tcPr>
            <w:tcW w:w="108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9"/>
              </w:rPr>
              <w:t>Stated Principal</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Deferred</w:t>
            </w:r>
          </w:p>
        </w:tc>
        <w:tc>
          <w:tcPr>
            <w:tcW w:w="18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7"/>
              </w:rPr>
              <w:t>Carrying</w:t>
            </w:r>
          </w:p>
        </w:tc>
        <w:tc>
          <w:tcPr>
            <w:tcW w:w="180" w:type="dxa"/>
            <w:vAlign w:val="bottom"/>
          </w:tcPr>
          <w:p>
            <w:pPr>
              <w:spacing w:after="0"/>
              <w:rPr>
                <w:sz w:val="12"/>
                <w:szCs w:val="12"/>
                <w:color w:val="auto"/>
              </w:rPr>
            </w:pPr>
          </w:p>
        </w:tc>
        <w:tc>
          <w:tcPr>
            <w:tcW w:w="820" w:type="dxa"/>
            <w:vAlign w:val="bottom"/>
          </w:tcPr>
          <w:p>
            <w:pPr>
              <w:jc w:val="right"/>
              <w:ind w:right="196"/>
              <w:spacing w:after="0"/>
              <w:rPr>
                <w:sz w:val="20"/>
                <w:szCs w:val="20"/>
                <w:color w:val="auto"/>
              </w:rPr>
            </w:pPr>
            <w:r>
              <w:rPr>
                <w:rFonts w:ascii="Arial" w:cs="Arial" w:eastAsia="Arial" w:hAnsi="Arial"/>
                <w:sz w:val="12"/>
                <w:szCs w:val="12"/>
                <w:b w:val="1"/>
                <w:bCs w:val="1"/>
                <w:color w:val="auto"/>
              </w:rPr>
              <w:t>Carrying</w:t>
            </w:r>
          </w:p>
        </w:tc>
        <w:tc>
          <w:tcPr>
            <w:tcW w:w="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Properties</w:t>
            </w:r>
          </w:p>
        </w:tc>
        <w:tc>
          <w:tcPr>
            <w:tcW w:w="960" w:type="dxa"/>
            <w:vAlign w:val="bottom"/>
            <w:vMerge w:val="continue"/>
          </w:tcPr>
          <w:p>
            <w:pPr>
              <w:spacing w:after="0"/>
              <w:rPr>
                <w:sz w:val="9"/>
                <w:szCs w:val="9"/>
                <w:color w:val="auto"/>
              </w:rPr>
            </w:pPr>
          </w:p>
        </w:tc>
        <w:tc>
          <w:tcPr>
            <w:tcW w:w="1000" w:type="dxa"/>
            <w:vAlign w:val="bottom"/>
          </w:tcPr>
          <w:p>
            <w:pPr>
              <w:jc w:val="center"/>
              <w:ind w:right="17"/>
              <w:spacing w:after="0" w:line="114" w:lineRule="exact"/>
              <w:rPr>
                <w:sz w:val="20"/>
                <w:szCs w:val="20"/>
                <w:color w:val="auto"/>
              </w:rPr>
            </w:pPr>
            <w:r>
              <w:rPr>
                <w:rFonts w:ascii="Arial" w:cs="Arial" w:eastAsia="Arial" w:hAnsi="Arial"/>
                <w:sz w:val="12"/>
                <w:szCs w:val="12"/>
                <w:b w:val="1"/>
                <w:bCs w:val="1"/>
                <w:color w:val="auto"/>
                <w:w w:val="98"/>
              </w:rPr>
              <w:t>Interest Rate</w:t>
            </w:r>
          </w:p>
        </w:tc>
        <w:tc>
          <w:tcPr>
            <w:tcW w:w="10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center"/>
              <w:ind w:right="240"/>
              <w:spacing w:after="0" w:line="114" w:lineRule="exact"/>
              <w:rPr>
                <w:sz w:val="20"/>
                <w:szCs w:val="20"/>
                <w:color w:val="auto"/>
              </w:rPr>
            </w:pPr>
            <w:r>
              <w:rPr>
                <w:rFonts w:ascii="Arial" w:cs="Arial" w:eastAsia="Arial" w:hAnsi="Arial"/>
                <w:sz w:val="12"/>
                <w:szCs w:val="12"/>
                <w:b w:val="1"/>
                <w:bCs w:val="1"/>
                <w:color w:val="auto"/>
                <w:w w:val="98"/>
              </w:rPr>
              <w:t>Financing</w:t>
            </w:r>
          </w:p>
        </w:tc>
        <w:tc>
          <w:tcPr>
            <w:tcW w:w="1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jc w:val="right"/>
              <w:ind w:right="216"/>
              <w:spacing w:after="0" w:line="114" w:lineRule="exact"/>
              <w:rPr>
                <w:sz w:val="20"/>
                <w:szCs w:val="20"/>
                <w:color w:val="auto"/>
              </w:rPr>
            </w:pPr>
            <w:r>
              <w:rPr>
                <w:rFonts w:ascii="Arial" w:cs="Arial" w:eastAsia="Arial" w:hAnsi="Arial"/>
                <w:sz w:val="12"/>
                <w:szCs w:val="12"/>
                <w:b w:val="1"/>
                <w:bCs w:val="1"/>
                <w:color w:val="auto"/>
              </w:rPr>
              <w:t>Amount</w:t>
            </w:r>
          </w:p>
        </w:tc>
        <w:tc>
          <w:tcPr>
            <w:tcW w:w="840" w:type="dxa"/>
            <w:vAlign w:val="bottom"/>
          </w:tcPr>
          <w:p>
            <w:pPr>
              <w:spacing w:after="0"/>
              <w:rPr>
                <w:sz w:val="9"/>
                <w:szCs w:val="9"/>
                <w:color w:val="auto"/>
              </w:rPr>
            </w:pPr>
          </w:p>
        </w:tc>
        <w:tc>
          <w:tcPr>
            <w:tcW w:w="14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Maturity Date</w:t>
            </w:r>
          </w:p>
        </w:tc>
        <w:tc>
          <w:tcPr>
            <w:tcW w:w="0" w:type="dxa"/>
            <w:vAlign w:val="bottom"/>
          </w:tcPr>
          <w:p>
            <w:pPr>
              <w:spacing w:after="0"/>
              <w:rPr>
                <w:sz w:val="1"/>
                <w:szCs w:val="1"/>
                <w:color w:val="auto"/>
              </w:rPr>
            </w:pPr>
          </w:p>
        </w:tc>
      </w:tr>
      <w:tr>
        <w:trPr>
          <w:trHeight w:val="174"/>
        </w:trPr>
        <w:tc>
          <w:tcPr>
            <w:tcW w:w="2720" w:type="dxa"/>
            <w:vAlign w:val="bottom"/>
            <w:gridSpan w:val="3"/>
            <w:vMerge w:val="continue"/>
          </w:tcPr>
          <w:p>
            <w:pPr>
              <w:spacing w:after="0"/>
              <w:rPr>
                <w:sz w:val="15"/>
                <w:szCs w:val="15"/>
                <w:color w:val="auto"/>
              </w:rPr>
            </w:pPr>
          </w:p>
        </w:tc>
        <w:tc>
          <w:tcPr>
            <w:tcW w:w="960" w:type="dxa"/>
            <w:vAlign w:val="bottom"/>
          </w:tcPr>
          <w:p>
            <w:pPr>
              <w:jc w:val="right"/>
              <w:ind w:right="97"/>
              <w:spacing w:after="0"/>
              <w:rPr>
                <w:sz w:val="20"/>
                <w:szCs w:val="20"/>
                <w:color w:val="auto"/>
              </w:rPr>
            </w:pPr>
            <w:r>
              <w:rPr>
                <w:rFonts w:ascii="Arial" w:cs="Arial" w:eastAsia="Arial" w:hAnsi="Arial"/>
                <w:sz w:val="12"/>
                <w:szCs w:val="12"/>
                <w:b w:val="1"/>
                <w:bCs w:val="1"/>
                <w:color w:val="auto"/>
              </w:rPr>
              <w:t>Interest Rate</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18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6"/>
              </w:rPr>
              <w:t>Amount</w:t>
            </w:r>
          </w:p>
        </w:tc>
        <w:tc>
          <w:tcPr>
            <w:tcW w:w="14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Costs, Net</w:t>
            </w:r>
          </w:p>
        </w:tc>
        <w:tc>
          <w:tcPr>
            <w:tcW w:w="18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6"/>
              </w:rPr>
              <w:t>Amount</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(Partners</w:t>
            </w:r>
            <w:r>
              <w:rPr>
                <w:rFonts w:ascii="Arial" w:cs="Arial" w:eastAsia="Arial" w:hAnsi="Arial"/>
                <w:sz w:val="12"/>
                <w:szCs w:val="12"/>
                <w:color w:val="auto"/>
                <w:w w:val="99"/>
              </w:rPr>
              <w:t>’</w:t>
            </w:r>
            <w:r>
              <w:rPr>
                <w:rFonts w:ascii="Arial" w:cs="Arial" w:eastAsia="Arial" w:hAnsi="Arial"/>
                <w:sz w:val="12"/>
                <w:szCs w:val="12"/>
                <w:b w:val="1"/>
                <w:bCs w:val="1"/>
                <w:color w:val="auto"/>
                <w:w w:val="99"/>
              </w:rPr>
              <w:t xml:space="preserve"> Share)</w:t>
            </w:r>
          </w:p>
        </w:tc>
        <w:tc>
          <w:tcPr>
            <w:tcW w:w="8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8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20" w:type="dxa"/>
            <w:vAlign w:val="bottom"/>
            <w:tcBorders>
              <w:left w:val="single" w:sz="8" w:color="CCEEFF"/>
            </w:tcBorders>
            <w:gridSpan w:val="3"/>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Consolidated Joint Ventures</w:t>
            </w:r>
          </w:p>
        </w:tc>
        <w:tc>
          <w:tcPr>
            <w:tcW w:w="9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840" w:type="dxa"/>
            <w:vAlign w:val="bottom"/>
            <w:tcBorders>
              <w:left w:val="single" w:sz="8" w:color="CCEEFF"/>
            </w:tcBorders>
            <w:shd w:val="clear" w:color="auto" w:fill="000000"/>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2720" w:type="dxa"/>
            <w:vAlign w:val="bottom"/>
            <w:gridSpan w:val="3"/>
          </w:tcPr>
          <w:p>
            <w:pPr>
              <w:ind w:left="20"/>
              <w:spacing w:after="0" w:line="140" w:lineRule="exact"/>
              <w:rPr>
                <w:sz w:val="20"/>
                <w:szCs w:val="20"/>
                <w:color w:val="auto"/>
              </w:rPr>
            </w:pPr>
            <w:r>
              <w:rPr>
                <w:rFonts w:ascii="Arial" w:cs="Arial" w:eastAsia="Arial" w:hAnsi="Arial"/>
                <w:sz w:val="14"/>
                <w:szCs w:val="14"/>
                <w:color w:val="auto"/>
              </w:rPr>
              <w:t>767 Fifth Avenue (the General Motors</w:t>
            </w:r>
          </w:p>
        </w:tc>
        <w:tc>
          <w:tcPr>
            <w:tcW w:w="960" w:type="dxa"/>
            <w:vAlign w:val="bottom"/>
            <w:vMerge w:val="restart"/>
          </w:tcPr>
          <w:p>
            <w:pPr>
              <w:jc w:val="right"/>
              <w:ind w:right="37"/>
              <w:spacing w:after="0"/>
              <w:rPr>
                <w:sz w:val="20"/>
                <w:szCs w:val="20"/>
                <w:color w:val="auto"/>
              </w:rPr>
            </w:pPr>
            <w:r>
              <w:rPr>
                <w:rFonts w:ascii="Arial" w:cs="Arial" w:eastAsia="Arial" w:hAnsi="Arial"/>
                <w:sz w:val="14"/>
                <w:szCs w:val="14"/>
                <w:color w:val="auto"/>
              </w:rPr>
              <w:t>3.43 %</w:t>
            </w:r>
          </w:p>
        </w:tc>
        <w:tc>
          <w:tcPr>
            <w:tcW w:w="1000" w:type="dxa"/>
            <w:vAlign w:val="bottom"/>
            <w:vMerge w:val="restart"/>
          </w:tcPr>
          <w:p>
            <w:pPr>
              <w:jc w:val="right"/>
              <w:ind w:right="57"/>
              <w:spacing w:after="0"/>
              <w:rPr>
                <w:sz w:val="20"/>
                <w:szCs w:val="20"/>
                <w:color w:val="auto"/>
              </w:rPr>
            </w:pPr>
            <w:r>
              <w:rPr>
                <w:rFonts w:ascii="Arial" w:cs="Arial" w:eastAsia="Arial" w:hAnsi="Arial"/>
                <w:sz w:val="14"/>
                <w:szCs w:val="14"/>
                <w:color w:val="auto"/>
              </w:rPr>
              <w:t>3.64 %</w:t>
            </w:r>
          </w:p>
        </w:tc>
        <w:tc>
          <w:tcPr>
            <w:tcW w:w="180" w:type="dxa"/>
            <w:vAlign w:val="bottom"/>
            <w:vMerge w:val="restart"/>
          </w:tcPr>
          <w:p>
            <w:pPr>
              <w:jc w:val="right"/>
              <w:ind w:right="15"/>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2,300,000</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(16,363)</w:t>
            </w:r>
          </w:p>
        </w:tc>
        <w:tc>
          <w:tcPr>
            <w:tcW w:w="100" w:type="dxa"/>
            <w:vAlign w:val="bottom"/>
          </w:tcPr>
          <w:p>
            <w:pPr>
              <w:spacing w:after="0"/>
              <w:rPr>
                <w:sz w:val="12"/>
                <w:szCs w:val="12"/>
                <w:color w:val="auto"/>
              </w:rPr>
            </w:pPr>
          </w:p>
        </w:tc>
        <w:tc>
          <w:tcPr>
            <w:tcW w:w="18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2,283,637</w:t>
            </w:r>
          </w:p>
        </w:tc>
        <w:tc>
          <w:tcPr>
            <w:tcW w:w="10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6"/>
              <w:spacing w:after="0"/>
              <w:rPr>
                <w:sz w:val="20"/>
                <w:szCs w:val="20"/>
                <w:color w:val="auto"/>
              </w:rPr>
            </w:pPr>
            <w:r>
              <w:rPr>
                <w:rFonts w:ascii="Arial" w:cs="Arial" w:eastAsia="Arial" w:hAnsi="Arial"/>
                <w:sz w:val="14"/>
                <w:szCs w:val="14"/>
                <w:color w:val="auto"/>
              </w:rPr>
              <w:t>913,512</w:t>
            </w:r>
          </w:p>
        </w:tc>
        <w:tc>
          <w:tcPr>
            <w:tcW w:w="840" w:type="dxa"/>
            <w:vAlign w:val="bottom"/>
            <w:vMerge w:val="restart"/>
          </w:tcPr>
          <w:p>
            <w:pPr>
              <w:ind w:left="140"/>
              <w:spacing w:after="0"/>
              <w:rPr>
                <w:sz w:val="20"/>
                <w:szCs w:val="20"/>
                <w:color w:val="auto"/>
              </w:rPr>
            </w:pPr>
            <w:r>
              <w:rPr>
                <w:rFonts w:ascii="Arial" w:cs="Arial" w:eastAsia="Arial" w:hAnsi="Arial"/>
                <w:sz w:val="14"/>
                <w:szCs w:val="14"/>
                <w:color w:val="auto"/>
              </w:rPr>
              <w:t>(2)(3)(4)</w:t>
            </w:r>
          </w:p>
        </w:tc>
        <w:tc>
          <w:tcPr>
            <w:tcW w:w="1480" w:type="dxa"/>
            <w:vAlign w:val="bottom"/>
            <w:vMerge w:val="restart"/>
          </w:tcPr>
          <w:p>
            <w:pPr>
              <w:ind w:left="180"/>
              <w:spacing w:after="0"/>
              <w:rPr>
                <w:sz w:val="20"/>
                <w:szCs w:val="20"/>
                <w:color w:val="auto"/>
              </w:rPr>
            </w:pPr>
            <w:r>
              <w:rPr>
                <w:rFonts w:ascii="Arial" w:cs="Arial" w:eastAsia="Arial" w:hAnsi="Arial"/>
                <w:sz w:val="14"/>
                <w:szCs w:val="14"/>
                <w:color w:val="auto"/>
              </w:rPr>
              <w:t>June 9, 2027</w:t>
            </w:r>
          </w:p>
        </w:tc>
        <w:tc>
          <w:tcPr>
            <w:tcW w:w="0" w:type="dxa"/>
            <w:vAlign w:val="bottom"/>
          </w:tcPr>
          <w:p>
            <w:pPr>
              <w:spacing w:after="0"/>
              <w:rPr>
                <w:sz w:val="1"/>
                <w:szCs w:val="1"/>
                <w:color w:val="auto"/>
              </w:rPr>
            </w:pPr>
          </w:p>
        </w:tc>
      </w:tr>
      <w:tr>
        <w:trPr>
          <w:trHeight w:val="177"/>
        </w:trPr>
        <w:tc>
          <w:tcPr>
            <w:tcW w:w="2720" w:type="dxa"/>
            <w:vAlign w:val="bottom"/>
            <w:gridSpan w:val="3"/>
          </w:tcPr>
          <w:p>
            <w:pPr>
              <w:ind w:left="180"/>
              <w:spacing w:after="0"/>
              <w:rPr>
                <w:sz w:val="20"/>
                <w:szCs w:val="20"/>
                <w:color w:val="auto"/>
              </w:rPr>
            </w:pPr>
            <w:r>
              <w:rPr>
                <w:rFonts w:ascii="Arial" w:cs="Arial" w:eastAsia="Arial" w:hAnsi="Arial"/>
                <w:sz w:val="14"/>
                <w:szCs w:val="14"/>
                <w:color w:val="auto"/>
              </w:rPr>
              <w:t>Building)</w:t>
            </w:r>
          </w:p>
        </w:tc>
        <w:tc>
          <w:tcPr>
            <w:tcW w:w="9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2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601 Lexington Avenue</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2.79 %</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rPr>
              <w:t>2.93 %</w:t>
            </w: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987,520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rPr>
              <w:t>444,384</w:t>
            </w:r>
          </w:p>
        </w:tc>
        <w:tc>
          <w:tcPr>
            <w:tcW w:w="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(2)(5)</w:t>
            </w:r>
          </w:p>
        </w:tc>
        <w:tc>
          <w:tcPr>
            <w:tcW w:w="1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January 9, 2032</w:t>
            </w:r>
          </w:p>
        </w:tc>
        <w:tc>
          <w:tcPr>
            <w:tcW w:w="0" w:type="dxa"/>
            <w:vAlign w:val="bottom"/>
          </w:tcPr>
          <w:p>
            <w:pPr>
              <w:spacing w:after="0"/>
              <w:rPr>
                <w:sz w:val="1"/>
                <w:szCs w:val="1"/>
                <w:color w:val="auto"/>
              </w:rPr>
            </w:pPr>
          </w:p>
        </w:tc>
      </w:tr>
      <w:tr>
        <w:trPr>
          <w:trHeight w:val="187"/>
        </w:trPr>
        <w:tc>
          <w:tcPr>
            <w:tcW w:w="272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3,300,000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(28,843)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3,271,157</w:t>
            </w: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1,357,896</w:t>
            </w:r>
          </w:p>
        </w:tc>
        <w:tc>
          <w:tcPr>
            <w:tcW w:w="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26" w:lineRule="exact"/>
        <w:rPr>
          <w:sz w:val="20"/>
          <w:szCs w:val="20"/>
          <w:color w:val="auto"/>
        </w:rPr>
      </w:pPr>
    </w:p>
    <w:p>
      <w:pPr>
        <w:ind w:left="620" w:right="120" w:hanging="314"/>
        <w:spacing w:after="0" w:line="256" w:lineRule="auto"/>
        <w:tabs>
          <w:tab w:leader="none" w:pos="616" w:val="left"/>
        </w:tabs>
        <w:numPr>
          <w:ilvl w:val="0"/>
          <w:numId w:val="66"/>
        </w:numPr>
        <w:rPr>
          <w:rFonts w:ascii="Arial" w:cs="Arial" w:eastAsia="Arial" w:hAnsi="Arial"/>
          <w:sz w:val="15"/>
          <w:szCs w:val="15"/>
          <w:color w:val="auto"/>
        </w:rPr>
      </w:pPr>
      <w:r>
        <w:rPr>
          <w:rFonts w:ascii="Arial" w:cs="Arial" w:eastAsia="Arial" w:hAnsi="Arial"/>
          <w:sz w:val="15"/>
          <w:szCs w:val="15"/>
          <w:color w:val="auto"/>
        </w:rPr>
        <w:t>GAAP interest rate differs from the stated interest rate due to the inclusion of the amortization of financing charges and the effects of hedging transactions (if any).</w:t>
      </w:r>
    </w:p>
    <w:p>
      <w:pPr>
        <w:ind w:left="600" w:hanging="294"/>
        <w:spacing w:after="0"/>
        <w:tabs>
          <w:tab w:leader="none" w:pos="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mortgage loan requires interest only payments with a balloon payment due at maturity.</w:t>
      </w:r>
    </w:p>
    <w:p>
      <w:pPr>
        <w:spacing w:after="0" w:line="13" w:lineRule="exact"/>
        <w:rPr>
          <w:rFonts w:ascii="Arial" w:cs="Arial" w:eastAsia="Arial" w:hAnsi="Arial"/>
          <w:sz w:val="15"/>
          <w:szCs w:val="15"/>
          <w:color w:val="auto"/>
        </w:rPr>
      </w:pPr>
    </w:p>
    <w:p>
      <w:pPr>
        <w:ind w:left="620" w:right="380" w:hanging="314"/>
        <w:spacing w:after="0" w:line="250" w:lineRule="auto"/>
        <w:tabs>
          <w:tab w:leader="none" w:pos="616"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This property is owned by a consolidated entity in which we have a 60% interest. The partners’ share of the carrying amount has been adjusted for basis differentials.</w:t>
      </w:r>
    </w:p>
    <w:p>
      <w:pPr>
        <w:ind w:left="620" w:right="200" w:hanging="314"/>
        <w:spacing w:after="0" w:line="265" w:lineRule="auto"/>
        <w:tabs>
          <w:tab w:leader="none" w:pos="616" w:val="left"/>
        </w:tabs>
        <w:numPr>
          <w:ilvl w:val="0"/>
          <w:numId w:val="66"/>
        </w:numPr>
        <w:rPr>
          <w:rFonts w:ascii="Arial" w:cs="Arial" w:eastAsia="Arial" w:hAnsi="Arial"/>
          <w:sz w:val="15"/>
          <w:szCs w:val="15"/>
          <w:color w:val="auto"/>
        </w:rPr>
      </w:pPr>
      <w:r>
        <w:rPr>
          <w:rFonts w:ascii="Arial" w:cs="Arial" w:eastAsia="Arial" w:hAnsi="Arial"/>
          <w:sz w:val="15"/>
          <w:szCs w:val="15"/>
          <w:color w:val="auto"/>
        </w:rPr>
        <w:t>In connection with the refinancing of the loan, we guaranteed the consolidated entity’s obligation to fund various reserves for tenant improvement costs and allowances, leasing commissions and free rent obligations in lieu of cash deposits. As of September 30, 2022, the maximum funding obligation under the guarantee was approximately $14.9</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left="620"/>
        <w:spacing w:after="0" w:line="262" w:lineRule="auto"/>
        <w:rPr>
          <w:sz w:val="20"/>
          <w:szCs w:val="20"/>
          <w:color w:val="auto"/>
        </w:rPr>
      </w:pPr>
      <w:r>
        <w:rPr>
          <w:rFonts w:ascii="Arial" w:cs="Arial" w:eastAsia="Arial" w:hAnsi="Arial"/>
          <w:sz w:val="15"/>
          <w:szCs w:val="15"/>
          <w:color w:val="auto"/>
        </w:rPr>
        <w:t>million. We earn a fee from the joint venture for providing the guarantee and have an agreement with our partners to reimburse the joint venture for their share of any payments made under the guarantee (See Note 7 to the Consolidated Financial Statements).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(5)  This property is owned by a consolidated entity in which we have a 55% interest.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Investment in Unconsolidated Joint Ventures - Secured Debt</w:t>
      </w:r>
    </w:p>
    <w:p>
      <w:pPr>
        <w:spacing w:after="0" w:line="84" w:lineRule="exact"/>
        <w:rPr>
          <w:sz w:val="20"/>
          <w:szCs w:val="20"/>
          <w:color w:val="auto"/>
        </w:rPr>
      </w:pPr>
    </w:p>
    <w:p>
      <w:pPr>
        <w:ind w:right="20" w:firstLine="419"/>
        <w:spacing w:after="0" w:line="254" w:lineRule="auto"/>
        <w:rPr>
          <w:sz w:val="20"/>
          <w:szCs w:val="20"/>
          <w:color w:val="auto"/>
        </w:rPr>
      </w:pPr>
      <w:r>
        <w:rPr>
          <w:rFonts w:ascii="Arial" w:cs="Arial" w:eastAsia="Arial" w:hAnsi="Arial"/>
          <w:sz w:val="17"/>
          <w:szCs w:val="17"/>
          <w:color w:val="auto"/>
        </w:rPr>
        <w:t>We have investments in unconsolidated joint ventures with our effective ownership interests ranging from 20% to 55%. Sixteen of these ventures have mortgage indebtedness. We exercise significant influence over, but do not control, these entities. As a result, we account for them using the equity method of accounting. See also Note 5 to the Consolidated Financial Statements. At September 30, 2022, the aggregate carrying amount of debt, including both our and our partners’ share, incurred by these ventures was approximately $3.4 billion (of which our proportionate share is approximately $1.5 billion). The table below summarizes the outstanding debt of these joint venture properties at September 30, 2022. In addition to other guarantees specifically noted in the table, we have agreed to customary environmental indemnifications and nonrecourse carve-outs (e.g., guarantees against fraud, misrepresentation and bankruptcy) as well as the completion of development projects on certain of the loans.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Nominal %</w:t>
            </w:r>
          </w:p>
        </w:tc>
        <w:tc>
          <w:tcPr>
            <w:tcW w:w="94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Stated</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GAAP</w:t>
            </w:r>
          </w:p>
        </w:tc>
        <w:tc>
          <w:tcPr>
            <w:tcW w:w="16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Stated</w:t>
            </w: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Deferred</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7"/>
              </w:rPr>
              <w:t>Carrying</w:t>
            </w:r>
          </w:p>
        </w:tc>
        <w:tc>
          <w:tcPr>
            <w:tcW w:w="100" w:type="dxa"/>
            <w:vAlign w:val="bottom"/>
          </w:tcPr>
          <w:p>
            <w:pPr>
              <w:spacing w:after="0"/>
              <w:rPr>
                <w:sz w:val="13"/>
                <w:szCs w:val="13"/>
                <w:color w:val="auto"/>
              </w:rPr>
            </w:pPr>
          </w:p>
        </w:tc>
        <w:tc>
          <w:tcPr>
            <w:tcW w:w="880" w:type="dxa"/>
            <w:vAlign w:val="bottom"/>
          </w:tcPr>
          <w:p>
            <w:pPr>
              <w:jc w:val="center"/>
              <w:ind w:right="13"/>
              <w:spacing w:after="0"/>
              <w:rPr>
                <w:sz w:val="20"/>
                <w:szCs w:val="20"/>
                <w:color w:val="auto"/>
              </w:rPr>
            </w:pPr>
            <w:r>
              <w:rPr>
                <w:rFonts w:ascii="Arial" w:cs="Arial" w:eastAsia="Arial" w:hAnsi="Arial"/>
                <w:sz w:val="13"/>
                <w:szCs w:val="13"/>
                <w:b w:val="1"/>
                <w:bCs w:val="1"/>
                <w:color w:val="auto"/>
                <w:w w:val="97"/>
              </w:rPr>
              <w:t>Carrying</w:t>
            </w:r>
          </w:p>
        </w:tc>
        <w:tc>
          <w:tcPr>
            <w:tcW w:w="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540" w:type="dxa"/>
            <w:vAlign w:val="bottom"/>
            <w:gridSpan w:val="2"/>
            <w:vMerge w:val="restart"/>
          </w:tcPr>
          <w:p>
            <w:pPr>
              <w:ind w:left="400"/>
              <w:spacing w:after="0"/>
              <w:rPr>
                <w:sz w:val="20"/>
                <w:szCs w:val="20"/>
                <w:color w:val="auto"/>
              </w:rPr>
            </w:pPr>
            <w:r>
              <w:rPr>
                <w:rFonts w:ascii="Arial" w:cs="Arial" w:eastAsia="Arial" w:hAnsi="Arial"/>
                <w:sz w:val="13"/>
                <w:szCs w:val="13"/>
                <w:b w:val="1"/>
                <w:bCs w:val="1"/>
                <w:color w:val="auto"/>
              </w:rPr>
              <w:t>Properties</w:t>
            </w:r>
          </w:p>
        </w:tc>
        <w:tc>
          <w:tcPr>
            <w:tcW w:w="11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0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98"/>
              </w:rPr>
              <w:t>Interest Rate</w:t>
            </w: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27" w:lineRule="exact"/>
              <w:rPr>
                <w:sz w:val="20"/>
                <w:szCs w:val="20"/>
                <w:color w:val="auto"/>
              </w:rPr>
            </w:pPr>
            <w:r>
              <w:rPr>
                <w:rFonts w:ascii="Arial" w:cs="Arial" w:eastAsia="Arial" w:hAnsi="Arial"/>
                <w:sz w:val="13"/>
                <w:szCs w:val="13"/>
                <w:b w:val="1"/>
                <w:bCs w:val="1"/>
                <w:color w:val="auto"/>
                <w:w w:val="94"/>
              </w:rPr>
              <w:t>Principal</w:t>
            </w: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27" w:lineRule="exact"/>
              <w:rPr>
                <w:sz w:val="20"/>
                <w:szCs w:val="20"/>
                <w:color w:val="auto"/>
              </w:rPr>
            </w:pPr>
            <w:r>
              <w:rPr>
                <w:rFonts w:ascii="Arial" w:cs="Arial" w:eastAsia="Arial" w:hAnsi="Arial"/>
                <w:sz w:val="13"/>
                <w:szCs w:val="13"/>
                <w:b w:val="1"/>
                <w:bCs w:val="1"/>
                <w:color w:val="auto"/>
                <w:w w:val="97"/>
              </w:rPr>
              <w:t>Financing</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33"/>
              <w:spacing w:after="0" w:line="127" w:lineRule="exact"/>
              <w:rPr>
                <w:sz w:val="20"/>
                <w:szCs w:val="20"/>
                <w:color w:val="auto"/>
              </w:rPr>
            </w:pPr>
            <w:r>
              <w:rPr>
                <w:rFonts w:ascii="Arial" w:cs="Arial" w:eastAsia="Arial" w:hAnsi="Arial"/>
                <w:sz w:val="13"/>
                <w:szCs w:val="13"/>
                <w:b w:val="1"/>
                <w:bCs w:val="1"/>
                <w:color w:val="auto"/>
                <w:w w:val="97"/>
              </w:rPr>
              <w:t>Amount (Our</w:t>
            </w:r>
          </w:p>
        </w:tc>
        <w:tc>
          <w:tcPr>
            <w:tcW w:w="680" w:type="dxa"/>
            <w:vAlign w:val="bottom"/>
          </w:tcPr>
          <w:p>
            <w:pPr>
              <w:spacing w:after="0"/>
              <w:rPr>
                <w:sz w:val="11"/>
                <w:szCs w:val="11"/>
                <w:color w:val="auto"/>
              </w:rPr>
            </w:pPr>
          </w:p>
        </w:tc>
        <w:tc>
          <w:tcPr>
            <w:tcW w:w="174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Maturity Date</w:t>
            </w:r>
          </w:p>
        </w:tc>
        <w:tc>
          <w:tcPr>
            <w:tcW w:w="0" w:type="dxa"/>
            <w:vAlign w:val="bottom"/>
          </w:tcPr>
          <w:p>
            <w:pPr>
              <w:spacing w:after="0"/>
              <w:rPr>
                <w:sz w:val="1"/>
                <w:szCs w:val="1"/>
                <w:color w:val="auto"/>
              </w:rPr>
            </w:pPr>
          </w:p>
        </w:tc>
      </w:tr>
      <w:tr>
        <w:trPr>
          <w:trHeight w:val="175"/>
        </w:trPr>
        <w:tc>
          <w:tcPr>
            <w:tcW w:w="1540" w:type="dxa"/>
            <w:vAlign w:val="bottom"/>
            <w:gridSpan w:val="2"/>
            <w:vMerge w:val="continue"/>
          </w:tcPr>
          <w:p>
            <w:pPr>
              <w:spacing w:after="0"/>
              <w:rPr>
                <w:sz w:val="15"/>
                <w:szCs w:val="15"/>
                <w:color w:val="auto"/>
              </w:rPr>
            </w:pPr>
          </w:p>
        </w:tc>
        <w:tc>
          <w:tcPr>
            <w:tcW w:w="1100" w:type="dxa"/>
            <w:vAlign w:val="bottom"/>
          </w:tcPr>
          <w:p>
            <w:pPr>
              <w:jc w:val="right"/>
              <w:ind w:right="173"/>
              <w:spacing w:after="0"/>
              <w:rPr>
                <w:sz w:val="20"/>
                <w:szCs w:val="20"/>
                <w:color w:val="auto"/>
              </w:rPr>
            </w:pPr>
            <w:r>
              <w:rPr>
                <w:rFonts w:ascii="Arial" w:cs="Arial" w:eastAsia="Arial" w:hAnsi="Arial"/>
                <w:sz w:val="13"/>
                <w:szCs w:val="13"/>
                <w:b w:val="1"/>
                <w:bCs w:val="1"/>
                <w:color w:val="auto"/>
              </w:rPr>
              <w:t>Ownership</w:t>
            </w:r>
          </w:p>
        </w:tc>
        <w:tc>
          <w:tcPr>
            <w:tcW w:w="940" w:type="dxa"/>
            <w:vAlign w:val="bottom"/>
          </w:tcPr>
          <w:p>
            <w:pPr>
              <w:jc w:val="right"/>
              <w:ind w:right="33"/>
              <w:spacing w:after="0"/>
              <w:rPr>
                <w:sz w:val="20"/>
                <w:szCs w:val="20"/>
                <w:color w:val="auto"/>
              </w:rPr>
            </w:pPr>
            <w:r>
              <w:rPr>
                <w:rFonts w:ascii="Arial" w:cs="Arial" w:eastAsia="Arial" w:hAnsi="Arial"/>
                <w:sz w:val="13"/>
                <w:szCs w:val="13"/>
                <w:b w:val="1"/>
                <w:bCs w:val="1"/>
                <w:color w:val="auto"/>
              </w:rPr>
              <w:t>Interest Rate</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7"/>
              </w:rPr>
              <w:t>(1)</w:t>
            </w:r>
          </w:p>
        </w:tc>
        <w:tc>
          <w:tcPr>
            <w:tcW w:w="16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Costs, Net</w:t>
            </w: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5"/>
                <w:szCs w:val="15"/>
                <w:color w:val="auto"/>
              </w:rPr>
            </w:pPr>
          </w:p>
        </w:tc>
        <w:tc>
          <w:tcPr>
            <w:tcW w:w="880" w:type="dxa"/>
            <w:vAlign w:val="bottom"/>
          </w:tcPr>
          <w:p>
            <w:pPr>
              <w:jc w:val="center"/>
              <w:ind w:right="33"/>
              <w:spacing w:after="0"/>
              <w:rPr>
                <w:sz w:val="20"/>
                <w:szCs w:val="20"/>
                <w:color w:val="auto"/>
              </w:rPr>
            </w:pPr>
            <w:r>
              <w:rPr>
                <w:rFonts w:ascii="Arial" w:cs="Arial" w:eastAsia="Arial" w:hAnsi="Arial"/>
                <w:sz w:val="13"/>
                <w:szCs w:val="13"/>
                <w:b w:val="1"/>
                <w:bCs w:val="1"/>
                <w:color w:val="auto"/>
                <w:w w:val="97"/>
              </w:rPr>
              <w:t>share)</w:t>
            </w:r>
          </w:p>
        </w:tc>
        <w:tc>
          <w:tcPr>
            <w:tcW w:w="68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gridSpan w:val="6"/>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54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rPr>
              <w:t>Santa Monica</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55.00 %</w:t>
            </w:r>
          </w:p>
        </w:tc>
        <w:tc>
          <w:tcPr>
            <w:tcW w:w="94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4.06 %</w:t>
            </w:r>
          </w:p>
        </w:tc>
        <w:tc>
          <w:tcPr>
            <w:tcW w:w="10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4.24 %</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(1,480)</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298,520</w:t>
            </w:r>
          </w:p>
        </w:tc>
        <w:tc>
          <w:tcPr>
            <w:tcW w:w="14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164,186</w:t>
            </w:r>
          </w:p>
        </w:tc>
        <w:tc>
          <w:tcPr>
            <w:tcW w:w="6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(2)(3)</w:t>
            </w:r>
          </w:p>
        </w:tc>
        <w:tc>
          <w:tcPr>
            <w:tcW w:w="174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July 19, 2025</w:t>
            </w:r>
          </w:p>
        </w:tc>
        <w:tc>
          <w:tcPr>
            <w:tcW w:w="0" w:type="dxa"/>
            <w:vAlign w:val="bottom"/>
          </w:tcPr>
          <w:p>
            <w:pPr>
              <w:spacing w:after="0"/>
              <w:rPr>
                <w:sz w:val="1"/>
                <w:szCs w:val="1"/>
                <w:color w:val="auto"/>
              </w:rPr>
            </w:pPr>
          </w:p>
        </w:tc>
      </w:tr>
      <w:tr>
        <w:trPr>
          <w:trHeight w:val="173"/>
        </w:trPr>
        <w:tc>
          <w:tcPr>
            <w:tcW w:w="15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Business Park</w:t>
            </w:r>
          </w:p>
        </w:tc>
        <w:tc>
          <w:tcPr>
            <w:tcW w:w="110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540" w:type="dxa"/>
            <w:vAlign w:val="bottom"/>
            <w:gridSpan w:val="2"/>
          </w:tcPr>
          <w:p>
            <w:pPr>
              <w:ind w:left="20"/>
              <w:spacing w:after="0"/>
              <w:rPr>
                <w:sz w:val="20"/>
                <w:szCs w:val="20"/>
                <w:color w:val="auto"/>
              </w:rPr>
            </w:pPr>
            <w:r>
              <w:rPr>
                <w:rFonts w:ascii="Arial" w:cs="Arial" w:eastAsia="Arial" w:hAnsi="Arial"/>
                <w:sz w:val="14"/>
                <w:szCs w:val="14"/>
                <w:color w:val="auto"/>
              </w:rPr>
              <w:t>Market Square North</w:t>
            </w:r>
          </w:p>
        </w:tc>
        <w:tc>
          <w:tcPr>
            <w:tcW w:w="1100" w:type="dxa"/>
            <w:vAlign w:val="bottom"/>
          </w:tcPr>
          <w:p>
            <w:pPr>
              <w:jc w:val="right"/>
              <w:spacing w:after="0"/>
              <w:rPr>
                <w:sz w:val="20"/>
                <w:szCs w:val="20"/>
                <w:color w:val="auto"/>
              </w:rPr>
            </w:pPr>
            <w:r>
              <w:rPr>
                <w:rFonts w:ascii="Arial" w:cs="Arial" w:eastAsia="Arial" w:hAnsi="Arial"/>
                <w:sz w:val="14"/>
                <w:szCs w:val="14"/>
                <w:color w:val="auto"/>
              </w:rPr>
              <w:t>50.00 %</w:t>
            </w: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4.64 %</w:t>
            </w:r>
          </w:p>
        </w:tc>
        <w:tc>
          <w:tcPr>
            <w:tcW w:w="1000" w:type="dxa"/>
            <w:vAlign w:val="bottom"/>
          </w:tcPr>
          <w:p>
            <w:pPr>
              <w:jc w:val="right"/>
              <w:ind w:right="53"/>
              <w:spacing w:after="0"/>
              <w:rPr>
                <w:sz w:val="20"/>
                <w:szCs w:val="20"/>
                <w:color w:val="auto"/>
              </w:rPr>
            </w:pPr>
            <w:r>
              <w:rPr>
                <w:rFonts w:ascii="Arial" w:cs="Arial" w:eastAsia="Arial" w:hAnsi="Arial"/>
                <w:sz w:val="14"/>
                <w:szCs w:val="14"/>
                <w:color w:val="auto"/>
              </w:rPr>
              <w:t>4.80 %</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124,357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62,179</w:t>
            </w:r>
          </w:p>
        </w:tc>
        <w:tc>
          <w:tcPr>
            <w:tcW w:w="680" w:type="dxa"/>
            <w:vAlign w:val="bottom"/>
          </w:tcPr>
          <w:p>
            <w:pPr>
              <w:ind w:left="120"/>
              <w:spacing w:after="0"/>
              <w:rPr>
                <w:sz w:val="20"/>
                <w:szCs w:val="20"/>
                <w:color w:val="auto"/>
              </w:rPr>
            </w:pPr>
            <w:r>
              <w:rPr>
                <w:rFonts w:ascii="Arial" w:cs="Arial" w:eastAsia="Arial" w:hAnsi="Arial"/>
                <w:sz w:val="14"/>
                <w:szCs w:val="14"/>
                <w:color w:val="auto"/>
              </w:rPr>
              <w:t>(2)(4)</w:t>
            </w:r>
          </w:p>
        </w:tc>
        <w:tc>
          <w:tcPr>
            <w:tcW w:w="1740" w:type="dxa"/>
            <w:vAlign w:val="bottom"/>
          </w:tcPr>
          <w:p>
            <w:pPr>
              <w:ind w:left="160"/>
              <w:spacing w:after="0"/>
              <w:rPr>
                <w:sz w:val="20"/>
                <w:szCs w:val="20"/>
                <w:color w:val="auto"/>
              </w:rPr>
            </w:pPr>
            <w:r>
              <w:rPr>
                <w:rFonts w:ascii="Arial" w:cs="Arial" w:eastAsia="Arial" w:hAnsi="Arial"/>
                <w:sz w:val="14"/>
                <w:szCs w:val="14"/>
                <w:color w:val="auto"/>
              </w:rPr>
              <w:t>November 10, 2025</w:t>
            </w:r>
          </w:p>
        </w:tc>
        <w:tc>
          <w:tcPr>
            <w:tcW w:w="0" w:type="dxa"/>
            <w:vAlign w:val="bottom"/>
          </w:tcPr>
          <w:p>
            <w:pPr>
              <w:spacing w:after="0"/>
              <w:rPr>
                <w:sz w:val="1"/>
                <w:szCs w:val="1"/>
                <w:color w:val="auto"/>
              </w:rPr>
            </w:pPr>
          </w:p>
        </w:tc>
      </w:tr>
      <w:tr>
        <w:trPr>
          <w:trHeight w:val="195"/>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1265 Main Street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50.00 %</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3.77 %</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3.84 %</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35,554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17,777</w:t>
            </w:r>
          </w:p>
        </w:tc>
        <w:tc>
          <w:tcPr>
            <w:tcW w:w="680" w:type="dxa"/>
            <w:vAlign w:val="bottom"/>
            <w:shd w:val="clear" w:color="auto" w:fill="CCEEFF"/>
          </w:tcPr>
          <w:p>
            <w:pPr>
              <w:spacing w:after="0"/>
              <w:rPr>
                <w:sz w:val="16"/>
                <w:szCs w:val="16"/>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January 1, 2032</w:t>
            </w:r>
          </w:p>
        </w:tc>
        <w:tc>
          <w:tcPr>
            <w:tcW w:w="0" w:type="dxa"/>
            <w:vAlign w:val="bottom"/>
          </w:tcPr>
          <w:p>
            <w:pPr>
              <w:spacing w:after="0"/>
              <w:rPr>
                <w:sz w:val="1"/>
                <w:szCs w:val="1"/>
                <w:color w:val="auto"/>
              </w:rPr>
            </w:pPr>
          </w:p>
        </w:tc>
      </w:tr>
      <w:tr>
        <w:trPr>
          <w:trHeight w:val="186"/>
        </w:trPr>
        <w:tc>
          <w:tcPr>
            <w:tcW w:w="1540" w:type="dxa"/>
            <w:vAlign w:val="bottom"/>
            <w:gridSpan w:val="2"/>
          </w:tcPr>
          <w:p>
            <w:pPr>
              <w:ind w:left="20"/>
              <w:spacing w:after="0"/>
              <w:rPr>
                <w:sz w:val="20"/>
                <w:szCs w:val="20"/>
                <w:color w:val="auto"/>
              </w:rPr>
            </w:pPr>
            <w:r>
              <w:rPr>
                <w:rFonts w:ascii="Arial" w:cs="Arial" w:eastAsia="Arial" w:hAnsi="Arial"/>
                <w:sz w:val="14"/>
                <w:szCs w:val="14"/>
                <w:color w:val="auto"/>
              </w:rPr>
              <w:t>Colorado Center</w:t>
            </w:r>
          </w:p>
        </w:tc>
        <w:tc>
          <w:tcPr>
            <w:tcW w:w="1100" w:type="dxa"/>
            <w:vAlign w:val="bottom"/>
          </w:tcPr>
          <w:p>
            <w:pPr>
              <w:jc w:val="right"/>
              <w:spacing w:after="0"/>
              <w:rPr>
                <w:sz w:val="20"/>
                <w:szCs w:val="20"/>
                <w:color w:val="auto"/>
              </w:rPr>
            </w:pPr>
            <w:r>
              <w:rPr>
                <w:rFonts w:ascii="Arial" w:cs="Arial" w:eastAsia="Arial" w:hAnsi="Arial"/>
                <w:sz w:val="14"/>
                <w:szCs w:val="14"/>
                <w:color w:val="auto"/>
              </w:rPr>
              <w:t>50.00 %</w:t>
            </w: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3.56 %</w:t>
            </w:r>
          </w:p>
        </w:tc>
        <w:tc>
          <w:tcPr>
            <w:tcW w:w="1000" w:type="dxa"/>
            <w:vAlign w:val="bottom"/>
          </w:tcPr>
          <w:p>
            <w:pPr>
              <w:jc w:val="right"/>
              <w:ind w:right="53"/>
              <w:spacing w:after="0"/>
              <w:rPr>
                <w:sz w:val="20"/>
                <w:szCs w:val="20"/>
                <w:color w:val="auto"/>
              </w:rPr>
            </w:pPr>
            <w:r>
              <w:rPr>
                <w:rFonts w:ascii="Arial" w:cs="Arial" w:eastAsia="Arial" w:hAnsi="Arial"/>
                <w:sz w:val="14"/>
                <w:szCs w:val="14"/>
                <w:color w:val="auto"/>
              </w:rPr>
              <w:t>3.59 %</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549,129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274,565</w:t>
            </w:r>
          </w:p>
        </w:tc>
        <w:tc>
          <w:tcPr>
            <w:tcW w:w="680" w:type="dxa"/>
            <w:vAlign w:val="bottom"/>
          </w:tcPr>
          <w:p>
            <w:pPr>
              <w:ind w:left="120"/>
              <w:spacing w:after="0"/>
              <w:rPr>
                <w:sz w:val="20"/>
                <w:szCs w:val="20"/>
                <w:color w:val="auto"/>
              </w:rPr>
            </w:pPr>
            <w:r>
              <w:rPr>
                <w:rFonts w:ascii="Arial" w:cs="Arial" w:eastAsia="Arial" w:hAnsi="Arial"/>
                <w:sz w:val="14"/>
                <w:szCs w:val="14"/>
                <w:color w:val="auto"/>
              </w:rPr>
              <w:t>(2)</w:t>
            </w:r>
          </w:p>
        </w:tc>
        <w:tc>
          <w:tcPr>
            <w:tcW w:w="1740" w:type="dxa"/>
            <w:vAlign w:val="bottom"/>
          </w:tcPr>
          <w:p>
            <w:pPr>
              <w:ind w:left="160"/>
              <w:spacing w:after="0"/>
              <w:rPr>
                <w:sz w:val="20"/>
                <w:szCs w:val="20"/>
                <w:color w:val="auto"/>
              </w:rPr>
            </w:pPr>
            <w:r>
              <w:rPr>
                <w:rFonts w:ascii="Arial" w:cs="Arial" w:eastAsia="Arial" w:hAnsi="Arial"/>
                <w:sz w:val="14"/>
                <w:szCs w:val="14"/>
                <w:color w:val="auto"/>
              </w:rPr>
              <w:t>August 9, 2027</w:t>
            </w:r>
          </w:p>
        </w:tc>
        <w:tc>
          <w:tcPr>
            <w:tcW w:w="0" w:type="dxa"/>
            <w:vAlign w:val="bottom"/>
          </w:tcPr>
          <w:p>
            <w:pPr>
              <w:spacing w:after="0"/>
              <w:rPr>
                <w:sz w:val="1"/>
                <w:szCs w:val="1"/>
                <w:color w:val="auto"/>
              </w:rPr>
            </w:pPr>
          </w:p>
        </w:tc>
      </w:tr>
      <w:tr>
        <w:trPr>
          <w:trHeight w:val="195"/>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Dock 72</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50.00 %</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5.45 %</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5.72 %</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198,383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197,728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98,864</w:t>
            </w:r>
          </w:p>
        </w:tc>
        <w:tc>
          <w:tcPr>
            <w:tcW w:w="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(2)(5)</w:t>
            </w:r>
          </w:p>
        </w:tc>
        <w:tc>
          <w:tcPr>
            <w:tcW w:w="1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December 18, 2023</w:t>
            </w:r>
          </w:p>
        </w:tc>
        <w:tc>
          <w:tcPr>
            <w:tcW w:w="0" w:type="dxa"/>
            <w:vAlign w:val="bottom"/>
          </w:tcPr>
          <w:p>
            <w:pPr>
              <w:spacing w:after="0"/>
              <w:rPr>
                <w:sz w:val="1"/>
                <w:szCs w:val="1"/>
                <w:color w:val="auto"/>
              </w:rPr>
            </w:pPr>
          </w:p>
        </w:tc>
      </w:tr>
      <w:tr>
        <w:trPr>
          <w:trHeight w:val="145"/>
        </w:trPr>
        <w:tc>
          <w:tcPr>
            <w:tcW w:w="154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The Hub on Causeway</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50.00 %</w:t>
            </w:r>
          </w:p>
        </w:tc>
        <w:tc>
          <w:tcPr>
            <w:tcW w:w="940" w:type="dxa"/>
            <w:vAlign w:val="bottom"/>
            <w:vMerge w:val="restart"/>
          </w:tcPr>
          <w:p>
            <w:pPr>
              <w:jc w:val="right"/>
              <w:ind w:right="13"/>
              <w:spacing w:after="0"/>
              <w:rPr>
                <w:sz w:val="20"/>
                <w:szCs w:val="20"/>
                <w:color w:val="auto"/>
              </w:rPr>
            </w:pPr>
            <w:r>
              <w:rPr>
                <w:rFonts w:ascii="Arial" w:cs="Arial" w:eastAsia="Arial" w:hAnsi="Arial"/>
                <w:sz w:val="14"/>
                <w:szCs w:val="14"/>
                <w:color w:val="auto"/>
              </w:rPr>
              <w:t>4.78 %</w:t>
            </w:r>
          </w:p>
        </w:tc>
        <w:tc>
          <w:tcPr>
            <w:tcW w:w="1000" w:type="dxa"/>
            <w:vAlign w:val="bottom"/>
            <w:vMerge w:val="restart"/>
          </w:tcPr>
          <w:p>
            <w:pPr>
              <w:jc w:val="right"/>
              <w:ind w:right="53"/>
              <w:spacing w:after="0"/>
              <w:rPr>
                <w:sz w:val="20"/>
                <w:szCs w:val="20"/>
                <w:color w:val="auto"/>
              </w:rPr>
            </w:pPr>
            <w:r>
              <w:rPr>
                <w:rFonts w:ascii="Arial" w:cs="Arial" w:eastAsia="Arial" w:hAnsi="Arial"/>
                <w:sz w:val="14"/>
                <w:szCs w:val="14"/>
                <w:color w:val="auto"/>
              </w:rPr>
              <w:t>4.94 %</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174,329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174,060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87,030</w:t>
            </w:r>
          </w:p>
        </w:tc>
        <w:tc>
          <w:tcPr>
            <w:tcW w:w="680" w:type="dxa"/>
            <w:vAlign w:val="bottom"/>
            <w:vMerge w:val="restart"/>
          </w:tcPr>
          <w:p>
            <w:pPr>
              <w:ind w:left="120"/>
              <w:spacing w:after="0"/>
              <w:rPr>
                <w:sz w:val="20"/>
                <w:szCs w:val="20"/>
                <w:color w:val="auto"/>
              </w:rPr>
            </w:pPr>
            <w:r>
              <w:rPr>
                <w:rFonts w:ascii="Arial" w:cs="Arial" w:eastAsia="Arial" w:hAnsi="Arial"/>
                <w:sz w:val="14"/>
                <w:szCs w:val="14"/>
                <w:color w:val="auto"/>
              </w:rPr>
              <w:t>(2)(6)</w:t>
            </w:r>
          </w:p>
        </w:tc>
        <w:tc>
          <w:tcPr>
            <w:tcW w:w="1740" w:type="dxa"/>
            <w:vAlign w:val="bottom"/>
            <w:vMerge w:val="restart"/>
          </w:tcPr>
          <w:p>
            <w:pPr>
              <w:ind w:left="160"/>
              <w:spacing w:after="0"/>
              <w:rPr>
                <w:sz w:val="20"/>
                <w:szCs w:val="20"/>
                <w:color w:val="auto"/>
              </w:rPr>
            </w:pPr>
            <w:r>
              <w:rPr>
                <w:rFonts w:ascii="Arial" w:cs="Arial" w:eastAsia="Arial" w:hAnsi="Arial"/>
                <w:sz w:val="14"/>
                <w:szCs w:val="14"/>
                <w:color w:val="auto"/>
              </w:rPr>
              <w:t>September 6, 2023</w:t>
            </w:r>
          </w:p>
        </w:tc>
        <w:tc>
          <w:tcPr>
            <w:tcW w:w="0" w:type="dxa"/>
            <w:vAlign w:val="bottom"/>
          </w:tcPr>
          <w:p>
            <w:pPr>
              <w:spacing w:after="0"/>
              <w:rPr>
                <w:sz w:val="1"/>
                <w:szCs w:val="1"/>
                <w:color w:val="auto"/>
              </w:rPr>
            </w:pPr>
          </w:p>
        </w:tc>
      </w:tr>
      <w:tr>
        <w:trPr>
          <w:trHeight w:val="173"/>
        </w:trPr>
        <w:tc>
          <w:tcPr>
            <w:tcW w:w="1540" w:type="dxa"/>
            <w:vAlign w:val="bottom"/>
            <w:gridSpan w:val="2"/>
          </w:tcPr>
          <w:p>
            <w:pPr>
              <w:ind w:left="100"/>
              <w:spacing w:after="0"/>
              <w:rPr>
                <w:sz w:val="20"/>
                <w:szCs w:val="20"/>
                <w:color w:val="auto"/>
              </w:rPr>
            </w:pPr>
            <w:r>
              <w:rPr>
                <w:rFonts w:ascii="Arial" w:cs="Arial" w:eastAsia="Arial" w:hAnsi="Arial"/>
                <w:sz w:val="14"/>
                <w:szCs w:val="14"/>
                <w:color w:val="auto"/>
              </w:rPr>
              <w:t>- Podium</w:t>
            </w:r>
          </w:p>
        </w:tc>
        <w:tc>
          <w:tcPr>
            <w:tcW w:w="11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Hub50House</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50.00 %</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4.43 %</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4.51 %</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183,675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91,837</w:t>
            </w:r>
          </w:p>
        </w:tc>
        <w:tc>
          <w:tcPr>
            <w:tcW w:w="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(2)(7)</w:t>
            </w:r>
          </w:p>
        </w:tc>
        <w:tc>
          <w:tcPr>
            <w:tcW w:w="1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June 17, 2032</w:t>
            </w:r>
          </w:p>
        </w:tc>
        <w:tc>
          <w:tcPr>
            <w:tcW w:w="0" w:type="dxa"/>
            <w:vAlign w:val="bottom"/>
          </w:tcPr>
          <w:p>
            <w:pPr>
              <w:spacing w:after="0"/>
              <w:rPr>
                <w:sz w:val="1"/>
                <w:szCs w:val="1"/>
                <w:color w:val="auto"/>
              </w:rPr>
            </w:pPr>
          </w:p>
        </w:tc>
      </w:tr>
      <w:tr>
        <w:trPr>
          <w:trHeight w:val="186"/>
        </w:trPr>
        <w:tc>
          <w:tcPr>
            <w:tcW w:w="1540" w:type="dxa"/>
            <w:vAlign w:val="bottom"/>
            <w:gridSpan w:val="2"/>
          </w:tcPr>
          <w:p>
            <w:pPr>
              <w:ind w:left="20"/>
              <w:spacing w:after="0"/>
              <w:rPr>
                <w:sz w:val="20"/>
                <w:szCs w:val="20"/>
                <w:color w:val="auto"/>
              </w:rPr>
            </w:pPr>
            <w:r>
              <w:rPr>
                <w:rFonts w:ascii="Arial" w:cs="Arial" w:eastAsia="Arial" w:hAnsi="Arial"/>
                <w:sz w:val="14"/>
                <w:szCs w:val="14"/>
                <w:color w:val="auto"/>
              </w:rPr>
              <w:t>100 Causeway Street</w:t>
            </w:r>
          </w:p>
        </w:tc>
        <w:tc>
          <w:tcPr>
            <w:tcW w:w="1100" w:type="dxa"/>
            <w:vAlign w:val="bottom"/>
          </w:tcPr>
          <w:p>
            <w:pPr>
              <w:jc w:val="right"/>
              <w:spacing w:after="0"/>
              <w:rPr>
                <w:sz w:val="20"/>
                <w:szCs w:val="20"/>
                <w:color w:val="auto"/>
              </w:rPr>
            </w:pPr>
            <w:r>
              <w:rPr>
                <w:rFonts w:ascii="Arial" w:cs="Arial" w:eastAsia="Arial" w:hAnsi="Arial"/>
                <w:sz w:val="14"/>
                <w:szCs w:val="14"/>
                <w:color w:val="auto"/>
              </w:rPr>
              <w:t>50.00 %</w:t>
            </w: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3.72 %</w:t>
            </w:r>
          </w:p>
        </w:tc>
        <w:tc>
          <w:tcPr>
            <w:tcW w:w="1000" w:type="dxa"/>
            <w:vAlign w:val="bottom"/>
          </w:tcPr>
          <w:p>
            <w:pPr>
              <w:jc w:val="right"/>
              <w:ind w:right="53"/>
              <w:spacing w:after="0"/>
              <w:rPr>
                <w:sz w:val="20"/>
                <w:szCs w:val="20"/>
                <w:color w:val="auto"/>
              </w:rPr>
            </w:pPr>
            <w:r>
              <w:rPr>
                <w:rFonts w:ascii="Arial" w:cs="Arial" w:eastAsia="Arial" w:hAnsi="Arial"/>
                <w:sz w:val="14"/>
                <w:szCs w:val="14"/>
                <w:color w:val="auto"/>
              </w:rPr>
              <w:t>3.93 %</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337,604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336,828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168,414</w:t>
            </w:r>
          </w:p>
        </w:tc>
        <w:tc>
          <w:tcPr>
            <w:tcW w:w="680" w:type="dxa"/>
            <w:vAlign w:val="bottom"/>
          </w:tcPr>
          <w:p>
            <w:pPr>
              <w:ind w:left="120"/>
              <w:spacing w:after="0"/>
              <w:rPr>
                <w:sz w:val="20"/>
                <w:szCs w:val="20"/>
                <w:color w:val="auto"/>
              </w:rPr>
            </w:pPr>
            <w:r>
              <w:rPr>
                <w:rFonts w:ascii="Arial" w:cs="Arial" w:eastAsia="Arial" w:hAnsi="Arial"/>
                <w:sz w:val="14"/>
                <w:szCs w:val="14"/>
                <w:color w:val="auto"/>
              </w:rPr>
              <w:t>(2)(8)</w:t>
            </w:r>
          </w:p>
        </w:tc>
        <w:tc>
          <w:tcPr>
            <w:tcW w:w="1740" w:type="dxa"/>
            <w:vAlign w:val="bottom"/>
          </w:tcPr>
          <w:p>
            <w:pPr>
              <w:ind w:left="160"/>
              <w:spacing w:after="0"/>
              <w:rPr>
                <w:sz w:val="20"/>
                <w:szCs w:val="20"/>
                <w:color w:val="auto"/>
              </w:rPr>
            </w:pPr>
            <w:r>
              <w:rPr>
                <w:rFonts w:ascii="Arial" w:cs="Arial" w:eastAsia="Arial" w:hAnsi="Arial"/>
                <w:sz w:val="14"/>
                <w:szCs w:val="14"/>
                <w:color w:val="auto"/>
              </w:rPr>
              <w:t>September 5, 2023</w:t>
            </w:r>
          </w:p>
        </w:tc>
        <w:tc>
          <w:tcPr>
            <w:tcW w:w="0" w:type="dxa"/>
            <w:vAlign w:val="bottom"/>
          </w:tcPr>
          <w:p>
            <w:pPr>
              <w:spacing w:after="0"/>
              <w:rPr>
                <w:sz w:val="1"/>
                <w:szCs w:val="1"/>
                <w:color w:val="auto"/>
              </w:rPr>
            </w:pPr>
          </w:p>
        </w:tc>
      </w:tr>
      <w:tr>
        <w:trPr>
          <w:trHeight w:val="149"/>
        </w:trPr>
        <w:tc>
          <w:tcPr>
            <w:tcW w:w="15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7750 Wisconsin</w:t>
            </w:r>
          </w:p>
        </w:tc>
        <w:tc>
          <w:tcPr>
            <w:tcW w:w="1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5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4"/>
                <w:szCs w:val="14"/>
                <w:color w:val="auto"/>
              </w:rPr>
              <w:t>Avenue (Marriott</w:t>
            </w:r>
          </w:p>
        </w:tc>
        <w:tc>
          <w:tcPr>
            <w:tcW w:w="1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40" w:type="dxa"/>
            <w:vAlign w:val="bottom"/>
            <w:gridSpan w:val="2"/>
            <w:shd w:val="clear" w:color="auto" w:fill="CCEEFF"/>
          </w:tcPr>
          <w:p>
            <w:pPr>
              <w:ind w:left="100"/>
              <w:spacing w:after="0" w:line="132" w:lineRule="exact"/>
              <w:rPr>
                <w:sz w:val="20"/>
                <w:szCs w:val="20"/>
                <w:color w:val="auto"/>
              </w:rPr>
            </w:pPr>
            <w:r>
              <w:rPr>
                <w:rFonts w:ascii="Arial" w:cs="Arial" w:eastAsia="Arial" w:hAnsi="Arial"/>
                <w:sz w:val="14"/>
                <w:szCs w:val="14"/>
                <w:color w:val="auto"/>
              </w:rPr>
              <w:t>International</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50.00 %</w:t>
            </w:r>
          </w:p>
        </w:tc>
        <w:tc>
          <w:tcPr>
            <w:tcW w:w="94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3.39 %</w:t>
            </w:r>
          </w:p>
        </w:tc>
        <w:tc>
          <w:tcPr>
            <w:tcW w:w="10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3.93 %</w:t>
            </w: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253,887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253,075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126,538</w:t>
            </w:r>
          </w:p>
        </w:tc>
        <w:tc>
          <w:tcPr>
            <w:tcW w:w="6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(2)(9)</w:t>
            </w:r>
          </w:p>
        </w:tc>
        <w:tc>
          <w:tcPr>
            <w:tcW w:w="174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April 26, 2023</w:t>
            </w:r>
          </w:p>
        </w:tc>
        <w:tc>
          <w:tcPr>
            <w:tcW w:w="0" w:type="dxa"/>
            <w:vAlign w:val="bottom"/>
          </w:tcPr>
          <w:p>
            <w:pPr>
              <w:spacing w:after="0"/>
              <w:rPr>
                <w:sz w:val="1"/>
                <w:szCs w:val="1"/>
                <w:color w:val="auto"/>
              </w:rPr>
            </w:pPr>
          </w:p>
        </w:tc>
      </w:tr>
      <w:tr>
        <w:trPr>
          <w:trHeight w:val="185"/>
        </w:trPr>
        <w:tc>
          <w:tcPr>
            <w:tcW w:w="15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Headquarters)</w:t>
            </w:r>
          </w:p>
        </w:tc>
        <w:tc>
          <w:tcPr>
            <w:tcW w:w="11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54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360 Park Avenue</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42.21 %</w:t>
            </w:r>
          </w:p>
        </w:tc>
        <w:tc>
          <w:tcPr>
            <w:tcW w:w="940" w:type="dxa"/>
            <w:vAlign w:val="bottom"/>
            <w:vMerge w:val="restart"/>
          </w:tcPr>
          <w:p>
            <w:pPr>
              <w:jc w:val="right"/>
              <w:ind w:right="13"/>
              <w:spacing w:after="0"/>
              <w:rPr>
                <w:sz w:val="20"/>
                <w:szCs w:val="20"/>
                <w:color w:val="auto"/>
              </w:rPr>
            </w:pPr>
            <w:r>
              <w:rPr>
                <w:rFonts w:ascii="Arial" w:cs="Arial" w:eastAsia="Arial" w:hAnsi="Arial"/>
                <w:sz w:val="14"/>
                <w:szCs w:val="14"/>
                <w:color w:val="auto"/>
              </w:rPr>
              <w:t>4.87 %</w:t>
            </w:r>
          </w:p>
        </w:tc>
        <w:tc>
          <w:tcPr>
            <w:tcW w:w="1000" w:type="dxa"/>
            <w:vAlign w:val="bottom"/>
            <w:vMerge w:val="restart"/>
          </w:tcPr>
          <w:p>
            <w:pPr>
              <w:jc w:val="right"/>
              <w:ind w:right="53"/>
              <w:spacing w:after="0"/>
              <w:rPr>
                <w:sz w:val="20"/>
                <w:szCs w:val="20"/>
                <w:color w:val="auto"/>
              </w:rPr>
            </w:pPr>
            <w:r>
              <w:rPr>
                <w:rFonts w:ascii="Arial" w:cs="Arial" w:eastAsia="Arial" w:hAnsi="Arial"/>
                <w:sz w:val="14"/>
                <w:szCs w:val="14"/>
                <w:color w:val="auto"/>
              </w:rPr>
              <w:t>5.33 %</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207,030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204,823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86,456</w:t>
            </w:r>
          </w:p>
        </w:tc>
        <w:tc>
          <w:tcPr>
            <w:tcW w:w="680" w:type="dxa"/>
            <w:vAlign w:val="bottom"/>
            <w:vMerge w:val="restart"/>
          </w:tcPr>
          <w:p>
            <w:pPr>
              <w:ind w:left="120"/>
              <w:spacing w:after="0"/>
              <w:rPr>
                <w:sz w:val="20"/>
                <w:szCs w:val="20"/>
                <w:color w:val="auto"/>
              </w:rPr>
            </w:pPr>
            <w:r>
              <w:rPr>
                <w:rFonts w:ascii="Arial" w:cs="Arial" w:eastAsia="Arial" w:hAnsi="Arial"/>
                <w:sz w:val="14"/>
                <w:szCs w:val="14"/>
                <w:color w:val="auto"/>
              </w:rPr>
              <w:t>(2)(10)</w:t>
            </w:r>
          </w:p>
        </w:tc>
        <w:tc>
          <w:tcPr>
            <w:tcW w:w="1740" w:type="dxa"/>
            <w:vAlign w:val="bottom"/>
            <w:vMerge w:val="restart"/>
          </w:tcPr>
          <w:p>
            <w:pPr>
              <w:ind w:left="160"/>
              <w:spacing w:after="0"/>
              <w:rPr>
                <w:sz w:val="20"/>
                <w:szCs w:val="20"/>
                <w:color w:val="auto"/>
              </w:rPr>
            </w:pPr>
            <w:r>
              <w:rPr>
                <w:rFonts w:ascii="Arial" w:cs="Arial" w:eastAsia="Arial" w:hAnsi="Arial"/>
                <w:sz w:val="14"/>
                <w:szCs w:val="14"/>
                <w:color w:val="auto"/>
              </w:rPr>
              <w:t>December 14, 2024</w:t>
            </w:r>
          </w:p>
        </w:tc>
        <w:tc>
          <w:tcPr>
            <w:tcW w:w="0" w:type="dxa"/>
            <w:vAlign w:val="bottom"/>
          </w:tcPr>
          <w:p>
            <w:pPr>
              <w:spacing w:after="0"/>
              <w:rPr>
                <w:sz w:val="1"/>
                <w:szCs w:val="1"/>
                <w:color w:val="auto"/>
              </w:rPr>
            </w:pPr>
          </w:p>
        </w:tc>
      </w:tr>
      <w:tr>
        <w:trPr>
          <w:trHeight w:val="173"/>
        </w:trPr>
        <w:tc>
          <w:tcPr>
            <w:tcW w:w="1540" w:type="dxa"/>
            <w:vAlign w:val="bottom"/>
            <w:gridSpan w:val="2"/>
          </w:tcPr>
          <w:p>
            <w:pPr>
              <w:ind w:left="100"/>
              <w:spacing w:after="0"/>
              <w:rPr>
                <w:sz w:val="20"/>
                <w:szCs w:val="20"/>
                <w:color w:val="auto"/>
              </w:rPr>
            </w:pPr>
            <w:r>
              <w:rPr>
                <w:rFonts w:ascii="Arial" w:cs="Arial" w:eastAsia="Arial" w:hAnsi="Arial"/>
                <w:sz w:val="14"/>
                <w:szCs w:val="14"/>
                <w:color w:val="auto"/>
              </w:rPr>
              <w:t>South</w:t>
            </w:r>
          </w:p>
        </w:tc>
        <w:tc>
          <w:tcPr>
            <w:tcW w:w="11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Safeco Plaza</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33.67 %</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4.41 %</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4.55 %</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248,668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83,727</w:t>
            </w:r>
          </w:p>
        </w:tc>
        <w:tc>
          <w:tcPr>
            <w:tcW w:w="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(2)(11)</w:t>
            </w:r>
          </w:p>
        </w:tc>
        <w:tc>
          <w:tcPr>
            <w:tcW w:w="1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September 1, 2026</w:t>
            </w:r>
          </w:p>
        </w:tc>
        <w:tc>
          <w:tcPr>
            <w:tcW w:w="0" w:type="dxa"/>
            <w:vAlign w:val="bottom"/>
          </w:tcPr>
          <w:p>
            <w:pPr>
              <w:spacing w:after="0"/>
              <w:rPr>
                <w:sz w:val="1"/>
                <w:szCs w:val="1"/>
                <w:color w:val="auto"/>
              </w:rPr>
            </w:pPr>
          </w:p>
        </w:tc>
      </w:tr>
      <w:tr>
        <w:trPr>
          <w:trHeight w:val="145"/>
        </w:trPr>
        <w:tc>
          <w:tcPr>
            <w:tcW w:w="154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500 North Capitol</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30.00 %</w:t>
            </w:r>
          </w:p>
        </w:tc>
        <w:tc>
          <w:tcPr>
            <w:tcW w:w="940" w:type="dxa"/>
            <w:vAlign w:val="bottom"/>
            <w:vMerge w:val="restart"/>
          </w:tcPr>
          <w:p>
            <w:pPr>
              <w:jc w:val="right"/>
              <w:ind w:right="13"/>
              <w:spacing w:after="0"/>
              <w:rPr>
                <w:sz w:val="20"/>
                <w:szCs w:val="20"/>
                <w:color w:val="auto"/>
              </w:rPr>
            </w:pPr>
            <w:r>
              <w:rPr>
                <w:rFonts w:ascii="Arial" w:cs="Arial" w:eastAsia="Arial" w:hAnsi="Arial"/>
                <w:sz w:val="14"/>
                <w:szCs w:val="14"/>
                <w:color w:val="auto"/>
              </w:rPr>
              <w:t>4.15 %</w:t>
            </w:r>
          </w:p>
        </w:tc>
        <w:tc>
          <w:tcPr>
            <w:tcW w:w="1000" w:type="dxa"/>
            <w:vAlign w:val="bottom"/>
            <w:vMerge w:val="restart"/>
          </w:tcPr>
          <w:p>
            <w:pPr>
              <w:jc w:val="right"/>
              <w:ind w:right="53"/>
              <w:spacing w:after="0"/>
              <w:rPr>
                <w:sz w:val="20"/>
                <w:szCs w:val="20"/>
                <w:color w:val="auto"/>
              </w:rPr>
            </w:pPr>
            <w:r>
              <w:rPr>
                <w:rFonts w:ascii="Arial" w:cs="Arial" w:eastAsia="Arial" w:hAnsi="Arial"/>
                <w:sz w:val="14"/>
                <w:szCs w:val="14"/>
                <w:color w:val="auto"/>
              </w:rPr>
              <w:t>4.20 %</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105,000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104,961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31,488</w:t>
            </w:r>
          </w:p>
        </w:tc>
        <w:tc>
          <w:tcPr>
            <w:tcW w:w="680" w:type="dxa"/>
            <w:vAlign w:val="bottom"/>
            <w:vMerge w:val="restart"/>
          </w:tcPr>
          <w:p>
            <w:pPr>
              <w:ind w:left="120"/>
              <w:spacing w:after="0"/>
              <w:rPr>
                <w:sz w:val="20"/>
                <w:szCs w:val="20"/>
                <w:color w:val="auto"/>
              </w:rPr>
            </w:pPr>
            <w:r>
              <w:rPr>
                <w:rFonts w:ascii="Arial" w:cs="Arial" w:eastAsia="Arial" w:hAnsi="Arial"/>
                <w:sz w:val="14"/>
                <w:szCs w:val="14"/>
                <w:color w:val="auto"/>
              </w:rPr>
              <w:t>(2)</w:t>
            </w:r>
          </w:p>
        </w:tc>
        <w:tc>
          <w:tcPr>
            <w:tcW w:w="1740" w:type="dxa"/>
            <w:vAlign w:val="bottom"/>
            <w:vMerge w:val="restart"/>
          </w:tcPr>
          <w:p>
            <w:pPr>
              <w:ind w:left="160"/>
              <w:spacing w:after="0"/>
              <w:rPr>
                <w:sz w:val="20"/>
                <w:szCs w:val="20"/>
                <w:color w:val="auto"/>
              </w:rPr>
            </w:pPr>
            <w:r>
              <w:rPr>
                <w:rFonts w:ascii="Arial" w:cs="Arial" w:eastAsia="Arial" w:hAnsi="Arial"/>
                <w:sz w:val="14"/>
                <w:szCs w:val="14"/>
                <w:color w:val="auto"/>
              </w:rPr>
              <w:t>June 6, 2023</w:t>
            </w:r>
          </w:p>
        </w:tc>
        <w:tc>
          <w:tcPr>
            <w:tcW w:w="0" w:type="dxa"/>
            <w:vAlign w:val="bottom"/>
          </w:tcPr>
          <w:p>
            <w:pPr>
              <w:spacing w:after="0"/>
              <w:rPr>
                <w:sz w:val="1"/>
                <w:szCs w:val="1"/>
                <w:color w:val="auto"/>
              </w:rPr>
            </w:pPr>
          </w:p>
        </w:tc>
      </w:tr>
      <w:tr>
        <w:trPr>
          <w:trHeight w:val="173"/>
        </w:trPr>
        <w:tc>
          <w:tcPr>
            <w:tcW w:w="1540" w:type="dxa"/>
            <w:vAlign w:val="bottom"/>
            <w:gridSpan w:val="2"/>
          </w:tcPr>
          <w:p>
            <w:pPr>
              <w:ind w:left="100"/>
              <w:spacing w:after="0"/>
              <w:rPr>
                <w:sz w:val="20"/>
                <w:szCs w:val="20"/>
                <w:color w:val="auto"/>
              </w:rPr>
            </w:pPr>
            <w:r>
              <w:rPr>
                <w:rFonts w:ascii="Arial" w:cs="Arial" w:eastAsia="Arial" w:hAnsi="Arial"/>
                <w:sz w:val="14"/>
                <w:szCs w:val="14"/>
                <w:color w:val="auto"/>
              </w:rPr>
              <w:t>Street, NW</w:t>
            </w:r>
          </w:p>
        </w:tc>
        <w:tc>
          <w:tcPr>
            <w:tcW w:w="11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901 New York Avenue</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25.00 %</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3.61 %</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3.69 %</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213,351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212,949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53,237</w:t>
            </w:r>
          </w:p>
        </w:tc>
        <w:tc>
          <w:tcPr>
            <w:tcW w:w="680" w:type="dxa"/>
            <w:vAlign w:val="bottom"/>
            <w:shd w:val="clear" w:color="auto" w:fill="CCEEFF"/>
          </w:tcPr>
          <w:p>
            <w:pPr>
              <w:spacing w:after="0"/>
              <w:rPr>
                <w:sz w:val="16"/>
                <w:szCs w:val="16"/>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January 5, 2025</w:t>
            </w:r>
          </w:p>
        </w:tc>
        <w:tc>
          <w:tcPr>
            <w:tcW w:w="0" w:type="dxa"/>
            <w:vAlign w:val="bottom"/>
          </w:tcPr>
          <w:p>
            <w:pPr>
              <w:spacing w:after="0"/>
              <w:rPr>
                <w:sz w:val="1"/>
                <w:szCs w:val="1"/>
                <w:color w:val="auto"/>
              </w:rPr>
            </w:pPr>
          </w:p>
        </w:tc>
      </w:tr>
      <w:tr>
        <w:trPr>
          <w:trHeight w:val="186"/>
        </w:trPr>
        <w:tc>
          <w:tcPr>
            <w:tcW w:w="1540" w:type="dxa"/>
            <w:vAlign w:val="bottom"/>
            <w:gridSpan w:val="2"/>
          </w:tcPr>
          <w:p>
            <w:pPr>
              <w:ind w:left="20"/>
              <w:spacing w:after="0"/>
              <w:rPr>
                <w:sz w:val="20"/>
                <w:szCs w:val="20"/>
                <w:color w:val="auto"/>
              </w:rPr>
            </w:pPr>
            <w:r>
              <w:rPr>
                <w:rFonts w:ascii="Arial" w:cs="Arial" w:eastAsia="Arial" w:hAnsi="Arial"/>
                <w:sz w:val="14"/>
                <w:szCs w:val="14"/>
                <w:color w:val="auto"/>
              </w:rPr>
              <w:t>3 Hudson Boulevard</w:t>
            </w:r>
          </w:p>
        </w:tc>
        <w:tc>
          <w:tcPr>
            <w:tcW w:w="1100" w:type="dxa"/>
            <w:vAlign w:val="bottom"/>
          </w:tcPr>
          <w:p>
            <w:pPr>
              <w:jc w:val="right"/>
              <w:spacing w:after="0"/>
              <w:rPr>
                <w:sz w:val="20"/>
                <w:szCs w:val="20"/>
                <w:color w:val="auto"/>
              </w:rPr>
            </w:pPr>
            <w:r>
              <w:rPr>
                <w:rFonts w:ascii="Arial" w:cs="Arial" w:eastAsia="Arial" w:hAnsi="Arial"/>
                <w:sz w:val="14"/>
                <w:szCs w:val="14"/>
                <w:color w:val="auto"/>
              </w:rPr>
              <w:t>25.00 %</w:t>
            </w: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5.80 %</w:t>
            </w:r>
          </w:p>
        </w:tc>
        <w:tc>
          <w:tcPr>
            <w:tcW w:w="1000" w:type="dxa"/>
            <w:vAlign w:val="bottom"/>
          </w:tcPr>
          <w:p>
            <w:pPr>
              <w:jc w:val="right"/>
              <w:ind w:right="53"/>
              <w:spacing w:after="0"/>
              <w:rPr>
                <w:sz w:val="20"/>
                <w:szCs w:val="20"/>
                <w:color w:val="auto"/>
              </w:rPr>
            </w:pPr>
            <w:r>
              <w:rPr>
                <w:rFonts w:ascii="Arial" w:cs="Arial" w:eastAsia="Arial" w:hAnsi="Arial"/>
                <w:sz w:val="14"/>
                <w:szCs w:val="14"/>
                <w:color w:val="auto"/>
              </w:rPr>
              <w:t>5.88 %</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79,952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19,988</w:t>
            </w:r>
          </w:p>
        </w:tc>
        <w:tc>
          <w:tcPr>
            <w:tcW w:w="680" w:type="dxa"/>
            <w:vAlign w:val="bottom"/>
          </w:tcPr>
          <w:p>
            <w:pPr>
              <w:ind w:left="120"/>
              <w:spacing w:after="0"/>
              <w:rPr>
                <w:sz w:val="20"/>
                <w:szCs w:val="20"/>
                <w:color w:val="auto"/>
              </w:rPr>
            </w:pPr>
            <w:r>
              <w:rPr>
                <w:rFonts w:ascii="Arial" w:cs="Arial" w:eastAsia="Arial" w:hAnsi="Arial"/>
                <w:sz w:val="14"/>
                <w:szCs w:val="14"/>
                <w:color w:val="auto"/>
              </w:rPr>
              <w:t>(2)(12)</w:t>
            </w:r>
          </w:p>
        </w:tc>
        <w:tc>
          <w:tcPr>
            <w:tcW w:w="1740" w:type="dxa"/>
            <w:vAlign w:val="bottom"/>
          </w:tcPr>
          <w:p>
            <w:pPr>
              <w:ind w:left="160"/>
              <w:spacing w:after="0"/>
              <w:rPr>
                <w:sz w:val="20"/>
                <w:szCs w:val="20"/>
                <w:color w:val="auto"/>
              </w:rPr>
            </w:pPr>
            <w:r>
              <w:rPr>
                <w:rFonts w:ascii="Arial" w:cs="Arial" w:eastAsia="Arial" w:hAnsi="Arial"/>
                <w:sz w:val="14"/>
                <w:szCs w:val="14"/>
                <w:color w:val="auto"/>
              </w:rPr>
              <w:t>July 13, 2023</w:t>
            </w:r>
          </w:p>
        </w:tc>
        <w:tc>
          <w:tcPr>
            <w:tcW w:w="0" w:type="dxa"/>
            <w:vAlign w:val="bottom"/>
          </w:tcPr>
          <w:p>
            <w:pPr>
              <w:spacing w:after="0"/>
              <w:rPr>
                <w:sz w:val="1"/>
                <w:szCs w:val="1"/>
                <w:color w:val="auto"/>
              </w:rPr>
            </w:pPr>
          </w:p>
        </w:tc>
      </w:tr>
      <w:tr>
        <w:trPr>
          <w:trHeight w:val="195"/>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Metropolitan Square</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20.00 %</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5.12 %</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5.90 %</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415,027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83,005</w:t>
            </w:r>
          </w:p>
        </w:tc>
        <w:tc>
          <w:tcPr>
            <w:tcW w:w="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(2)(13)</w:t>
            </w:r>
          </w:p>
        </w:tc>
        <w:tc>
          <w:tcPr>
            <w:tcW w:w="1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April 9, 2024</w:t>
            </w:r>
          </w:p>
        </w:tc>
        <w:tc>
          <w:tcPr>
            <w:tcW w:w="0" w:type="dxa"/>
            <w:vAlign w:val="bottom"/>
          </w:tcPr>
          <w:p>
            <w:pPr>
              <w:spacing w:after="0"/>
              <w:rPr>
                <w:sz w:val="1"/>
                <w:szCs w:val="1"/>
                <w:color w:val="auto"/>
              </w:rPr>
            </w:pPr>
          </w:p>
        </w:tc>
      </w:tr>
      <w:tr>
        <w:trPr>
          <w:trHeight w:val="145"/>
        </w:trPr>
        <w:tc>
          <w:tcPr>
            <w:tcW w:w="154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Reston Next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20.00 %</w:t>
            </w:r>
          </w:p>
        </w:tc>
        <w:tc>
          <w:tcPr>
            <w:tcW w:w="940" w:type="dxa"/>
            <w:vAlign w:val="bottom"/>
            <w:vMerge w:val="restart"/>
          </w:tcPr>
          <w:p>
            <w:pPr>
              <w:jc w:val="right"/>
              <w:ind w:right="13"/>
              <w:spacing w:after="0"/>
              <w:rPr>
                <w:sz w:val="20"/>
                <w:szCs w:val="20"/>
                <w:color w:val="auto"/>
              </w:rPr>
            </w:pPr>
            <w:r>
              <w:rPr>
                <w:rFonts w:ascii="Arial" w:cs="Arial" w:eastAsia="Arial" w:hAnsi="Arial"/>
                <w:sz w:val="14"/>
                <w:szCs w:val="14"/>
                <w:color w:val="auto"/>
              </w:rPr>
              <w:t>4.75 %</w:t>
            </w:r>
          </w:p>
        </w:tc>
        <w:tc>
          <w:tcPr>
            <w:tcW w:w="1000" w:type="dxa"/>
            <w:vAlign w:val="bottom"/>
            <w:vMerge w:val="restart"/>
          </w:tcPr>
          <w:p>
            <w:pPr>
              <w:jc w:val="right"/>
              <w:ind w:right="53"/>
              <w:spacing w:after="0"/>
              <w:rPr>
                <w:sz w:val="20"/>
                <w:szCs w:val="20"/>
                <w:color w:val="auto"/>
              </w:rPr>
            </w:pPr>
            <w:r>
              <w:rPr>
                <w:rFonts w:ascii="Arial" w:cs="Arial" w:eastAsia="Arial" w:hAnsi="Arial"/>
                <w:sz w:val="14"/>
                <w:szCs w:val="14"/>
                <w:color w:val="auto"/>
              </w:rPr>
              <w:t>5.06 %</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8,231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(1,566)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6,666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1,333</w:t>
            </w:r>
          </w:p>
        </w:tc>
        <w:tc>
          <w:tcPr>
            <w:tcW w:w="680" w:type="dxa"/>
            <w:vAlign w:val="bottom"/>
            <w:vMerge w:val="restart"/>
          </w:tcPr>
          <w:p>
            <w:pPr>
              <w:ind w:left="120"/>
              <w:spacing w:after="0"/>
              <w:rPr>
                <w:sz w:val="20"/>
                <w:szCs w:val="20"/>
                <w:color w:val="auto"/>
              </w:rPr>
            </w:pPr>
            <w:r>
              <w:rPr>
                <w:rFonts w:ascii="Arial" w:cs="Arial" w:eastAsia="Arial" w:hAnsi="Arial"/>
                <w:sz w:val="14"/>
                <w:szCs w:val="14"/>
                <w:color w:val="auto"/>
              </w:rPr>
              <w:t>(2)(14)</w:t>
            </w:r>
          </w:p>
        </w:tc>
        <w:tc>
          <w:tcPr>
            <w:tcW w:w="1740" w:type="dxa"/>
            <w:vAlign w:val="bottom"/>
            <w:vMerge w:val="restart"/>
          </w:tcPr>
          <w:p>
            <w:pPr>
              <w:ind w:left="160"/>
              <w:spacing w:after="0"/>
              <w:rPr>
                <w:sz w:val="20"/>
                <w:szCs w:val="20"/>
                <w:color w:val="auto"/>
              </w:rPr>
            </w:pPr>
            <w:r>
              <w:rPr>
                <w:rFonts w:ascii="Arial" w:cs="Arial" w:eastAsia="Arial" w:hAnsi="Arial"/>
                <w:sz w:val="14"/>
                <w:szCs w:val="14"/>
                <w:color w:val="auto"/>
              </w:rPr>
              <w:t>May 13, 2026</w:t>
            </w:r>
          </w:p>
        </w:tc>
        <w:tc>
          <w:tcPr>
            <w:tcW w:w="0" w:type="dxa"/>
            <w:vAlign w:val="bottom"/>
          </w:tcPr>
          <w:p>
            <w:pPr>
              <w:spacing w:after="0"/>
              <w:rPr>
                <w:sz w:val="1"/>
                <w:szCs w:val="1"/>
                <w:color w:val="auto"/>
              </w:rPr>
            </w:pPr>
          </w:p>
        </w:tc>
      </w:tr>
      <w:tr>
        <w:trPr>
          <w:trHeight w:val="173"/>
        </w:trPr>
        <w:tc>
          <w:tcPr>
            <w:tcW w:w="154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Residential</w:t>
            </w:r>
          </w:p>
        </w:tc>
        <w:tc>
          <w:tcPr>
            <w:tcW w:w="1100" w:type="dxa"/>
            <w:vAlign w:val="bottom"/>
            <w:tcBorders>
              <w:bottom w:val="single" w:sz="8" w:color="CCEEFF"/>
            </w:tcBorders>
            <w:vMerge w:val="continue"/>
          </w:tcPr>
          <w:p>
            <w:pPr>
              <w:spacing w:after="0"/>
              <w:rPr>
                <w:sz w:val="15"/>
                <w:szCs w:val="15"/>
                <w:color w:val="auto"/>
              </w:rPr>
            </w:pPr>
          </w:p>
        </w:tc>
        <w:tc>
          <w:tcPr>
            <w:tcW w:w="94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CCEEFF"/>
            </w:tcBorders>
            <w:vMerge w:val="continue"/>
          </w:tcPr>
          <w:p>
            <w:pPr>
              <w:spacing w:after="0"/>
              <w:rPr>
                <w:sz w:val="15"/>
                <w:szCs w:val="15"/>
                <w:color w:val="auto"/>
              </w:rPr>
            </w:pPr>
          </w:p>
        </w:tc>
        <w:tc>
          <w:tcPr>
            <w:tcW w:w="174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3,443,626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(17,656)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3,425,972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1,450,624</w:t>
            </w:r>
          </w:p>
        </w:tc>
        <w:tc>
          <w:tcPr>
            <w:tcW w:w="6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26" w:lineRule="exact"/>
        <w:rPr>
          <w:sz w:val="20"/>
          <w:szCs w:val="20"/>
          <w:color w:val="auto"/>
        </w:rPr>
      </w:pPr>
    </w:p>
    <w:p>
      <w:pPr>
        <w:ind w:left="620" w:right="1180" w:hanging="314"/>
        <w:spacing w:after="0" w:line="252" w:lineRule="auto"/>
        <w:tabs>
          <w:tab w:leader="none" w:pos="616" w:val="left"/>
        </w:tabs>
        <w:numPr>
          <w:ilvl w:val="0"/>
          <w:numId w:val="67"/>
        </w:numPr>
        <w:rPr>
          <w:rFonts w:ascii="Arial" w:cs="Arial" w:eastAsia="Arial" w:hAnsi="Arial"/>
          <w:sz w:val="15"/>
          <w:szCs w:val="15"/>
          <w:color w:val="auto"/>
        </w:rPr>
      </w:pPr>
      <w:r>
        <w:rPr>
          <w:rFonts w:ascii="Arial" w:cs="Arial" w:eastAsia="Arial" w:hAnsi="Arial"/>
          <w:sz w:val="15"/>
          <w:szCs w:val="15"/>
          <w:color w:val="auto"/>
        </w:rPr>
        <w:t>GAAP interest rate differs from the stated interest rate due to the inclusion of the amortization of financing charges, which includes mortgage recording fees.</w:t>
      </w:r>
    </w:p>
    <w:p>
      <w:pPr>
        <w:spacing w:after="0" w:line="1" w:lineRule="exact"/>
        <w:rPr>
          <w:rFonts w:ascii="Arial" w:cs="Arial" w:eastAsia="Arial" w:hAnsi="Arial"/>
          <w:sz w:val="15"/>
          <w:szCs w:val="15"/>
          <w:color w:val="auto"/>
        </w:rPr>
      </w:pPr>
    </w:p>
    <w:p>
      <w:pPr>
        <w:ind w:left="600" w:hanging="294"/>
        <w:spacing w:after="0"/>
        <w:tabs>
          <w:tab w:leader="none" w:pos="6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loan requires interest only payments with a balloon payment due at maturity.</w:t>
      </w:r>
    </w:p>
    <w:p>
      <w:pPr>
        <w:spacing w:after="0" w:line="9" w:lineRule="exact"/>
        <w:rPr>
          <w:rFonts w:ascii="Arial" w:cs="Arial" w:eastAsia="Arial" w:hAnsi="Arial"/>
          <w:sz w:val="15"/>
          <w:szCs w:val="15"/>
          <w:color w:val="auto"/>
        </w:rPr>
      </w:pPr>
    </w:p>
    <w:p>
      <w:pPr>
        <w:ind w:left="620" w:right="1000" w:hanging="314"/>
        <w:spacing w:after="0" w:line="253" w:lineRule="auto"/>
        <w:tabs>
          <w:tab w:leader="none" w:pos="616"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loan bears interest at a variable rate equal to LIBOR plus 1.28% per annum and matures on July 19, 2025. A subsidiary of the joint venture entered into interest rate swap contracts with notional amounts aggregating $300.0 million through April 1, 2025, resulting in a fixed rate of approximately 4.063% per annum through the expiration of the interest rate swap contracts.</w:t>
      </w:r>
    </w:p>
    <w:p>
      <w:pPr>
        <w:ind w:left="620" w:right="620" w:hanging="314"/>
        <w:spacing w:after="0" w:line="283" w:lineRule="auto"/>
        <w:tabs>
          <w:tab w:leader="none" w:pos="616"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loan bears interest at a variable rate equal to (1) the greater of (x) LIBOR or (y) 0.50%, plus (2) 2.30% per annum and matures on November 10, 2025, with one, one-year extension option, subject to certain conditions.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left="620" w:right="900" w:hanging="314"/>
        <w:spacing w:after="0" w:line="262" w:lineRule="auto"/>
        <w:tabs>
          <w:tab w:leader="none" w:pos="616"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construction financing has a borrowing capacity of $198.4 million. The construction financing bears interest at a variable rate equal to (1) the greater of (x) SOFR or (y) 0.25%, plus (2) 3.10% per annum and matures on December 18, 2023.</w:t>
      </w:r>
    </w:p>
    <w:p>
      <w:pPr>
        <w:ind w:left="620" w:right="800" w:hanging="314"/>
        <w:spacing w:after="0" w:line="255" w:lineRule="auto"/>
        <w:tabs>
          <w:tab w:leader="none" w:pos="616"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construction financing had a borrowing capacity of $204.6 million. On September 16, 2019, the joint venture paid down the construction loan principal balance in the amount of approximately $28.8 million, reducing the borrowing capacity to $175.8 million. The construction financing bears interest at a variable rate equal to LIBOR plus 2.25% per annum and matures on September 6, 2023.</w:t>
      </w:r>
    </w:p>
    <w:p>
      <w:pPr>
        <w:jc w:val="both"/>
        <w:ind w:left="620" w:right="1100" w:hanging="314"/>
        <w:spacing w:after="0" w:line="253" w:lineRule="auto"/>
        <w:tabs>
          <w:tab w:leader="none" w:pos="616"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loan bears interest at a variable rate equal to SOFR plus 1.35% per annum and matures on June 17, 2032. The joint venture entered into interest rate swap contracts with notional amounts aggregating $185.0 million through April 10, 2032, resulting in a fixed rate of approximately 4.432% per annum through the expiration of the interest rate swap contracts.</w:t>
      </w:r>
    </w:p>
    <w:p>
      <w:pPr>
        <w:jc w:val="both"/>
        <w:ind w:left="620" w:right="860" w:hanging="314"/>
        <w:spacing w:after="0" w:line="253" w:lineRule="auto"/>
        <w:tabs>
          <w:tab w:leader="none" w:pos="616"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construction financing has a borrowing capacity of $400.0 million. The construction financing bears interest at a variable rate equal to LIBOR plus 1.50% per annum (LIBOR plus 1.375% per annum upon stabilization, as defined in the loan agreement) and matures on September 5, 2023, with two, one-year extension options, subject to certain conditions.</w:t>
      </w:r>
    </w:p>
    <w:p>
      <w:pPr>
        <w:ind w:left="620" w:right="880" w:hanging="314"/>
        <w:spacing w:after="0" w:line="256" w:lineRule="auto"/>
        <w:tabs>
          <w:tab w:leader="none" w:pos="616"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construction financing has a borrowing capacity of $255.0 million. The construction financing bears interest at a variable rate equal to LIBOR plus 1.25% per annum and matures on April 26, 2023, with two, one-year extension options, subject to certain conditions.</w:t>
      </w:r>
    </w:p>
    <w:p>
      <w:pPr>
        <w:ind w:left="620" w:right="760" w:hanging="314"/>
        <w:spacing w:after="0" w:line="252" w:lineRule="auto"/>
        <w:tabs>
          <w:tab w:leader="none" w:pos="611"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loan bears interest at a variable rate equal to Adjusted Term SOFR plus 2.40% per annum and matures on December 14, 2024, with two, one-year extension options, subject to certain conditions. The spread on the variable rate may be reduced, subject to certain conditions.</w:t>
      </w:r>
    </w:p>
    <w:p>
      <w:pPr>
        <w:spacing w:after="0" w:line="1" w:lineRule="exact"/>
        <w:rPr>
          <w:rFonts w:ascii="Arial" w:cs="Arial" w:eastAsia="Arial" w:hAnsi="Arial"/>
          <w:sz w:val="15"/>
          <w:szCs w:val="15"/>
          <w:color w:val="auto"/>
        </w:rPr>
      </w:pPr>
    </w:p>
    <w:p>
      <w:pPr>
        <w:ind w:left="620" w:right="660" w:hanging="314"/>
        <w:spacing w:after="0" w:line="255" w:lineRule="auto"/>
        <w:tabs>
          <w:tab w:leader="none" w:pos="6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loan bears interest at a variable rate equal to the greater of (x) 2.35% or (y) SOFR plus 2.32% per annum and matures on September 1, 2026. The joint venture entered into an interest rate cap agreement with a financial institution to limit its exposure to increases in the SOFR rate at a cap of 2.50% per annum on a notional amount of $250.0 million through September 1, 2023.</w:t>
      </w:r>
    </w:p>
    <w:p>
      <w:pPr>
        <w:ind w:left="620" w:right="620" w:hanging="314"/>
        <w:spacing w:after="0" w:line="254" w:lineRule="auto"/>
        <w:tabs>
          <w:tab w:leader="none" w:pos="611" w:val="left"/>
        </w:tabs>
        <w:numPr>
          <w:ilvl w:val="0"/>
          <w:numId w:val="68"/>
        </w:numPr>
        <w:rPr>
          <w:rFonts w:ascii="Arial" w:cs="Arial" w:eastAsia="Arial" w:hAnsi="Arial"/>
          <w:sz w:val="15"/>
          <w:szCs w:val="15"/>
          <w:color w:val="auto"/>
        </w:rPr>
      </w:pPr>
      <w:r>
        <w:rPr>
          <w:rFonts w:ascii="Arial" w:cs="Arial" w:eastAsia="Arial" w:hAnsi="Arial"/>
          <w:sz w:val="15"/>
          <w:szCs w:val="15"/>
          <w:color w:val="auto"/>
        </w:rPr>
        <w:t>We provided $80.0 million of mortgage financing to the joint venture. The loan bears interest at a variable rate equal to LIBOR plus 3.50% per annum and matures on July 13, 2023, with extension options, subject to certain conditions. The loan has been reflected as Related Party Note Receivable, Net on our Consolidated Balance Sheets. As of September 30, 2022, the loan has approximately $17.3 million of accrued interest due at the maturity date.</w:t>
      </w:r>
    </w:p>
    <w:p>
      <w:pPr>
        <w:spacing w:after="0" w:line="1" w:lineRule="exact"/>
        <w:rPr>
          <w:rFonts w:ascii="Arial" w:cs="Arial" w:eastAsia="Arial" w:hAnsi="Arial"/>
          <w:sz w:val="15"/>
          <w:szCs w:val="15"/>
          <w:color w:val="auto"/>
        </w:rPr>
      </w:pPr>
    </w:p>
    <w:p>
      <w:pPr>
        <w:ind w:left="620" w:right="640" w:hanging="314"/>
        <w:spacing w:after="0" w:line="254" w:lineRule="auto"/>
        <w:tabs>
          <w:tab w:leader="none" w:pos="611"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indebtedness consists of (x) a $305.0 million mortgage loan payable which bears interest at a variable rate equal to SOFR plus approximately 1.81% and matures on April 9, 2024 with three, one-year extension options, subject to certain conditions, and (y) a $115.0 million mezzanine note payable which bears interest at a variable rate equal to SOFR plus 5.25% and matures on April 9, 2024 with three, one-year extension options, subject to certain conditions. The joint venture entered into an interest rate cap agreement with a financial institution to limit its exposure to increases in the SOFR rate at a cap of 4.50% per annum on a notional amount of $420.0 million through April 15, 2024.</w:t>
      </w:r>
    </w:p>
    <w:p>
      <w:pPr>
        <w:spacing w:after="0" w:line="1" w:lineRule="exact"/>
        <w:rPr>
          <w:rFonts w:ascii="Arial" w:cs="Arial" w:eastAsia="Arial" w:hAnsi="Arial"/>
          <w:sz w:val="15"/>
          <w:szCs w:val="15"/>
          <w:color w:val="auto"/>
        </w:rPr>
      </w:pPr>
    </w:p>
    <w:p>
      <w:pPr>
        <w:ind w:left="620" w:right="920" w:hanging="314"/>
        <w:spacing w:after="0" w:line="272" w:lineRule="auto"/>
        <w:tabs>
          <w:tab w:leader="none" w:pos="611"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construction financing has a borrowing capacity of $140.0 million. The construction financing bears interest at a variable rate equal to SOFR plus 2.00% per annum and matures on May 13, 2026, with two, one-year extension options, subject to certain conditions.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State and Local Tax Matters</w:t>
      </w:r>
    </w:p>
    <w:p>
      <w:pPr>
        <w:spacing w:after="0" w:line="94" w:lineRule="exact"/>
        <w:rPr>
          <w:sz w:val="20"/>
          <w:szCs w:val="20"/>
          <w:color w:val="auto"/>
        </w:rPr>
      </w:pPr>
    </w:p>
    <w:p>
      <w:pPr>
        <w:ind w:right="280" w:firstLine="419"/>
        <w:spacing w:after="0" w:line="275" w:lineRule="auto"/>
        <w:rPr>
          <w:sz w:val="20"/>
          <w:szCs w:val="20"/>
          <w:color w:val="auto"/>
        </w:rPr>
      </w:pPr>
      <w:r>
        <w:rPr>
          <w:rFonts w:ascii="Arial" w:cs="Arial" w:eastAsia="Arial" w:hAnsi="Arial"/>
          <w:sz w:val="16"/>
          <w:szCs w:val="16"/>
          <w:color w:val="auto"/>
        </w:rPr>
        <w:t>Because BXP is organized and qualifies as a REIT, it is generally not subject to federal income taxes, but is subject to certain state and local taxes. In the normal course of business, certain entities through which we own real estate either have undergone, or are currently undergoing, tax audits or other inquiries. Although we believe that we have substantial arguments in favor of our position in the ongoing audits, in some instances there is no controlling precedent or interpretive guidance on the specific point at issue. Collectively, tax deficiency notices received to date from the jurisdictions conducting the ongoing audits have not been material. However, there can be no assurance that future audits will not occur with increased frequency or that the ultimate result of such audits will not have a material adverse effect on our results of operations.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Insurance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information concerning our insurance program, see Note 7 to the Consolidated Financial Statements.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Funds from Operations</w:t>
      </w:r>
    </w:p>
    <w:p>
      <w:pPr>
        <w:spacing w:after="0" w:line="82" w:lineRule="exact"/>
        <w:rPr>
          <w:sz w:val="20"/>
          <w:szCs w:val="20"/>
          <w:color w:val="auto"/>
        </w:rPr>
      </w:pPr>
    </w:p>
    <w:p>
      <w:pPr>
        <w:ind w:firstLine="419"/>
        <w:spacing w:after="0" w:line="257" w:lineRule="auto"/>
        <w:rPr>
          <w:sz w:val="20"/>
          <w:szCs w:val="20"/>
          <w:color w:val="auto"/>
        </w:rPr>
      </w:pPr>
      <w:r>
        <w:rPr>
          <w:rFonts w:ascii="Arial" w:cs="Arial" w:eastAsia="Arial" w:hAnsi="Arial"/>
          <w:sz w:val="17"/>
          <w:szCs w:val="17"/>
          <w:color w:val="auto"/>
        </w:rPr>
        <w:t>Pursuant to the revised definition of Funds from Operations adopted by the Board of Governors of the National Association of Real Estate Investment Trusts (“Nareit”), we calculate Funds from Operations, or “FFO,” for each of BXP and BPLP by adjusting net income (loss) attributable to Boston Properties, Inc. and net income (loss) attributable to Boston Properties Limited Partnership (computed in accordance with GAAP), respectively, for gains (or losses) from sales of properties, impairment losses on depreciable real estate consolidated on our balance sheet, impairment losses on our investments in unconsolidated joint ventures driven by a measurable decrease in</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the fair value of depreciable real estate held by the unconsolidated joint ventures and our share of real estate-related depreciation and amortization. FFO is a non-GAAP financial measure. We believe the presentation of FFO, combined with the presentation of required GAAP financial measures, improves the understanding of operating results of REITs among the investing public and helps make comparisons of REIT operating results more meaningful. Management generally considers FFO to be useful measures for understanding and comparing our operating results because, by excluding gains and losses related to sales of previously depreciated operating real estate assets, impairment losses and real estate asset depreciation and amortization (which can differ across owners of similar assets in similar condition based on historical cost accounting and useful life estimates), FFO can help investors compare the operating performance of a company’s real estate across reporting periods and to the operating performance of other companies.</w:t>
      </w:r>
    </w:p>
    <w:p>
      <w:pPr>
        <w:spacing w:after="0" w:line="122" w:lineRule="exact"/>
        <w:rPr>
          <w:sz w:val="20"/>
          <w:szCs w:val="20"/>
          <w:color w:val="auto"/>
        </w:rPr>
      </w:pPr>
    </w:p>
    <w:p>
      <w:pPr>
        <w:ind w:right="60" w:firstLine="419"/>
        <w:spacing w:after="0" w:line="254" w:lineRule="auto"/>
        <w:rPr>
          <w:sz w:val="20"/>
          <w:szCs w:val="20"/>
          <w:color w:val="auto"/>
        </w:rPr>
      </w:pPr>
      <w:r>
        <w:rPr>
          <w:rFonts w:ascii="Arial" w:cs="Arial" w:eastAsia="Arial" w:hAnsi="Arial"/>
          <w:sz w:val="17"/>
          <w:szCs w:val="17"/>
          <w:color w:val="auto"/>
        </w:rPr>
        <w:t>Our computation of FFO may not be comparable to FFO reported by other REITs or real estate companies that do not define the term in accordance with the current Nareit definition or that interpret the current Nareit definition differently. We believe that in order to facilitate a clear understanding of our operating results, FFO should be examined in conjunction with net income attributable to Boston Properties, Inc. and net income attributable to Boston Properties Limited Partnership as presented in our Consolidated Financial Statements. FFO should not be considered as a substitute for net income attributable to Boston Properties, Inc. or net income attributable to Boston Properties Limited Partnership (determined in accordance with GAAP) or any other GAAP financial measures and should only be considered together with and as a supplement to our financial information prepared in accordance with GAAP.</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BXP</w:t>
      </w:r>
    </w:p>
    <w:p>
      <w:pPr>
        <w:spacing w:after="0" w:line="84" w:lineRule="exact"/>
        <w:rPr>
          <w:sz w:val="20"/>
          <w:szCs w:val="20"/>
          <w:color w:val="auto"/>
        </w:rPr>
      </w:pPr>
    </w:p>
    <w:p>
      <w:pPr>
        <w:ind w:firstLine="419"/>
        <w:spacing w:after="0" w:line="283" w:lineRule="auto"/>
        <w:rPr>
          <w:sz w:val="20"/>
          <w:szCs w:val="20"/>
          <w:color w:val="auto"/>
        </w:rPr>
      </w:pPr>
      <w:r>
        <w:rPr>
          <w:rFonts w:ascii="Arial" w:cs="Arial" w:eastAsia="Arial" w:hAnsi="Arial"/>
          <w:sz w:val="17"/>
          <w:szCs w:val="17"/>
          <w:color w:val="auto"/>
        </w:rPr>
        <w:t>The following table presents a reconciliation of net income attributable to Boston Properties, Inc. to FFO attributable to Boston Properties, Inc. for the three months ended September 30, 2022 and 2021: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7"/>
                <w:szCs w:val="17"/>
                <w:b w:val="1"/>
                <w:bCs w:val="1"/>
                <w:color w:val="auto"/>
                <w:w w:val="99"/>
              </w:rPr>
              <w:t>Three months ended September 30,</w:t>
            </w:r>
          </w:p>
        </w:tc>
        <w:tc>
          <w:tcPr>
            <w:tcW w:w="0" w:type="dxa"/>
            <w:vAlign w:val="bottom"/>
          </w:tcPr>
          <w:p>
            <w:pPr>
              <w:spacing w:after="0"/>
              <w:rPr>
                <w:sz w:val="1"/>
                <w:szCs w:val="1"/>
                <w:color w:val="auto"/>
              </w:rPr>
            </w:pPr>
          </w:p>
        </w:tc>
      </w:tr>
      <w:tr>
        <w:trPr>
          <w:trHeight w:val="208"/>
        </w:trPr>
        <w:tc>
          <w:tcPr>
            <w:tcW w:w="8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08"/>
        </w:trPr>
        <w:tc>
          <w:tcPr>
            <w:tcW w:w="8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jc w:val="right"/>
              <w:spacing w:after="0"/>
              <w:rPr>
                <w:sz w:val="20"/>
                <w:szCs w:val="20"/>
                <w:color w:val="auto"/>
              </w:rPr>
            </w:pPr>
            <w:r>
              <w:rPr>
                <w:rFonts w:ascii="Arial" w:cs="Arial" w:eastAsia="Arial" w:hAnsi="Arial"/>
                <w:sz w:val="17"/>
                <w:szCs w:val="17"/>
                <w:b w:val="1"/>
                <w:bCs w:val="1"/>
                <w:color w:val="auto"/>
              </w:rPr>
              <w:t>(in thousands)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Boston Properties, Inc.</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360,977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108,297</w:t>
            </w: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rPr>
                <w:sz w:val="20"/>
                <w:szCs w:val="20"/>
                <w:color w:val="auto"/>
              </w:rPr>
            </w:pPr>
            <w:r>
              <w:rPr>
                <w:rFonts w:ascii="Arial" w:cs="Arial" w:eastAsia="Arial" w:hAnsi="Arial"/>
                <w:sz w:val="17"/>
                <w:szCs w:val="17"/>
                <w:color w:val="auto"/>
              </w:rPr>
              <w:t>Add:</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Noncontrolling interest—common units of the Operating Partnership</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40,883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11,982</w:t>
            </w:r>
          </w:p>
        </w:tc>
        <w:tc>
          <w:tcPr>
            <w:tcW w:w="0" w:type="dxa"/>
            <w:vAlign w:val="bottom"/>
          </w:tcPr>
          <w:p>
            <w:pPr>
              <w:spacing w:after="0"/>
              <w:rPr>
                <w:sz w:val="1"/>
                <w:szCs w:val="1"/>
                <w:color w:val="auto"/>
              </w:rPr>
            </w:pPr>
          </w:p>
        </w:tc>
      </w:tr>
      <w:tr>
        <w:trPr>
          <w:trHeight w:val="216"/>
        </w:trPr>
        <w:tc>
          <w:tcPr>
            <w:tcW w:w="81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Noncontrolling interests in property partnerships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18,801</w:t>
            </w: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18,971</w:t>
            </w:r>
          </w:p>
        </w:tc>
        <w:tc>
          <w:tcPr>
            <w:tcW w:w="0" w:type="dxa"/>
            <w:vAlign w:val="bottom"/>
          </w:tcPr>
          <w:p>
            <w:pPr>
              <w:spacing w:after="0"/>
              <w:rPr>
                <w:sz w:val="1"/>
                <w:szCs w:val="1"/>
                <w:color w:val="auto"/>
              </w:rPr>
            </w:pPr>
          </w:p>
        </w:tc>
      </w:tr>
      <w:tr>
        <w:trPr>
          <w:trHeight w:val="208"/>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420,661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139,250</w:t>
            </w: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rPr>
                <w:sz w:val="20"/>
                <w:szCs w:val="20"/>
                <w:color w:val="auto"/>
              </w:rPr>
            </w:pPr>
            <w:r>
              <w:rPr>
                <w:rFonts w:ascii="Arial" w:cs="Arial" w:eastAsia="Arial" w:hAnsi="Arial"/>
                <w:sz w:val="17"/>
                <w:szCs w:val="17"/>
                <w:color w:val="auto"/>
              </w:rPr>
              <w:t>Add:</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190,675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179,412</w:t>
            </w:r>
          </w:p>
        </w:tc>
        <w:tc>
          <w:tcPr>
            <w:tcW w:w="0" w:type="dxa"/>
            <w:vAlign w:val="bottom"/>
          </w:tcPr>
          <w:p>
            <w:pPr>
              <w:spacing w:after="0"/>
              <w:rPr>
                <w:sz w:val="1"/>
                <w:szCs w:val="1"/>
                <w:color w:val="auto"/>
              </w:rPr>
            </w:pPr>
          </w:p>
        </w:tc>
      </w:tr>
      <w:tr>
        <w:trPr>
          <w:trHeight w:val="216"/>
        </w:trPr>
        <w:tc>
          <w:tcPr>
            <w:tcW w:w="8140" w:type="dxa"/>
            <w:vAlign w:val="bottom"/>
          </w:tcPr>
          <w:p>
            <w:pPr>
              <w:ind w:left="320"/>
              <w:spacing w:after="0"/>
              <w:rPr>
                <w:sz w:val="20"/>
                <w:szCs w:val="20"/>
                <w:color w:val="auto"/>
              </w:rPr>
            </w:pPr>
            <w:r>
              <w:rPr>
                <w:rFonts w:ascii="Arial" w:cs="Arial" w:eastAsia="Arial" w:hAnsi="Arial"/>
                <w:sz w:val="17"/>
                <w:szCs w:val="17"/>
                <w:color w:val="auto"/>
              </w:rPr>
              <w:t>Noncontrolling interests in property partnerships’ share of depreciation and amortization</w:t>
            </w:r>
          </w:p>
        </w:tc>
        <w:tc>
          <w:tcPr>
            <w:tcW w:w="120" w:type="dxa"/>
            <w:vAlign w:val="bottom"/>
          </w:tcPr>
          <w:p>
            <w:pPr>
              <w:spacing w:after="0"/>
              <w:rPr>
                <w:sz w:val="18"/>
                <w:szCs w:val="18"/>
                <w:color w:val="auto"/>
              </w:rPr>
            </w:pPr>
          </w:p>
        </w:tc>
        <w:tc>
          <w:tcPr>
            <w:tcW w:w="1360" w:type="dxa"/>
            <w:vAlign w:val="bottom"/>
          </w:tcPr>
          <w:p>
            <w:pPr>
              <w:jc w:val="right"/>
              <w:ind w:right="95"/>
              <w:spacing w:after="0"/>
              <w:rPr>
                <w:sz w:val="20"/>
                <w:szCs w:val="20"/>
                <w:color w:val="auto"/>
              </w:rPr>
            </w:pPr>
            <w:r>
              <w:rPr>
                <w:rFonts w:ascii="Arial" w:cs="Arial" w:eastAsia="Arial" w:hAnsi="Arial"/>
                <w:sz w:val="17"/>
                <w:szCs w:val="17"/>
                <w:color w:val="auto"/>
              </w:rPr>
              <w:t>(17,706)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color w:val="auto"/>
              </w:rPr>
              <w:t>(16,773)</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BXP’s share of depreciation and amortization from unconsolidated joint ventures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21,485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17,803</w:t>
            </w:r>
          </w:p>
        </w:tc>
        <w:tc>
          <w:tcPr>
            <w:tcW w:w="0" w:type="dxa"/>
            <w:vAlign w:val="bottom"/>
          </w:tcPr>
          <w:p>
            <w:pPr>
              <w:spacing w:after="0"/>
              <w:rPr>
                <w:sz w:val="1"/>
                <w:szCs w:val="1"/>
                <w:color w:val="auto"/>
              </w:rPr>
            </w:pPr>
          </w:p>
        </w:tc>
      </w:tr>
      <w:tr>
        <w:trPr>
          <w:trHeight w:val="216"/>
        </w:trPr>
        <w:tc>
          <w:tcPr>
            <w:tcW w:w="8140" w:type="dxa"/>
            <w:vAlign w:val="bottom"/>
          </w:tcPr>
          <w:p>
            <w:pPr>
              <w:ind w:left="320"/>
              <w:spacing w:after="0"/>
              <w:rPr>
                <w:sz w:val="20"/>
                <w:szCs w:val="20"/>
                <w:color w:val="auto"/>
              </w:rPr>
            </w:pPr>
            <w:r>
              <w:rPr>
                <w:rFonts w:ascii="Arial" w:cs="Arial" w:eastAsia="Arial" w:hAnsi="Arial"/>
                <w:sz w:val="17"/>
                <w:szCs w:val="17"/>
                <w:color w:val="auto"/>
              </w:rPr>
              <w:t>Corporate-related depreciation and amortization</w:t>
            </w:r>
          </w:p>
        </w:tc>
        <w:tc>
          <w:tcPr>
            <w:tcW w:w="120" w:type="dxa"/>
            <w:vAlign w:val="bottom"/>
          </w:tcPr>
          <w:p>
            <w:pPr>
              <w:spacing w:after="0"/>
              <w:rPr>
                <w:sz w:val="18"/>
                <w:szCs w:val="18"/>
                <w:color w:val="auto"/>
              </w:rPr>
            </w:pPr>
          </w:p>
        </w:tc>
        <w:tc>
          <w:tcPr>
            <w:tcW w:w="1360" w:type="dxa"/>
            <w:vAlign w:val="bottom"/>
          </w:tcPr>
          <w:p>
            <w:pPr>
              <w:jc w:val="right"/>
              <w:ind w:right="95"/>
              <w:spacing w:after="0"/>
              <w:rPr>
                <w:sz w:val="20"/>
                <w:szCs w:val="20"/>
                <w:color w:val="auto"/>
              </w:rPr>
            </w:pPr>
            <w:r>
              <w:rPr>
                <w:rFonts w:ascii="Arial" w:cs="Arial" w:eastAsia="Arial" w:hAnsi="Arial"/>
                <w:sz w:val="17"/>
                <w:szCs w:val="17"/>
                <w:color w:val="auto"/>
              </w:rPr>
              <w:t>(431)</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20"/>
              <w:spacing w:after="0"/>
              <w:rPr>
                <w:sz w:val="20"/>
                <w:szCs w:val="20"/>
                <w:color w:val="auto"/>
              </w:rPr>
            </w:pPr>
            <w:r>
              <w:rPr>
                <w:rFonts w:ascii="Arial" w:cs="Arial" w:eastAsia="Arial" w:hAnsi="Arial"/>
                <w:sz w:val="17"/>
                <w:szCs w:val="17"/>
                <w:color w:val="auto"/>
              </w:rPr>
              <w:t>Gains on sales of real estate</w:t>
            </w:r>
          </w:p>
        </w:tc>
        <w:tc>
          <w:tcPr>
            <w:tcW w:w="120" w:type="dxa"/>
            <w:vAlign w:val="bottom"/>
          </w:tcPr>
          <w:p>
            <w:pPr>
              <w:spacing w:after="0"/>
              <w:rPr>
                <w:sz w:val="18"/>
                <w:szCs w:val="18"/>
                <w:color w:val="auto"/>
              </w:rPr>
            </w:pPr>
          </w:p>
        </w:tc>
        <w:tc>
          <w:tcPr>
            <w:tcW w:w="1360" w:type="dxa"/>
            <w:vAlign w:val="bottom"/>
          </w:tcPr>
          <w:p>
            <w:pPr>
              <w:jc w:val="right"/>
              <w:ind w:right="135"/>
              <w:spacing w:after="0"/>
              <w:rPr>
                <w:sz w:val="20"/>
                <w:szCs w:val="20"/>
                <w:color w:val="auto"/>
              </w:rPr>
            </w:pPr>
            <w:r>
              <w:rPr>
                <w:rFonts w:ascii="Arial" w:cs="Arial" w:eastAsia="Arial" w:hAnsi="Arial"/>
                <w:sz w:val="17"/>
                <w:szCs w:val="17"/>
                <w:color w:val="auto"/>
              </w:rPr>
              <w:t>262,345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135"/>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Noncontrolling interests in property partnerships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18,801</w:t>
            </w: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18,971</w:t>
            </w:r>
          </w:p>
        </w:tc>
        <w:tc>
          <w:tcPr>
            <w:tcW w:w="0" w:type="dxa"/>
            <w:vAlign w:val="bottom"/>
          </w:tcPr>
          <w:p>
            <w:pPr>
              <w:spacing w:after="0"/>
              <w:rPr>
                <w:sz w:val="1"/>
                <w:szCs w:val="1"/>
                <w:color w:val="auto"/>
              </w:rPr>
            </w:pPr>
          </w:p>
        </w:tc>
      </w:tr>
      <w:tr>
        <w:trPr>
          <w:trHeight w:val="208"/>
        </w:trPr>
        <w:tc>
          <w:tcPr>
            <w:tcW w:w="8140" w:type="dxa"/>
            <w:vAlign w:val="bottom"/>
          </w:tcPr>
          <w:p>
            <w:pPr>
              <w:ind w:left="20"/>
              <w:spacing w:after="0"/>
              <w:rPr>
                <w:sz w:val="20"/>
                <w:szCs w:val="20"/>
                <w:color w:val="auto"/>
              </w:rPr>
            </w:pPr>
            <w:r>
              <w:rPr>
                <w:rFonts w:ascii="Arial" w:cs="Arial" w:eastAsia="Arial" w:hAnsi="Arial"/>
                <w:sz w:val="17"/>
                <w:szCs w:val="17"/>
                <w:color w:val="auto"/>
              </w:rPr>
              <w:t>Funds from Operations (FFO) attributable to the Operating Partnership</w:t>
            </w:r>
          </w:p>
        </w:tc>
        <w:tc>
          <w:tcPr>
            <w:tcW w:w="120" w:type="dxa"/>
            <w:vAlign w:val="bottom"/>
          </w:tcPr>
          <w:p>
            <w:pPr>
              <w:spacing w:after="0"/>
              <w:rPr>
                <w:sz w:val="18"/>
                <w:szCs w:val="18"/>
                <w:color w:val="auto"/>
              </w:rPr>
            </w:pPr>
          </w:p>
        </w:tc>
        <w:tc>
          <w:tcPr>
            <w:tcW w:w="1360" w:type="dxa"/>
            <w:vAlign w:val="bottom"/>
          </w:tcPr>
          <w:p>
            <w:pPr>
              <w:jc w:val="right"/>
              <w:ind w:right="135"/>
              <w:spacing w:after="0"/>
              <w:rPr>
                <w:sz w:val="20"/>
                <w:szCs w:val="20"/>
                <w:color w:val="auto"/>
              </w:rPr>
            </w:pPr>
            <w:r>
              <w:rPr>
                <w:rFonts w:ascii="Arial" w:cs="Arial" w:eastAsia="Arial" w:hAnsi="Arial"/>
                <w:sz w:val="17"/>
                <w:szCs w:val="17"/>
                <w:color w:val="auto"/>
              </w:rPr>
              <w:t>333,538</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135"/>
              <w:spacing w:after="0"/>
              <w:rPr>
                <w:sz w:val="20"/>
                <w:szCs w:val="20"/>
                <w:color w:val="auto"/>
              </w:rPr>
            </w:pPr>
            <w:r>
              <w:rPr>
                <w:rFonts w:ascii="Arial" w:cs="Arial" w:eastAsia="Arial" w:hAnsi="Arial"/>
                <w:sz w:val="17"/>
                <w:szCs w:val="17"/>
                <w:color w:val="auto"/>
              </w:rPr>
              <w:t>299,930</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Noncontrolling interest—common units of the Operating Partnership’s share of funds from operations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33,787</w:t>
            </w: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29,453</w:t>
            </w:r>
          </w:p>
        </w:tc>
        <w:tc>
          <w:tcPr>
            <w:tcW w:w="0" w:type="dxa"/>
            <w:vAlign w:val="bottom"/>
          </w:tcPr>
          <w:p>
            <w:pPr>
              <w:spacing w:after="0"/>
              <w:rPr>
                <w:sz w:val="1"/>
                <w:szCs w:val="1"/>
                <w:color w:val="auto"/>
              </w:rPr>
            </w:pPr>
          </w:p>
        </w:tc>
      </w:tr>
      <w:tr>
        <w:trPr>
          <w:trHeight w:val="23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Funds from Operations attributable to Boston Properties,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299,751</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270,477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Our percentage share of Funds from Operations—basic</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1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89.87 %</w:t>
            </w: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90.18 %</w:t>
            </w:r>
          </w:p>
        </w:tc>
        <w:tc>
          <w:tcPr>
            <w:tcW w:w="0" w:type="dxa"/>
            <w:vAlign w:val="bottom"/>
          </w:tcPr>
          <w:p>
            <w:pPr>
              <w:spacing w:after="0"/>
              <w:rPr>
                <w:sz w:val="1"/>
                <w:szCs w:val="1"/>
                <w:color w:val="auto"/>
              </w:rPr>
            </w:pPr>
          </w:p>
        </w:tc>
      </w:tr>
      <w:tr>
        <w:trPr>
          <w:trHeight w:val="208"/>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outstanding—basic</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156,754</w:t>
            </w: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156,183</w:t>
            </w:r>
          </w:p>
        </w:tc>
        <w:tc>
          <w:tcPr>
            <w:tcW w:w="0" w:type="dxa"/>
            <w:vAlign w:val="bottom"/>
          </w:tcPr>
          <w:p>
            <w:pPr>
              <w:spacing w:after="0"/>
              <w:rPr>
                <w:sz w:val="1"/>
                <w:szCs w:val="1"/>
                <w:color w:val="auto"/>
              </w:rPr>
            </w:pPr>
          </w:p>
        </w:tc>
      </w:tr>
      <w:tr>
        <w:trPr>
          <w:trHeight w:val="808"/>
        </w:trPr>
        <w:tc>
          <w:tcPr>
            <w:tcW w:w="8140" w:type="dxa"/>
            <w:vAlign w:val="bottom"/>
          </w:tcPr>
          <w:p>
            <w:pPr>
              <w:ind w:left="5540"/>
              <w:spacing w:after="0"/>
              <w:rPr>
                <w:sz w:val="20"/>
                <w:szCs w:val="20"/>
                <w:color w:val="auto"/>
              </w:rPr>
            </w:pPr>
            <w:r>
              <w:rPr>
                <w:rFonts w:ascii="Arial" w:cs="Arial" w:eastAsia="Arial" w:hAnsi="Arial"/>
                <w:sz w:val="17"/>
                <w:szCs w:val="17"/>
                <w:color w:val="auto"/>
              </w:rPr>
              <w:t>92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8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Reconciliation to Diluted Funds from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5"/>
                <w:szCs w:val="15"/>
                <w:b w:val="1"/>
                <w:bCs w:val="1"/>
                <w:color w:val="auto"/>
              </w:rPr>
              <w:t>Three months ended September 30,</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5"/>
                <w:szCs w:val="15"/>
                <w:b w:val="1"/>
                <w:bCs w:val="1"/>
                <w:color w:val="auto"/>
              </w:rPr>
              <w:t>2022</w:t>
            </w:r>
          </w:p>
        </w:tc>
        <w:tc>
          <w:tcPr>
            <w:tcW w:w="13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1260"/>
              <w:spacing w:after="0"/>
              <w:rPr>
                <w:sz w:val="20"/>
                <w:szCs w:val="20"/>
                <w:color w:val="auto"/>
              </w:rPr>
            </w:pPr>
            <w:r>
              <w:rPr>
                <w:rFonts w:ascii="Arial" w:cs="Arial" w:eastAsia="Arial" w:hAnsi="Arial"/>
                <w:sz w:val="15"/>
                <w:szCs w:val="15"/>
                <w:b w:val="1"/>
                <w:bCs w:val="1"/>
                <w:color w:val="auto"/>
                <w:w w:val="95"/>
              </w:rPr>
              <w:t>2021</w:t>
            </w:r>
          </w:p>
        </w:tc>
        <w:tc>
          <w:tcPr>
            <w:tcW w:w="0" w:type="dxa"/>
            <w:vAlign w:val="bottom"/>
          </w:tcPr>
          <w:p>
            <w:pPr>
              <w:spacing w:after="0"/>
              <w:rPr>
                <w:sz w:val="1"/>
                <w:szCs w:val="1"/>
                <w:color w:val="auto"/>
              </w:rPr>
            </w:pPr>
          </w:p>
        </w:tc>
      </w:tr>
      <w:tr>
        <w:trPr>
          <w:trHeight w:val="145"/>
        </w:trPr>
        <w:tc>
          <w:tcPr>
            <w:tcW w:w="4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3"/>
          </w:tcPr>
          <w:p>
            <w:pPr>
              <w:jc w:val="center"/>
              <w:ind w:right="500"/>
              <w:spacing w:after="0" w:line="146" w:lineRule="exact"/>
              <w:rPr>
                <w:sz w:val="20"/>
                <w:szCs w:val="20"/>
                <w:color w:val="auto"/>
              </w:rPr>
            </w:pPr>
            <w:r>
              <w:rPr>
                <w:rFonts w:ascii="Arial" w:cs="Arial" w:eastAsia="Arial" w:hAnsi="Arial"/>
                <w:sz w:val="15"/>
                <w:szCs w:val="15"/>
                <w:b w:val="1"/>
                <w:bCs w:val="1"/>
                <w:color w:val="auto"/>
              </w:rPr>
              <w:t>Income</w:t>
            </w:r>
          </w:p>
        </w:tc>
        <w:tc>
          <w:tcPr>
            <w:tcW w:w="1580" w:type="dxa"/>
            <w:vAlign w:val="bottom"/>
            <w:gridSpan w:val="2"/>
          </w:tcPr>
          <w:p>
            <w:pPr>
              <w:jc w:val="center"/>
              <w:ind w:right="480"/>
              <w:spacing w:after="0" w:line="146" w:lineRule="exact"/>
              <w:rPr>
                <w:sz w:val="20"/>
                <w:szCs w:val="20"/>
                <w:color w:val="auto"/>
              </w:rPr>
            </w:pPr>
            <w:r>
              <w:rPr>
                <w:rFonts w:ascii="Arial" w:cs="Arial" w:eastAsia="Arial" w:hAnsi="Arial"/>
                <w:sz w:val="15"/>
                <w:szCs w:val="15"/>
                <w:b w:val="1"/>
                <w:bCs w:val="1"/>
                <w:color w:val="auto"/>
              </w:rPr>
              <w:t>Shares/Units</w:t>
            </w:r>
          </w:p>
        </w:tc>
        <w:tc>
          <w:tcPr>
            <w:tcW w:w="200" w:type="dxa"/>
            <w:vAlign w:val="bottom"/>
          </w:tcPr>
          <w:p>
            <w:pPr>
              <w:spacing w:after="0"/>
              <w:rPr>
                <w:sz w:val="12"/>
                <w:szCs w:val="12"/>
                <w:color w:val="auto"/>
              </w:rPr>
            </w:pPr>
          </w:p>
        </w:tc>
        <w:tc>
          <w:tcPr>
            <w:tcW w:w="1140" w:type="dxa"/>
            <w:vAlign w:val="bottom"/>
          </w:tcPr>
          <w:p>
            <w:pPr>
              <w:jc w:val="right"/>
              <w:ind w:right="278"/>
              <w:spacing w:after="0" w:line="146" w:lineRule="exact"/>
              <w:rPr>
                <w:sz w:val="20"/>
                <w:szCs w:val="20"/>
                <w:color w:val="auto"/>
              </w:rPr>
            </w:pPr>
            <w:r>
              <w:rPr>
                <w:rFonts w:ascii="Arial" w:cs="Arial" w:eastAsia="Arial" w:hAnsi="Arial"/>
                <w:sz w:val="15"/>
                <w:szCs w:val="15"/>
                <w:b w:val="1"/>
                <w:bCs w:val="1"/>
                <w:color w:val="auto"/>
              </w:rPr>
              <w:t>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right"/>
              <w:ind w:right="200"/>
              <w:spacing w:after="0" w:line="146" w:lineRule="exact"/>
              <w:rPr>
                <w:sz w:val="20"/>
                <w:szCs w:val="20"/>
                <w:color w:val="auto"/>
              </w:rPr>
            </w:pPr>
            <w:r>
              <w:rPr>
                <w:rFonts w:ascii="Arial" w:cs="Arial" w:eastAsia="Arial" w:hAnsi="Arial"/>
                <w:sz w:val="15"/>
                <w:szCs w:val="15"/>
                <w:b w:val="1"/>
                <w:bCs w:val="1"/>
                <w:color w:val="auto"/>
              </w:rPr>
              <w:t>Shares/Units</w:t>
            </w: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5"/>
                <w:szCs w:val="15"/>
                <w:b w:val="1"/>
                <w:bCs w:val="1"/>
                <w:color w:val="auto"/>
              </w:rPr>
              <w:t>(Numerator)</w:t>
            </w:r>
          </w:p>
        </w:tc>
        <w:tc>
          <w:tcPr>
            <w:tcW w:w="15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b w:val="1"/>
                <w:bCs w:val="1"/>
                <w:color w:val="auto"/>
              </w:rPr>
              <w:t>(Denominator)</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8"/>
              <w:spacing w:after="0"/>
              <w:rPr>
                <w:sz w:val="20"/>
                <w:szCs w:val="20"/>
                <w:color w:val="auto"/>
              </w:rPr>
            </w:pPr>
            <w:r>
              <w:rPr>
                <w:rFonts w:ascii="Arial" w:cs="Arial" w:eastAsia="Arial" w:hAnsi="Arial"/>
                <w:sz w:val="15"/>
                <w:szCs w:val="15"/>
                <w:b w:val="1"/>
                <w:bCs w:val="1"/>
                <w:color w:val="auto"/>
              </w:rPr>
              <w:t>(Numerator)</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40"/>
              <w:spacing w:after="0"/>
              <w:rPr>
                <w:sz w:val="20"/>
                <w:szCs w:val="20"/>
                <w:color w:val="auto"/>
              </w:rPr>
            </w:pPr>
            <w:r>
              <w:rPr>
                <w:rFonts w:ascii="Arial" w:cs="Arial" w:eastAsia="Arial" w:hAnsi="Arial"/>
                <w:sz w:val="15"/>
                <w:szCs w:val="15"/>
                <w:b w:val="1"/>
                <w:bCs w:val="1"/>
                <w:color w:val="auto"/>
              </w:rPr>
              <w:t>(Denominator)</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20" w:type="dxa"/>
            <w:vAlign w:val="bottom"/>
            <w:gridSpan w:val="4"/>
          </w:tcPr>
          <w:p>
            <w:pPr>
              <w:jc w:val="right"/>
              <w:ind w:right="858"/>
              <w:spacing w:after="0"/>
              <w:rPr>
                <w:sz w:val="20"/>
                <w:szCs w:val="20"/>
                <w:color w:val="auto"/>
              </w:rPr>
            </w:pPr>
            <w:r>
              <w:rPr>
                <w:rFonts w:ascii="Arial" w:cs="Arial" w:eastAsia="Arial" w:hAnsi="Arial"/>
                <w:sz w:val="15"/>
                <w:szCs w:val="15"/>
                <w:b w:val="1"/>
                <w:bCs w:val="1"/>
                <w:color w:val="auto"/>
              </w:rPr>
              <w:t>(in thousands)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Funds from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333,538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174,416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299,930</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173,194</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Stock based compensation</w:t>
            </w:r>
          </w:p>
        </w:tc>
        <w:tc>
          <w:tcPr>
            <w:tcW w:w="2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208"/>
        </w:trPr>
        <w:tc>
          <w:tcPr>
            <w:tcW w:w="4920" w:type="dxa"/>
            <w:vAlign w:val="bottom"/>
          </w:tcPr>
          <w:p>
            <w:pPr>
              <w:ind w:left="20"/>
              <w:spacing w:after="0"/>
              <w:rPr>
                <w:sz w:val="20"/>
                <w:szCs w:val="20"/>
                <w:color w:val="auto"/>
              </w:rPr>
            </w:pPr>
            <w:r>
              <w:rPr>
                <w:rFonts w:ascii="Arial" w:cs="Arial" w:eastAsia="Arial" w:hAnsi="Arial"/>
                <w:sz w:val="17"/>
                <w:szCs w:val="17"/>
                <w:color w:val="auto"/>
              </w:rPr>
              <w:t>Diluted Funds from Operations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333,538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174,795</w:t>
            </w:r>
          </w:p>
        </w:tc>
        <w:tc>
          <w:tcPr>
            <w:tcW w:w="2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299,930</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173,609</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0"/>
              <w:spacing w:after="0"/>
              <w:rPr>
                <w:sz w:val="20"/>
                <w:szCs w:val="20"/>
                <w:color w:val="auto"/>
              </w:rPr>
            </w:pPr>
            <w:r>
              <w:rPr>
                <w:rFonts w:ascii="Arial" w:cs="Arial" w:eastAsia="Arial" w:hAnsi="Arial"/>
                <w:sz w:val="17"/>
                <w:szCs w:val="17"/>
                <w:color w:val="auto"/>
              </w:rPr>
              <w:t>Less: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920" w:type="dxa"/>
            <w:vAlign w:val="bottom"/>
          </w:tcPr>
          <w:p>
            <w:pPr>
              <w:ind w:left="240"/>
              <w:spacing w:after="0" w:line="165" w:lineRule="exact"/>
              <w:rPr>
                <w:sz w:val="20"/>
                <w:szCs w:val="20"/>
                <w:color w:val="auto"/>
              </w:rPr>
            </w:pPr>
            <w:r>
              <w:rPr>
                <w:rFonts w:ascii="Arial" w:cs="Arial" w:eastAsia="Arial" w:hAnsi="Arial"/>
                <w:sz w:val="17"/>
                <w:szCs w:val="17"/>
                <w:color w:val="auto"/>
              </w:rPr>
              <w:t>Noncontrolling interest—common units of the Operating</w:t>
            </w: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33,687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17,662</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29,393</w:t>
            </w:r>
          </w:p>
        </w:tc>
        <w:tc>
          <w:tcPr>
            <w:tcW w:w="8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7"/>
                <w:szCs w:val="17"/>
                <w:color w:val="auto"/>
              </w:rPr>
              <w:t>17,011</w:t>
            </w:r>
          </w:p>
        </w:tc>
        <w:tc>
          <w:tcPr>
            <w:tcW w:w="0" w:type="dxa"/>
            <w:vAlign w:val="bottom"/>
          </w:tcPr>
          <w:p>
            <w:pPr>
              <w:spacing w:after="0"/>
              <w:rPr>
                <w:sz w:val="1"/>
                <w:szCs w:val="1"/>
                <w:color w:val="auto"/>
              </w:rPr>
            </w:pPr>
          </w:p>
        </w:tc>
      </w:tr>
      <w:tr>
        <w:trPr>
          <w:trHeight w:val="228"/>
        </w:trPr>
        <w:tc>
          <w:tcPr>
            <w:tcW w:w="492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Partnership’s share of diluted Funds from Operations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492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rPr>
              <w:t>Diluted Funds from Operations attributable to Boston</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299,851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157,133</w:t>
            </w:r>
          </w:p>
        </w:tc>
        <w:tc>
          <w:tcPr>
            <w:tcW w:w="2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270,537</w:t>
            </w:r>
          </w:p>
        </w:tc>
        <w:tc>
          <w:tcPr>
            <w:tcW w:w="168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156,598</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Properties, Inc. (1)</w:t>
            </w:r>
          </w:p>
        </w:tc>
        <w:tc>
          <w:tcPr>
            <w:tcW w:w="2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8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5"/>
          <w:szCs w:val="15"/>
          <w:color w:val="auto"/>
        </w:rPr>
        <w:t>(1)  BXP’s share of diluted Funds from Operations was 89.90% and 90.20% for the three months ended September 30, 2022 and 2021,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BPLP</w:t>
      </w:r>
    </w:p>
    <w:p>
      <w:pPr>
        <w:spacing w:after="0" w:line="96" w:lineRule="exact"/>
        <w:rPr>
          <w:sz w:val="20"/>
          <w:szCs w:val="20"/>
          <w:color w:val="auto"/>
        </w:rPr>
      </w:pPr>
    </w:p>
    <w:p>
      <w:pPr>
        <w:ind w:right="280" w:firstLine="419"/>
        <w:spacing w:after="0" w:line="283" w:lineRule="auto"/>
        <w:rPr>
          <w:sz w:val="20"/>
          <w:szCs w:val="20"/>
          <w:color w:val="auto"/>
        </w:rPr>
      </w:pPr>
      <w:r>
        <w:rPr>
          <w:rFonts w:ascii="Arial" w:cs="Arial" w:eastAsia="Arial" w:hAnsi="Arial"/>
          <w:sz w:val="17"/>
          <w:szCs w:val="17"/>
          <w:color w:val="auto"/>
        </w:rPr>
        <w:t>The following table presents a reconciliation of net income attributable to Boston Properties Limited Partnership to FFO attributable to Boston Properties Limited Partnership for the three months ended September 30, 2022 and 2021:</w:t>
      </w:r>
    </w:p>
    <w:p>
      <w:pPr>
        <w:spacing w:after="0" w:line="58" w:lineRule="exact"/>
        <w:rPr>
          <w:sz w:val="20"/>
          <w:szCs w:val="20"/>
          <w:color w:val="auto"/>
        </w:rPr>
      </w:pPr>
    </w:p>
    <w:p>
      <w:pPr>
        <w:jc w:val="center"/>
        <w:ind w:left="8360"/>
        <w:spacing w:after="0"/>
        <w:rPr>
          <w:sz w:val="20"/>
          <w:szCs w:val="20"/>
          <w:color w:val="auto"/>
        </w:rPr>
      </w:pPr>
      <w:r>
        <w:rPr>
          <w:rFonts w:ascii="Arial" w:cs="Arial" w:eastAsia="Arial" w:hAnsi="Arial"/>
          <w:sz w:val="17"/>
          <w:szCs w:val="17"/>
          <w:b w:val="1"/>
          <w:bCs w:val="1"/>
          <w:color w:val="auto"/>
        </w:rPr>
        <w:t>Three months ended September</w:t>
      </w:r>
    </w:p>
    <w:p>
      <w:pPr>
        <w:jc w:val="center"/>
        <w:ind w:left="8360"/>
        <w:spacing w:after="0"/>
        <w:rPr>
          <w:sz w:val="20"/>
          <w:szCs w:val="20"/>
          <w:color w:val="auto"/>
        </w:rPr>
      </w:pPr>
      <w:r>
        <w:rPr>
          <w:rFonts w:ascii="Arial" w:cs="Arial" w:eastAsia="Arial" w:hAnsi="Arial"/>
          <w:sz w:val="17"/>
          <w:szCs w:val="17"/>
          <w:b w:val="1"/>
          <w:bCs w:val="1"/>
          <w:color w:val="auto"/>
        </w:rPr>
        <w:t>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08"/>
        </w:trPr>
        <w:tc>
          <w:tcPr>
            <w:tcW w:w="8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4"/>
          </w:tcPr>
          <w:p>
            <w:pPr>
              <w:jc w:val="right"/>
              <w:ind w:right="755"/>
              <w:spacing w:after="0"/>
              <w:rPr>
                <w:sz w:val="20"/>
                <w:szCs w:val="20"/>
                <w:color w:val="auto"/>
              </w:rPr>
            </w:pPr>
            <w:r>
              <w:rPr>
                <w:rFonts w:ascii="Arial" w:cs="Arial" w:eastAsia="Arial" w:hAnsi="Arial"/>
                <w:sz w:val="17"/>
                <w:szCs w:val="17"/>
                <w:b w:val="1"/>
                <w:bCs w:val="1"/>
                <w:color w:val="auto"/>
              </w:rPr>
              <w:t>(in thousands)</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Boston Properties Limited Partnership</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403,578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122,014</w:t>
            </w:r>
          </w:p>
        </w:tc>
        <w:tc>
          <w:tcPr>
            <w:tcW w:w="0" w:type="dxa"/>
            <w:vAlign w:val="bottom"/>
          </w:tcPr>
          <w:p>
            <w:pPr>
              <w:spacing w:after="0"/>
              <w:rPr>
                <w:sz w:val="1"/>
                <w:szCs w:val="1"/>
                <w:color w:val="auto"/>
              </w:rPr>
            </w:pPr>
          </w:p>
        </w:tc>
      </w:tr>
      <w:tr>
        <w:trPr>
          <w:trHeight w:val="216"/>
        </w:trPr>
        <w:tc>
          <w:tcPr>
            <w:tcW w:w="8400" w:type="dxa"/>
            <w:vAlign w:val="bottom"/>
          </w:tcPr>
          <w:p>
            <w:pPr>
              <w:ind w:left="20"/>
              <w:spacing w:after="0"/>
              <w:rPr>
                <w:sz w:val="20"/>
                <w:szCs w:val="20"/>
                <w:color w:val="auto"/>
              </w:rPr>
            </w:pPr>
            <w:r>
              <w:rPr>
                <w:rFonts w:ascii="Arial" w:cs="Arial" w:eastAsia="Arial" w:hAnsi="Arial"/>
                <w:sz w:val="17"/>
                <w:szCs w:val="17"/>
                <w:color w:val="auto"/>
              </w:rPr>
              <w:t>Add:</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Noncontrolling interests in property partnerships</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18,801</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18,971</w:t>
            </w:r>
          </w:p>
        </w:tc>
        <w:tc>
          <w:tcPr>
            <w:tcW w:w="0" w:type="dxa"/>
            <w:vAlign w:val="bottom"/>
          </w:tcPr>
          <w:p>
            <w:pPr>
              <w:spacing w:after="0"/>
              <w:rPr>
                <w:sz w:val="1"/>
                <w:szCs w:val="1"/>
                <w:color w:val="auto"/>
              </w:rPr>
            </w:pPr>
          </w:p>
        </w:tc>
      </w:tr>
      <w:tr>
        <w:trPr>
          <w:trHeight w:val="208"/>
        </w:trPr>
        <w:tc>
          <w:tcPr>
            <w:tcW w:w="840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422,379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140,985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2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188,969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177,677</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Noncontrolling interests in property partnerships’ share of depreciation and amortization</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(17,706)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(16,773)</w:t>
            </w:r>
          </w:p>
        </w:tc>
        <w:tc>
          <w:tcPr>
            <w:tcW w:w="0" w:type="dxa"/>
            <w:vAlign w:val="bottom"/>
          </w:tcPr>
          <w:p>
            <w:pPr>
              <w:spacing w:after="0"/>
              <w:rPr>
                <w:sz w:val="1"/>
                <w:szCs w:val="1"/>
                <w:color w:val="auto"/>
              </w:rPr>
            </w:pPr>
          </w:p>
        </w:tc>
      </w:tr>
      <w:tr>
        <w:trPr>
          <w:trHeight w:val="216"/>
        </w:trPr>
        <w:tc>
          <w:tcPr>
            <w:tcW w:w="8400" w:type="dxa"/>
            <w:vAlign w:val="bottom"/>
          </w:tcPr>
          <w:p>
            <w:pPr>
              <w:ind w:left="320"/>
              <w:spacing w:after="0"/>
              <w:rPr>
                <w:sz w:val="20"/>
                <w:szCs w:val="20"/>
                <w:color w:val="auto"/>
              </w:rPr>
            </w:pPr>
            <w:r>
              <w:rPr>
                <w:rFonts w:ascii="Arial" w:cs="Arial" w:eastAsia="Arial" w:hAnsi="Arial"/>
                <w:sz w:val="17"/>
                <w:szCs w:val="17"/>
                <w:color w:val="auto"/>
              </w:rPr>
              <w:t>BXP’s share of depreciation and amortization from unconsolidated joint ventures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21,485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17,803</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Corporate-related depreciation and amortization</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16"/>
        </w:trPr>
        <w:tc>
          <w:tcPr>
            <w:tcW w:w="8400" w:type="dxa"/>
            <w:vAlign w:val="bottom"/>
          </w:tcPr>
          <w:p>
            <w:pPr>
              <w:ind w:left="20"/>
              <w:spacing w:after="0"/>
              <w:rPr>
                <w:sz w:val="20"/>
                <w:szCs w:val="20"/>
                <w:color w:val="auto"/>
              </w:rPr>
            </w:pPr>
            <w:r>
              <w:rPr>
                <w:rFonts w:ascii="Arial" w:cs="Arial" w:eastAsia="Arial" w:hAnsi="Arial"/>
                <w:sz w:val="17"/>
                <w:szCs w:val="17"/>
                <w:color w:val="auto"/>
              </w:rPr>
              <w:t>Less: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Gains on sales of real estate</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262,357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16"/>
        </w:trPr>
        <w:tc>
          <w:tcPr>
            <w:tcW w:w="84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Noncontrolling interests in property partnerships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18,801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18,971</w:t>
            </w:r>
          </w:p>
        </w:tc>
        <w:tc>
          <w:tcPr>
            <w:tcW w:w="0" w:type="dxa"/>
            <w:vAlign w:val="bottom"/>
          </w:tcPr>
          <w:p>
            <w:pPr>
              <w:spacing w:after="0"/>
              <w:rPr>
                <w:sz w:val="1"/>
                <w:szCs w:val="1"/>
                <w:color w:val="auto"/>
              </w:rPr>
            </w:pPr>
          </w:p>
        </w:tc>
      </w:tr>
      <w:tr>
        <w:trPr>
          <w:trHeight w:val="23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Funds from Operations attributable to Boston Properties Limited Partnership (1)</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333,538</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299,930</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 average shares outstanding—basic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174,416</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173,194</w:t>
            </w:r>
          </w:p>
        </w:tc>
        <w:tc>
          <w:tcPr>
            <w:tcW w:w="0" w:type="dxa"/>
            <w:vAlign w:val="bottom"/>
          </w:tcPr>
          <w:p>
            <w:pPr>
              <w:spacing w:after="0"/>
              <w:rPr>
                <w:sz w:val="1"/>
                <w:szCs w:val="1"/>
                <w:color w:val="auto"/>
              </w:rPr>
            </w:pPr>
          </w:p>
        </w:tc>
      </w:tr>
      <w:tr>
        <w:trPr>
          <w:trHeight w:val="274"/>
        </w:trPr>
        <w:tc>
          <w:tcPr>
            <w:tcW w:w="8400" w:type="dxa"/>
            <w:vAlign w:val="bottom"/>
          </w:tcPr>
          <w:p>
            <w:pPr>
              <w:ind w:left="40"/>
              <w:spacing w:after="0"/>
              <w:rPr>
                <w:sz w:val="20"/>
                <w:szCs w:val="20"/>
                <w:color w:val="auto"/>
              </w:rPr>
            </w:pPr>
            <w:r>
              <w:rPr>
                <w:rFonts w:ascii="Arial" w:cs="Arial" w:eastAsia="Arial" w:hAnsi="Arial"/>
                <w:sz w:val="17"/>
                <w:szCs w:val="17"/>
                <w:color w:val="auto"/>
              </w:rPr>
              <w:t>_______________</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540" w:hanging="310"/>
        <w:spacing w:after="0"/>
        <w:tabs>
          <w:tab w:leader="none" w:pos="5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Our calculation includes OP Units and vested LTIP Units (including vested 2012 OPP Units and vested 2013 - 2019 MYLTIP Units).</w:t>
      </w:r>
    </w:p>
    <w:p>
      <w:pPr>
        <w:spacing w:after="0" w:line="200" w:lineRule="exact"/>
        <w:rPr>
          <w:rFonts w:ascii="Arial" w:cs="Arial" w:eastAsia="Arial" w:hAnsi="Arial"/>
          <w:sz w:val="15"/>
          <w:szCs w:val="15"/>
          <w:color w:val="auto"/>
        </w:rPr>
      </w:pPr>
    </w:p>
    <w:p>
      <w:pPr>
        <w:spacing w:after="0" w:line="319"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Reconciliation to Diluted Funds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Basic Funds from Operations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 of Dilutive Securities:</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Stock based compensation</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Diluted Funds from Operations</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Cash Commitments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80"/>
        <w:spacing w:after="0"/>
        <w:rPr>
          <w:sz w:val="20"/>
          <w:szCs w:val="20"/>
          <w:color w:val="auto"/>
        </w:rPr>
      </w:pPr>
      <w:r>
        <w:rPr>
          <w:rFonts w:ascii="Arial" w:cs="Arial" w:eastAsia="Arial" w:hAnsi="Arial"/>
          <w:sz w:val="15"/>
          <w:szCs w:val="15"/>
          <w:b w:val="1"/>
          <w:bCs w:val="1"/>
          <w:color w:val="auto"/>
        </w:rPr>
        <w:t>Three months ended September 30,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5"/>
                <w:szCs w:val="15"/>
                <w:b w:val="1"/>
                <w:bCs w:val="1"/>
                <w:color w:val="auto"/>
              </w:rPr>
              <w:t>2022</w:t>
            </w:r>
          </w:p>
        </w:tc>
        <w:tc>
          <w:tcPr>
            <w:tcW w:w="13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gridSpan w:val="3"/>
          </w:tcPr>
          <w:p>
            <w:pPr>
              <w:jc w:val="right"/>
              <w:ind w:right="1261"/>
              <w:spacing w:after="0"/>
              <w:rPr>
                <w:sz w:val="20"/>
                <w:szCs w:val="20"/>
                <w:color w:val="auto"/>
              </w:rPr>
            </w:pPr>
            <w:r>
              <w:rPr>
                <w:rFonts w:ascii="Arial" w:cs="Arial" w:eastAsia="Arial" w:hAnsi="Arial"/>
                <w:sz w:val="15"/>
                <w:szCs w:val="15"/>
                <w:b w:val="1"/>
                <w:bCs w:val="1"/>
                <w:color w:val="auto"/>
                <w:w w:val="95"/>
              </w:rPr>
              <w:t>2021</w:t>
            </w:r>
          </w:p>
        </w:tc>
      </w:tr>
      <w:tr>
        <w:trPr>
          <w:trHeight w:val="145"/>
        </w:trPr>
        <w:tc>
          <w:tcPr>
            <w:tcW w:w="200" w:type="dxa"/>
            <w:vAlign w:val="bottom"/>
          </w:tcPr>
          <w:p>
            <w:pPr>
              <w:spacing w:after="0"/>
              <w:rPr>
                <w:sz w:val="12"/>
                <w:szCs w:val="12"/>
                <w:color w:val="auto"/>
              </w:rPr>
            </w:pPr>
          </w:p>
        </w:tc>
        <w:tc>
          <w:tcPr>
            <w:tcW w:w="1520" w:type="dxa"/>
            <w:vAlign w:val="bottom"/>
            <w:gridSpan w:val="3"/>
          </w:tcPr>
          <w:p>
            <w:pPr>
              <w:jc w:val="center"/>
              <w:ind w:right="500"/>
              <w:spacing w:after="0" w:line="146" w:lineRule="exact"/>
              <w:rPr>
                <w:sz w:val="20"/>
                <w:szCs w:val="20"/>
                <w:color w:val="auto"/>
              </w:rPr>
            </w:pPr>
            <w:r>
              <w:rPr>
                <w:rFonts w:ascii="Arial" w:cs="Arial" w:eastAsia="Arial" w:hAnsi="Arial"/>
                <w:sz w:val="15"/>
                <w:szCs w:val="15"/>
                <w:b w:val="1"/>
                <w:bCs w:val="1"/>
                <w:color w:val="auto"/>
              </w:rPr>
              <w:t>Income</w:t>
            </w:r>
          </w:p>
        </w:tc>
        <w:tc>
          <w:tcPr>
            <w:tcW w:w="1580" w:type="dxa"/>
            <w:vAlign w:val="bottom"/>
            <w:gridSpan w:val="2"/>
          </w:tcPr>
          <w:p>
            <w:pPr>
              <w:jc w:val="center"/>
              <w:ind w:right="480"/>
              <w:spacing w:after="0" w:line="146" w:lineRule="exact"/>
              <w:rPr>
                <w:sz w:val="20"/>
                <w:szCs w:val="20"/>
                <w:color w:val="auto"/>
              </w:rPr>
            </w:pPr>
            <w:r>
              <w:rPr>
                <w:rFonts w:ascii="Arial" w:cs="Arial" w:eastAsia="Arial" w:hAnsi="Arial"/>
                <w:sz w:val="15"/>
                <w:szCs w:val="15"/>
                <w:b w:val="1"/>
                <w:bCs w:val="1"/>
                <w:color w:val="auto"/>
              </w:rPr>
              <w:t>Shares/Units</w:t>
            </w:r>
          </w:p>
        </w:tc>
        <w:tc>
          <w:tcPr>
            <w:tcW w:w="200" w:type="dxa"/>
            <w:vAlign w:val="bottom"/>
          </w:tcPr>
          <w:p>
            <w:pPr>
              <w:spacing w:after="0"/>
              <w:rPr>
                <w:sz w:val="12"/>
                <w:szCs w:val="12"/>
                <w:color w:val="auto"/>
              </w:rPr>
            </w:pPr>
          </w:p>
        </w:tc>
        <w:tc>
          <w:tcPr>
            <w:tcW w:w="1140" w:type="dxa"/>
            <w:vAlign w:val="bottom"/>
          </w:tcPr>
          <w:p>
            <w:pPr>
              <w:jc w:val="right"/>
              <w:ind w:right="279"/>
              <w:spacing w:after="0" w:line="146" w:lineRule="exact"/>
              <w:rPr>
                <w:sz w:val="20"/>
                <w:szCs w:val="20"/>
                <w:color w:val="auto"/>
              </w:rPr>
            </w:pPr>
            <w:r>
              <w:rPr>
                <w:rFonts w:ascii="Arial" w:cs="Arial" w:eastAsia="Arial" w:hAnsi="Arial"/>
                <w:sz w:val="15"/>
                <w:szCs w:val="15"/>
                <w:b w:val="1"/>
                <w:bCs w:val="1"/>
                <w:color w:val="auto"/>
              </w:rPr>
              <w:t>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right"/>
              <w:ind w:right="201"/>
              <w:spacing w:after="0" w:line="146" w:lineRule="exact"/>
              <w:rPr>
                <w:sz w:val="20"/>
                <w:szCs w:val="20"/>
                <w:color w:val="auto"/>
              </w:rPr>
            </w:pPr>
            <w:r>
              <w:rPr>
                <w:rFonts w:ascii="Arial" w:cs="Arial" w:eastAsia="Arial" w:hAnsi="Arial"/>
                <w:sz w:val="15"/>
                <w:szCs w:val="15"/>
                <w:b w:val="1"/>
                <w:bCs w:val="1"/>
                <w:color w:val="auto"/>
              </w:rPr>
              <w:t>Shares/Units</w:t>
            </w:r>
          </w:p>
        </w:tc>
      </w:tr>
      <w:tr>
        <w:trPr>
          <w:trHeight w:val="203"/>
        </w:trPr>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5"/>
                <w:szCs w:val="15"/>
                <w:b w:val="1"/>
                <w:bCs w:val="1"/>
                <w:color w:val="auto"/>
              </w:rPr>
              <w:t>(Numerator)</w:t>
            </w:r>
          </w:p>
        </w:tc>
        <w:tc>
          <w:tcPr>
            <w:tcW w:w="15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b w:val="1"/>
                <w:bCs w:val="1"/>
                <w:color w:val="auto"/>
              </w:rPr>
              <w:t>(Denominator)</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5"/>
                <w:szCs w:val="15"/>
                <w:b w:val="1"/>
                <w:bCs w:val="1"/>
                <w:color w:val="auto"/>
              </w:rPr>
              <w:t>(Numerator)</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41"/>
              <w:spacing w:after="0"/>
              <w:rPr>
                <w:sz w:val="20"/>
                <w:szCs w:val="20"/>
                <w:color w:val="auto"/>
              </w:rPr>
            </w:pPr>
            <w:r>
              <w:rPr>
                <w:rFonts w:ascii="Arial" w:cs="Arial" w:eastAsia="Arial" w:hAnsi="Arial"/>
                <w:sz w:val="15"/>
                <w:szCs w:val="15"/>
                <w:b w:val="1"/>
                <w:bCs w:val="1"/>
                <w:color w:val="auto"/>
              </w:rPr>
              <w:t>(Denominator)</w:t>
            </w:r>
          </w:p>
        </w:tc>
      </w:tr>
      <w:tr>
        <w:trPr>
          <w:trHeight w:val="192"/>
        </w:trPr>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4"/>
          </w:tcPr>
          <w:p>
            <w:pPr>
              <w:jc w:val="right"/>
              <w:ind w:right="859"/>
              <w:spacing w:after="0"/>
              <w:rPr>
                <w:sz w:val="20"/>
                <w:szCs w:val="20"/>
                <w:color w:val="auto"/>
              </w:rPr>
            </w:pPr>
            <w:r>
              <w:rPr>
                <w:rFonts w:ascii="Arial" w:cs="Arial" w:eastAsia="Arial" w:hAnsi="Arial"/>
                <w:sz w:val="15"/>
                <w:szCs w:val="15"/>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23"/>
        </w:trPr>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333,538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174,416</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299,930</w:t>
            </w:r>
          </w:p>
        </w:tc>
        <w:tc>
          <w:tcPr>
            <w:tcW w:w="1680" w:type="dxa"/>
            <w:vAlign w:val="bottom"/>
            <w:gridSpan w:val="3"/>
          </w:tcPr>
          <w:p>
            <w:pPr>
              <w:jc w:val="right"/>
              <w:spacing w:after="0"/>
              <w:rPr>
                <w:sz w:val="20"/>
                <w:szCs w:val="20"/>
                <w:color w:val="auto"/>
              </w:rPr>
            </w:pPr>
            <w:r>
              <w:rPr>
                <w:rFonts w:ascii="Arial" w:cs="Arial" w:eastAsia="Arial" w:hAnsi="Arial"/>
                <w:sz w:val="17"/>
                <w:szCs w:val="17"/>
                <w:color w:val="auto"/>
              </w:rPr>
              <w:t>173,194</w:t>
            </w:r>
          </w:p>
        </w:tc>
      </w:tr>
      <w:tr>
        <w:trPr>
          <w:trHeight w:val="428"/>
        </w:trPr>
        <w:tc>
          <w:tcPr>
            <w:tcW w:w="200" w:type="dxa"/>
            <w:vAlign w:val="bottom"/>
          </w:tcPr>
          <w:p>
            <w:pPr>
              <w:spacing w:after="0"/>
              <w:rPr>
                <w:sz w:val="24"/>
                <w:szCs w:val="24"/>
                <w:color w:val="auto"/>
              </w:rPr>
            </w:pPr>
          </w:p>
        </w:tc>
        <w:tc>
          <w:tcPr>
            <w:tcW w:w="152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379</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3"/>
          </w:tcPr>
          <w:p>
            <w:pPr>
              <w:jc w:val="right"/>
              <w:spacing w:after="0"/>
              <w:rPr>
                <w:sz w:val="20"/>
                <w:szCs w:val="20"/>
                <w:color w:val="auto"/>
              </w:rPr>
            </w:pPr>
            <w:r>
              <w:rPr>
                <w:rFonts w:ascii="Arial" w:cs="Arial" w:eastAsia="Arial" w:hAnsi="Arial"/>
                <w:sz w:val="17"/>
                <w:szCs w:val="17"/>
                <w:color w:val="auto"/>
              </w:rPr>
              <w:t>415</w:t>
            </w:r>
          </w:p>
        </w:tc>
      </w:tr>
      <w:tr>
        <w:trPr>
          <w:trHeight w:val="208"/>
        </w:trPr>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333,538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174,795</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299,930</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173,609</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-3122295</wp:posOffset>
            </wp:positionH>
            <wp:positionV relativeFrom="paragraph">
              <wp:posOffset>-588010</wp:posOffset>
            </wp:positionV>
            <wp:extent cx="714057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0575" cy="137160"/>
                    </a:xfrm>
                    <a:prstGeom prst="rect">
                      <a:avLst/>
                    </a:prstGeom>
                    <a:noFill/>
                  </pic:spPr>
                </pic:pic>
              </a:graphicData>
            </a:graphic>
          </wp:anchor>
        </w:drawing>
        <w:drawing>
          <wp:anchor simplePos="0" relativeHeight="251657728" behindDoc="1" locked="0" layoutInCell="0" allowOverlap="1">
            <wp:simplePos x="0" y="0"/>
            <wp:positionH relativeFrom="column">
              <wp:posOffset>-3122295</wp:posOffset>
            </wp:positionH>
            <wp:positionV relativeFrom="paragraph">
              <wp:posOffset>-313690</wp:posOffset>
            </wp:positionV>
            <wp:extent cx="7140575"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0575" cy="137160"/>
                    </a:xfrm>
                    <a:prstGeom prst="rect">
                      <a:avLst/>
                    </a:prstGeom>
                    <a:noFill/>
                  </pic:spPr>
                </pic:pic>
              </a:graphicData>
            </a:graphic>
          </wp:anchor>
        </w:drawing>
      </w:r>
    </w:p>
    <w:p>
      <w:pPr>
        <w:spacing w:after="0" w:line="592" w:lineRule="exact"/>
        <w:rPr>
          <w:sz w:val="20"/>
          <w:szCs w:val="20"/>
          <w:color w:val="auto"/>
        </w:rPr>
      </w:pPr>
    </w:p>
    <w:p>
      <w:pPr>
        <w:sectPr>
          <w:pgSz w:w="11900" w:h="16838" w:orient="portrait"/>
          <w:cols w:equalWidth="0" w:num="2">
            <w:col w:w="4200" w:space="720"/>
            <w:col w:w="6320"/>
          </w:cols>
          <w:pgMar w:left="320" w:top="275" w:right="339" w:bottom="1440" w:gutter="0" w:footer="0" w:header="0"/>
        </w:sectPr>
      </w:pPr>
    </w:p>
    <w:p>
      <w:pPr>
        <w:jc w:val="both"/>
        <w:ind w:right="160" w:firstLine="419"/>
        <w:spacing w:after="0" w:line="266" w:lineRule="auto"/>
        <w:rPr>
          <w:sz w:val="20"/>
          <w:szCs w:val="20"/>
          <w:color w:val="auto"/>
        </w:rPr>
      </w:pPr>
      <w:r>
        <w:rPr>
          <w:rFonts w:ascii="Arial" w:cs="Arial" w:eastAsia="Arial" w:hAnsi="Arial"/>
          <w:sz w:val="17"/>
          <w:szCs w:val="17"/>
          <w:color w:val="auto"/>
        </w:rPr>
        <w:t>We have various service contracts with vendors related to our property management. In addition, we have certain other contracts we enter into in the ordinary course of business that may extend beyond one year. These contracts include terms that provide for cancellation with insignificant or no cancellation penalties. Contract terms are generally between three and five years.</w:t>
      </w:r>
    </w:p>
    <w:p>
      <w:pPr>
        <w:spacing w:after="0" w:line="112" w:lineRule="exact"/>
        <w:rPr>
          <w:sz w:val="20"/>
          <w:szCs w:val="20"/>
          <w:color w:val="auto"/>
        </w:rPr>
      </w:pPr>
    </w:p>
    <w:p>
      <w:pPr>
        <w:ind w:right="420" w:firstLine="419"/>
        <w:spacing w:after="0" w:line="283" w:lineRule="auto"/>
        <w:rPr>
          <w:sz w:val="20"/>
          <w:szCs w:val="20"/>
          <w:color w:val="auto"/>
        </w:rPr>
      </w:pPr>
      <w:r>
        <w:rPr>
          <w:rFonts w:ascii="Arial" w:cs="Arial" w:eastAsia="Arial" w:hAnsi="Arial"/>
          <w:sz w:val="17"/>
          <w:szCs w:val="17"/>
          <w:color w:val="auto"/>
        </w:rPr>
        <w:t>During the three months ended September 30, 2022, we paid approximately $60.1 million to fund client-related obligations, including tenant improvements and leasing commissions.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addition, during the three months ended September 30, 2022, we and our unconsolidated joint venture partners incurred approximately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$100.3 million of new client-related obligations associated with approximately 1.0 million square feet of second generation leases, or approximately</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$99 per square foot. We signed approximately 429,900 square feet of first generation leases. The client-related obligations for the development</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properties are included within the projects’ “Estimated Total Investment” referred to in </w:t>
      </w:r>
      <w:r>
        <w:rPr>
          <w:rFonts w:ascii="Arial" w:cs="Arial" w:eastAsia="Arial" w:hAnsi="Arial"/>
          <w:sz w:val="17"/>
          <w:szCs w:val="17"/>
          <w:i w:val="1"/>
          <w:iCs w:val="1"/>
          <w:color w:val="auto"/>
        </w:rPr>
        <w:t>“Item 2—Management’s Discussion and Analysis of Financial</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Condition and Results of Operations—Liquidity and Capital Resources.” </w:t>
      </w:r>
      <w:r>
        <w:rPr>
          <w:rFonts w:ascii="Arial" w:cs="Arial" w:eastAsia="Arial" w:hAnsi="Arial"/>
          <w:sz w:val="17"/>
          <w:szCs w:val="17"/>
          <w:color w:val="auto"/>
        </w:rPr>
        <w:t>In aggregate during the third quarter of 2022, we signed leases for</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approximately 1.4 million square feet of space and incurred aggregate client-related obligations of approximately $198.9 million, or approximately</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$137 per square foot.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r>
        <w:rPr>
          <w:rFonts w:ascii="Arial" w:cs="Arial" w:eastAsia="Arial" w:hAnsi="Arial"/>
          <w:sz w:val="17"/>
          <w:szCs w:val="17"/>
          <w:b w:val="1"/>
          <w:bCs w:val="1"/>
          <w:i w:val="1"/>
          <w:iCs w:val="1"/>
          <w:color w:val="auto"/>
        </w:rPr>
        <w:t>Quantitative and Qualitative Disclosures about Market Risk.</w:t>
      </w:r>
    </w:p>
    <w:p>
      <w:pPr>
        <w:spacing w:after="0" w:line="84" w:lineRule="exact"/>
        <w:rPr>
          <w:sz w:val="20"/>
          <w:szCs w:val="20"/>
          <w:color w:val="auto"/>
        </w:rPr>
      </w:pPr>
    </w:p>
    <w:p>
      <w:pPr>
        <w:ind w:right="260" w:firstLine="419"/>
        <w:spacing w:after="0" w:line="257" w:lineRule="auto"/>
        <w:rPr>
          <w:sz w:val="20"/>
          <w:szCs w:val="20"/>
          <w:color w:val="auto"/>
        </w:rPr>
      </w:pPr>
      <w:r>
        <w:rPr>
          <w:rFonts w:ascii="Arial" w:cs="Arial" w:eastAsia="Arial" w:hAnsi="Arial"/>
          <w:sz w:val="17"/>
          <w:szCs w:val="17"/>
          <w:color w:val="auto"/>
        </w:rPr>
        <w:t>The following table presents the aggregate carrying value of our mortgage notes payable, net, unsecured senior notes, net, unsecured line of credit, unsecured term loan, net and our corresponding estimate of fair value as of September 30, 2022. As of September 30, 2022, approximately $12.8 billion of these borrowings bore interest at fixed rates and therefore the fair value of these instruments is affected by changes in the market interest rates. As of September 30, 2022, the weighted-average interest rate on our variable rate debt was 3.40% per annum. The following table presents our aggregate debt obligations with corresponding weighted-average GAAP interest rates sorted by maturity date.</w:t>
      </w:r>
    </w:p>
    <w:p>
      <w:pPr>
        <w:spacing w:after="0" w:line="121" w:lineRule="exact"/>
        <w:rPr>
          <w:sz w:val="20"/>
          <w:szCs w:val="20"/>
          <w:color w:val="auto"/>
        </w:rPr>
      </w:pPr>
    </w:p>
    <w:p>
      <w:pPr>
        <w:ind w:right="120" w:firstLine="419"/>
        <w:spacing w:after="0" w:line="266" w:lineRule="auto"/>
        <w:rPr>
          <w:sz w:val="20"/>
          <w:szCs w:val="20"/>
          <w:color w:val="auto"/>
        </w:rPr>
      </w:pPr>
      <w:r>
        <w:rPr>
          <w:rFonts w:ascii="Arial" w:cs="Arial" w:eastAsia="Arial" w:hAnsi="Arial"/>
          <w:sz w:val="17"/>
          <w:szCs w:val="17"/>
          <w:color w:val="auto"/>
        </w:rPr>
        <w:t>The table below does not include our unconsolidated joint venture debt. For a discussion concerning our unconsolidated joint venture debt, see Note 5 to the Consolidated Financial Statements and “</w:t>
      </w:r>
      <w:r>
        <w:rPr>
          <w:rFonts w:ascii="Arial" w:cs="Arial" w:eastAsia="Arial" w:hAnsi="Arial"/>
          <w:sz w:val="17"/>
          <w:szCs w:val="17"/>
          <w:i w:val="1"/>
          <w:iCs w:val="1"/>
          <w:color w:val="auto"/>
        </w:rPr>
        <w:t>Item 2</w:t>
      </w:r>
      <w:r>
        <w:rPr>
          <w:rFonts w:ascii="Arial" w:cs="Arial" w:eastAsia="Arial" w:hAnsi="Arial"/>
          <w:sz w:val="17"/>
          <w:szCs w:val="17"/>
          <w:color w:val="auto"/>
        </w:rPr>
        <w:t>—</w:t>
      </w:r>
      <w:r>
        <w:rPr>
          <w:rFonts w:ascii="Arial" w:cs="Arial" w:eastAsia="Arial" w:hAnsi="Arial"/>
          <w:sz w:val="17"/>
          <w:szCs w:val="17"/>
          <w:i w:val="1"/>
          <w:iCs w:val="1"/>
          <w:color w:val="auto"/>
        </w:rPr>
        <w:t>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w:t>
      </w:r>
      <w:r>
        <w:rPr>
          <w:rFonts w:ascii="Arial" w:cs="Arial" w:eastAsia="Arial" w:hAnsi="Arial"/>
          <w:sz w:val="17"/>
          <w:szCs w:val="17"/>
          <w:color w:val="auto"/>
        </w:rPr>
        <w:t>—</w:t>
      </w:r>
      <w:r>
        <w:rPr>
          <w:rFonts w:ascii="Arial" w:cs="Arial" w:eastAsia="Arial" w:hAnsi="Arial"/>
          <w:sz w:val="17"/>
          <w:szCs w:val="17"/>
          <w:i w:val="1"/>
          <w:iCs w:val="1"/>
          <w:color w:val="auto"/>
        </w:rPr>
        <w:t>Liquidity and Capital Resources—Investment in Unconsolidated Joint Ventures - Secured Debt.</w:t>
      </w:r>
      <w:r>
        <w:rPr>
          <w:rFonts w:ascii="Arial" w:cs="Arial" w:eastAsia="Arial" w:hAnsi="Arial"/>
          <w:sz w:val="17"/>
          <w:szCs w:val="17"/>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20" w:type="dxa"/>
            <w:vAlign w:val="bottom"/>
            <w:gridSpan w:val="5"/>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(dollars in thousands)</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2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5"/>
              </w:rPr>
              <w:t>Mortgage debt, net</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(1,208)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(4,840)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(4,840)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(4,840)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(4,840)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3,291,725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3,271,157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2,788,779</w:t>
            </w:r>
          </w:p>
        </w:tc>
        <w:tc>
          <w:tcPr>
            <w:tcW w:w="0" w:type="dxa"/>
            <w:vAlign w:val="bottom"/>
          </w:tcPr>
          <w:p>
            <w:pPr>
              <w:spacing w:after="0"/>
              <w:rPr>
                <w:sz w:val="1"/>
                <w:szCs w:val="1"/>
                <w:color w:val="auto"/>
              </w:rPr>
            </w:pPr>
          </w:p>
        </w:tc>
      </w:tr>
      <w:tr>
        <w:trPr>
          <w:trHeight w:val="145"/>
        </w:trPr>
        <w:tc>
          <w:tcPr>
            <w:tcW w:w="1280" w:type="dxa"/>
            <w:vAlign w:val="bottom"/>
          </w:tcPr>
          <w:p>
            <w:pPr>
              <w:ind w:left="20"/>
              <w:spacing w:after="0" w:line="145" w:lineRule="exact"/>
              <w:rPr>
                <w:sz w:val="20"/>
                <w:szCs w:val="20"/>
                <w:color w:val="auto"/>
              </w:rPr>
            </w:pPr>
            <w:r>
              <w:rPr>
                <w:rFonts w:ascii="Arial" w:cs="Arial" w:eastAsia="Arial" w:hAnsi="Arial"/>
                <w:sz w:val="14"/>
                <w:szCs w:val="14"/>
                <w:color w:val="auto"/>
              </w:rPr>
              <w:t>GAAP Average</w:t>
            </w:r>
          </w:p>
        </w:tc>
        <w:tc>
          <w:tcPr>
            <w:tcW w:w="240" w:type="dxa"/>
            <w:vAlign w:val="bottom"/>
          </w:tcPr>
          <w:p>
            <w:pPr>
              <w:spacing w:after="0"/>
              <w:rPr>
                <w:sz w:val="12"/>
                <w:szCs w:val="12"/>
                <w:color w:val="auto"/>
              </w:rPr>
            </w:pPr>
          </w:p>
        </w:tc>
        <w:tc>
          <w:tcPr>
            <w:tcW w:w="960" w:type="dxa"/>
            <w:vAlign w:val="bottom"/>
            <w:gridSpan w:val="2"/>
            <w:vMerge w:val="restart"/>
          </w:tcPr>
          <w:p>
            <w:pPr>
              <w:ind w:left="54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2"/>
                <w:szCs w:val="12"/>
                <w:color w:val="auto"/>
              </w:rPr>
            </w:pPr>
          </w:p>
        </w:tc>
        <w:tc>
          <w:tcPr>
            <w:tcW w:w="1020" w:type="dxa"/>
            <w:vAlign w:val="bottom"/>
            <w:gridSpan w:val="2"/>
            <w:vMerge w:val="restart"/>
          </w:tcPr>
          <w:p>
            <w:pPr>
              <w:ind w:left="600"/>
              <w:spacing w:after="0"/>
              <w:rPr>
                <w:sz w:val="20"/>
                <w:szCs w:val="20"/>
                <w:color w:val="auto"/>
              </w:rPr>
            </w:pPr>
            <w:r>
              <w:rPr>
                <w:rFonts w:ascii="Arial" w:cs="Arial" w:eastAsia="Arial" w:hAnsi="Arial"/>
                <w:sz w:val="14"/>
                <w:szCs w:val="14"/>
                <w:color w:val="auto"/>
              </w:rPr>
              <w:t>— %</w:t>
            </w:r>
          </w:p>
        </w:tc>
        <w:tc>
          <w:tcPr>
            <w:tcW w:w="260" w:type="dxa"/>
            <w:vAlign w:val="bottom"/>
          </w:tcPr>
          <w:p>
            <w:pPr>
              <w:spacing w:after="0"/>
              <w:rPr>
                <w:sz w:val="12"/>
                <w:szCs w:val="12"/>
                <w:color w:val="auto"/>
              </w:rPr>
            </w:pPr>
          </w:p>
        </w:tc>
        <w:tc>
          <w:tcPr>
            <w:tcW w:w="980" w:type="dxa"/>
            <w:vAlign w:val="bottom"/>
            <w:gridSpan w:val="2"/>
            <w:vMerge w:val="restart"/>
          </w:tcPr>
          <w:p>
            <w:pPr>
              <w:ind w:left="56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2"/>
                <w:szCs w:val="12"/>
                <w:color w:val="auto"/>
              </w:rPr>
            </w:pPr>
          </w:p>
        </w:tc>
        <w:tc>
          <w:tcPr>
            <w:tcW w:w="960" w:type="dxa"/>
            <w:vAlign w:val="bottom"/>
            <w:gridSpan w:val="2"/>
            <w:vMerge w:val="restart"/>
          </w:tcPr>
          <w:p>
            <w:pPr>
              <w:ind w:left="56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2"/>
                <w:szCs w:val="12"/>
                <w:color w:val="auto"/>
              </w:rPr>
            </w:pPr>
          </w:p>
        </w:tc>
        <w:tc>
          <w:tcPr>
            <w:tcW w:w="1020" w:type="dxa"/>
            <w:vAlign w:val="bottom"/>
            <w:gridSpan w:val="2"/>
            <w:vMerge w:val="restart"/>
          </w:tcPr>
          <w:p>
            <w:pPr>
              <w:ind w:left="62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3.42 %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3.42 %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8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Rate</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6"/>
              </w:rPr>
              <w:t>Unsecured debt, net</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(2,690)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489,402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690,581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841,850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1,993,259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5,479,312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9,491,714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8,261,816</w:t>
            </w:r>
          </w:p>
        </w:tc>
        <w:tc>
          <w:tcPr>
            <w:tcW w:w="0" w:type="dxa"/>
            <w:vAlign w:val="bottom"/>
          </w:tcPr>
          <w:p>
            <w:pPr>
              <w:spacing w:after="0"/>
              <w:rPr>
                <w:sz w:val="1"/>
                <w:szCs w:val="1"/>
                <w:color w:val="auto"/>
              </w:rPr>
            </w:pPr>
          </w:p>
        </w:tc>
      </w:tr>
      <w:tr>
        <w:trPr>
          <w:trHeight w:val="145"/>
        </w:trPr>
        <w:tc>
          <w:tcPr>
            <w:tcW w:w="1280" w:type="dxa"/>
            <w:vAlign w:val="bottom"/>
          </w:tcPr>
          <w:p>
            <w:pPr>
              <w:ind w:left="20"/>
              <w:spacing w:after="0" w:line="145" w:lineRule="exact"/>
              <w:rPr>
                <w:sz w:val="20"/>
                <w:szCs w:val="20"/>
                <w:color w:val="auto"/>
              </w:rPr>
            </w:pPr>
            <w:r>
              <w:rPr>
                <w:rFonts w:ascii="Arial" w:cs="Arial" w:eastAsia="Arial" w:hAnsi="Arial"/>
                <w:sz w:val="14"/>
                <w:szCs w:val="14"/>
                <w:color w:val="auto"/>
              </w:rPr>
              <w:t>GAAP Average</w:t>
            </w:r>
          </w:p>
        </w:tc>
        <w:tc>
          <w:tcPr>
            <w:tcW w:w="240" w:type="dxa"/>
            <w:vAlign w:val="bottom"/>
          </w:tcPr>
          <w:p>
            <w:pPr>
              <w:spacing w:after="0"/>
              <w:rPr>
                <w:sz w:val="12"/>
                <w:szCs w:val="12"/>
                <w:color w:val="auto"/>
              </w:rPr>
            </w:pPr>
          </w:p>
        </w:tc>
        <w:tc>
          <w:tcPr>
            <w:tcW w:w="960" w:type="dxa"/>
            <w:vAlign w:val="bottom"/>
            <w:gridSpan w:val="2"/>
            <w:vMerge w:val="restart"/>
          </w:tcPr>
          <w:p>
            <w:pPr>
              <w:ind w:left="54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3.28 %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3.92 %</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3.35 %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3.63 %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3.33 %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3.43 %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8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Rate</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730,000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340,000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1,070,000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1,068,247</w:t>
            </w:r>
          </w:p>
        </w:tc>
        <w:tc>
          <w:tcPr>
            <w:tcW w:w="0" w:type="dxa"/>
            <w:vAlign w:val="bottom"/>
          </w:tcPr>
          <w:p>
            <w:pPr>
              <w:spacing w:after="0"/>
              <w:rPr>
                <w:sz w:val="1"/>
                <w:szCs w:val="1"/>
                <w:color w:val="auto"/>
              </w:rPr>
            </w:pPr>
          </w:p>
        </w:tc>
      </w:tr>
      <w:tr>
        <w:trPr>
          <w:trHeight w:val="179"/>
        </w:trPr>
        <w:tc>
          <w:tcPr>
            <w:tcW w:w="1280" w:type="dxa"/>
            <w:vAlign w:val="bottom"/>
          </w:tcPr>
          <w:p>
            <w:pPr>
              <w:ind w:left="20"/>
              <w:spacing w:after="0"/>
              <w:rPr>
                <w:sz w:val="20"/>
                <w:szCs w:val="20"/>
                <w:color w:val="auto"/>
              </w:rPr>
            </w:pPr>
            <w:r>
              <w:rPr>
                <w:rFonts w:ascii="Arial" w:cs="Arial" w:eastAsia="Arial" w:hAnsi="Arial"/>
                <w:sz w:val="14"/>
                <w:szCs w:val="14"/>
                <w:color w:val="auto"/>
              </w:rPr>
              <w:t>Total Debt</w:t>
            </w:r>
          </w:p>
        </w:tc>
        <w:tc>
          <w:tcPr>
            <w:tcW w:w="2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color w:val="auto"/>
              </w:rPr>
              <w:t>(3,898)</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1,214,562</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685,741</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837,010</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2,328,419</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8,771,037</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13,832,871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12,118,842</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right="20" w:firstLine="419"/>
        <w:spacing w:after="0" w:line="257" w:lineRule="auto"/>
        <w:rPr>
          <w:sz w:val="20"/>
          <w:szCs w:val="20"/>
          <w:color w:val="auto"/>
        </w:rPr>
      </w:pPr>
      <w:r>
        <w:rPr>
          <w:rFonts w:ascii="Arial" w:cs="Arial" w:eastAsia="Arial" w:hAnsi="Arial"/>
          <w:sz w:val="17"/>
          <w:szCs w:val="17"/>
          <w:color w:val="auto"/>
        </w:rPr>
        <w:t>At September 30, 2022, the weighted-average coupon/stated rates on the fixed rate debt stated above was 3.32% per annum. At September 30, 2022, our outstanding variable rate debt based on LIBOR totaled approximately $340.0 million and our outstanding variable rate debt based on SOFR totaled $730.0 million. At September 30, 2022, the coupon/stated rate on our variable rate debt was approximately 3.40% per annum. If market interest rates on our variable rate debt had been 100 basis points greater, total interest expense would have increased approximately $2.7 million and $8.0 million for the three and nine months ended September 30, 2022, respectively.</w:t>
      </w:r>
    </w:p>
    <w:p>
      <w:pPr>
        <w:spacing w:after="0" w:line="121" w:lineRule="exact"/>
        <w:rPr>
          <w:sz w:val="20"/>
          <w:szCs w:val="20"/>
          <w:color w:val="auto"/>
        </w:rPr>
      </w:pPr>
    </w:p>
    <w:p>
      <w:pPr>
        <w:jc w:val="both"/>
        <w:ind w:right="120" w:firstLine="419"/>
        <w:spacing w:after="0" w:line="266" w:lineRule="auto"/>
        <w:rPr>
          <w:sz w:val="20"/>
          <w:szCs w:val="20"/>
          <w:color w:val="auto"/>
        </w:rPr>
      </w:pPr>
      <w:r>
        <w:rPr>
          <w:rFonts w:ascii="Arial" w:cs="Arial" w:eastAsia="Arial" w:hAnsi="Arial"/>
          <w:sz w:val="17"/>
          <w:szCs w:val="17"/>
          <w:color w:val="auto"/>
        </w:rPr>
        <w:t>The fair value amounts were determined solely by considering the impact of hypothetical interest rates on our financial instruments. Due to the uncertainty of specific actions, we may undertake to minimize possible effects of market interest rate increases, this analysis assumes no changes in our financial structure.</w:t>
      </w:r>
    </w:p>
    <w:p>
      <w:pPr>
        <w:spacing w:after="0" w:line="112" w:lineRule="exact"/>
        <w:rPr>
          <w:sz w:val="20"/>
          <w:szCs w:val="20"/>
          <w:color w:val="auto"/>
        </w:rPr>
      </w:pPr>
    </w:p>
    <w:p>
      <w:pPr>
        <w:ind w:right="260" w:firstLine="419"/>
        <w:spacing w:after="0" w:line="266" w:lineRule="auto"/>
        <w:rPr>
          <w:sz w:val="20"/>
          <w:szCs w:val="20"/>
          <w:color w:val="auto"/>
        </w:rPr>
      </w:pPr>
      <w:r>
        <w:rPr>
          <w:rFonts w:ascii="Arial" w:cs="Arial" w:eastAsia="Arial" w:hAnsi="Arial"/>
          <w:sz w:val="17"/>
          <w:szCs w:val="17"/>
          <w:color w:val="auto"/>
        </w:rPr>
        <w:t>On March 5, 2021, the Financial Conduct Authority (“FCA”) announced that USD LIBOR will no longer be published after June 30, 2023. This announcement has several implications, including setting the spread that may be used to automatically convert contracts from LIBOR to SOFR. Additionally, banking regulators are encouraging banks to discontinue new LIBOR debt issuances by December 31, 2021.</w:t>
      </w:r>
    </w:p>
    <w:p>
      <w:pPr>
        <w:spacing w:after="0" w:line="112" w:lineRule="exact"/>
        <w:rPr>
          <w:sz w:val="20"/>
          <w:szCs w:val="20"/>
          <w:color w:val="auto"/>
        </w:rPr>
      </w:pPr>
    </w:p>
    <w:p>
      <w:pPr>
        <w:ind w:right="120" w:firstLine="419"/>
        <w:spacing w:after="0" w:line="260" w:lineRule="auto"/>
        <w:rPr>
          <w:sz w:val="20"/>
          <w:szCs w:val="20"/>
          <w:color w:val="auto"/>
        </w:rPr>
      </w:pPr>
      <w:r>
        <w:rPr>
          <w:rFonts w:ascii="Arial" w:cs="Arial" w:eastAsia="Arial" w:hAnsi="Arial"/>
          <w:sz w:val="17"/>
          <w:szCs w:val="17"/>
          <w:color w:val="auto"/>
        </w:rPr>
        <w:t>We anticipate that LIBOR will continue to be available at least until June 30, 2023. Any changes adopted by the FCA or other governing bodies in the method used for determining LIBOR may result in a sudden or prolonged increase or decrease in reported LIBOR. If that were to occur, our interest payments could change. In addition, uncertainty about the extent and manner of future changes may result in interest rates and/or payments that are higher or lower than if LIBOR were to remain available in its current form.</w:t>
      </w:r>
    </w:p>
    <w:p>
      <w:pPr>
        <w:spacing w:after="0" w:line="118" w:lineRule="exact"/>
        <w:rPr>
          <w:sz w:val="20"/>
          <w:szCs w:val="20"/>
          <w:color w:val="auto"/>
        </w:rPr>
      </w:pPr>
    </w:p>
    <w:p>
      <w:pPr>
        <w:ind w:firstLine="419"/>
        <w:spacing w:after="0" w:line="260" w:lineRule="auto"/>
        <w:rPr>
          <w:sz w:val="20"/>
          <w:szCs w:val="20"/>
          <w:color w:val="auto"/>
        </w:rPr>
      </w:pPr>
      <w:r>
        <w:rPr>
          <w:rFonts w:ascii="Arial" w:cs="Arial" w:eastAsia="Arial" w:hAnsi="Arial"/>
          <w:sz w:val="17"/>
          <w:szCs w:val="17"/>
          <w:color w:val="auto"/>
        </w:rPr>
        <w:t>We and our unconsolidated joint ventures have contracts that are indexed to LIBOR and we are monitoring and evaluating the related risks. These risks arise in connection with transitioning contracts to an alternative rate, including any resulting value transfer that may occur, and are likely to vary by contract. The value of loans, securities, or derivative instruments tied to LIBOR, as well as interest rates on our unconsolidated joint ventures current or future indebtedness, may also be impacted if LIBOR is limited or discontinued. For some instruments the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method of transitioning to an alternative reference rate may be challenging, especially if we cannot agree with the respective counterparty about how to make the transition.</w:t>
      </w:r>
    </w:p>
    <w:p>
      <w:pPr>
        <w:spacing w:after="0" w:line="97" w:lineRule="exact"/>
        <w:rPr>
          <w:sz w:val="20"/>
          <w:szCs w:val="20"/>
          <w:color w:val="auto"/>
        </w:rPr>
      </w:pPr>
    </w:p>
    <w:p>
      <w:pPr>
        <w:jc w:val="both"/>
        <w:ind w:right="500" w:firstLine="419"/>
        <w:spacing w:after="0" w:line="266" w:lineRule="auto"/>
        <w:rPr>
          <w:sz w:val="20"/>
          <w:szCs w:val="20"/>
          <w:color w:val="auto"/>
        </w:rPr>
      </w:pPr>
      <w:r>
        <w:rPr>
          <w:rFonts w:ascii="Arial" w:cs="Arial" w:eastAsia="Arial" w:hAnsi="Arial"/>
          <w:sz w:val="17"/>
          <w:szCs w:val="17"/>
          <w:color w:val="auto"/>
        </w:rPr>
        <w:t>While we expect LIBOR to be available in substantially its current form until at least the end of June 30, 2023, it is possible that LIBOR will become unavailable prior to that point. This could result, for example, if a sufficient number of banks decline to make submissions to the LIBOR administrator. In that case, the risks associated with the transition to an alternative reference rate will be accelerated and magnified.</w:t>
      </w:r>
    </w:p>
    <w:p>
      <w:pPr>
        <w:spacing w:after="0" w:line="112" w:lineRule="exact"/>
        <w:rPr>
          <w:sz w:val="20"/>
          <w:szCs w:val="20"/>
          <w:color w:val="auto"/>
        </w:rPr>
      </w:pPr>
    </w:p>
    <w:p>
      <w:pPr>
        <w:ind w:firstLine="419"/>
        <w:spacing w:after="0" w:line="266" w:lineRule="auto"/>
        <w:rPr>
          <w:sz w:val="20"/>
          <w:szCs w:val="20"/>
          <w:color w:val="auto"/>
        </w:rPr>
      </w:pPr>
      <w:r>
        <w:rPr>
          <w:rFonts w:ascii="Arial" w:cs="Arial" w:eastAsia="Arial" w:hAnsi="Arial"/>
          <w:sz w:val="17"/>
          <w:szCs w:val="17"/>
          <w:color w:val="auto"/>
        </w:rPr>
        <w:t>Alternative rates and other market changes related to the replacement of LIBOR, including the introduction of financial products and changes in market practices, may lead to risk modeling and valuation challenges, such as adjusting interest rate accrual calculations and building a term structure for an alternative rate.</w:t>
      </w:r>
    </w:p>
    <w:p>
      <w:pPr>
        <w:spacing w:after="0" w:line="112" w:lineRule="exact"/>
        <w:rPr>
          <w:sz w:val="20"/>
          <w:szCs w:val="20"/>
          <w:color w:val="auto"/>
        </w:rPr>
      </w:pPr>
    </w:p>
    <w:p>
      <w:pPr>
        <w:ind w:right="20" w:firstLine="419"/>
        <w:spacing w:after="0" w:line="283" w:lineRule="auto"/>
        <w:rPr>
          <w:sz w:val="20"/>
          <w:szCs w:val="20"/>
          <w:color w:val="auto"/>
        </w:rPr>
      </w:pPr>
      <w:r>
        <w:rPr>
          <w:rFonts w:ascii="Arial" w:cs="Arial" w:eastAsia="Arial" w:hAnsi="Arial"/>
          <w:sz w:val="17"/>
          <w:szCs w:val="17"/>
          <w:color w:val="auto"/>
        </w:rPr>
        <w:t>The introduction of an alternative rate also may create additional basis risk and increased volatility as alternative rates are phased in and utilized in parallel with LIBOR.</w:t>
      </w:r>
    </w:p>
    <w:p>
      <w:pPr>
        <w:spacing w:after="0" w:line="97" w:lineRule="exact"/>
        <w:rPr>
          <w:sz w:val="20"/>
          <w:szCs w:val="20"/>
          <w:color w:val="auto"/>
        </w:rPr>
      </w:pPr>
    </w:p>
    <w:p>
      <w:pPr>
        <w:ind w:right="260" w:firstLine="419"/>
        <w:spacing w:after="0" w:line="283" w:lineRule="auto"/>
        <w:rPr>
          <w:sz w:val="20"/>
          <w:szCs w:val="20"/>
          <w:color w:val="auto"/>
        </w:rPr>
      </w:pPr>
      <w:r>
        <w:rPr>
          <w:rFonts w:ascii="Arial" w:cs="Arial" w:eastAsia="Arial" w:hAnsi="Arial"/>
          <w:sz w:val="17"/>
          <w:szCs w:val="17"/>
          <w:color w:val="auto"/>
        </w:rPr>
        <w:t>Adjustments to systems and mathematical models to properly process and account for alternative rates will be required, which may strain the model risk management and information technology functions and result in substantial incremental costs for us.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4—Controls and Procedures.</w:t>
      </w:r>
    </w:p>
    <w:p>
      <w:pPr>
        <w:spacing w:after="0" w:line="23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Boston Properties, Inc.</w:t>
      </w:r>
    </w:p>
    <w:p>
      <w:pPr>
        <w:spacing w:after="0" w:line="96" w:lineRule="exact"/>
        <w:rPr>
          <w:sz w:val="20"/>
          <w:szCs w:val="20"/>
          <w:color w:val="auto"/>
        </w:rPr>
      </w:pPr>
    </w:p>
    <w:p>
      <w:pPr>
        <w:jc w:val="both"/>
        <w:ind w:right="60" w:firstLine="420"/>
        <w:spacing w:after="0" w:line="271" w:lineRule="auto"/>
        <w:tabs>
          <w:tab w:leader="none" w:pos="673" w:val="left"/>
        </w:tabs>
        <w:numPr>
          <w:ilvl w:val="0"/>
          <w:numId w:val="70"/>
        </w:numPr>
        <w:rPr>
          <w:rFonts w:ascii="Arial" w:cs="Arial" w:eastAsia="Arial" w:hAnsi="Arial"/>
          <w:sz w:val="16"/>
          <w:szCs w:val="16"/>
          <w:color w:val="auto"/>
        </w:rPr>
      </w:pPr>
      <w:r>
        <w:rPr>
          <w:rFonts w:ascii="Arial" w:cs="Arial" w:eastAsia="Arial" w:hAnsi="Arial"/>
          <w:sz w:val="16"/>
          <w:szCs w:val="16"/>
          <w:color w:val="auto"/>
        </w:rPr>
        <w:t>Evaluation of Disclosure Controls and Procedures. As of the end of the period covered by this report, our management, with the participation of Boston Properties, Inc.’s Chief Executive Officer (Principal Executive Officer) and Chief Financial Officer (Principal Financial Officer), evaluated the effectiveness of our disclosure controls and procedures (as defined in Rule 13a-15(e) under the Securities Exchange Act of 1934, as amended).</w:t>
      </w:r>
    </w:p>
    <w:p>
      <w:pPr>
        <w:spacing w:after="0" w:line="1" w:lineRule="exact"/>
        <w:rPr>
          <w:rFonts w:ascii="Arial" w:cs="Arial" w:eastAsia="Arial" w:hAnsi="Arial"/>
          <w:sz w:val="16"/>
          <w:szCs w:val="16"/>
          <w:color w:val="auto"/>
        </w:rPr>
      </w:pPr>
    </w:p>
    <w:p>
      <w:pPr>
        <w:ind w:right="60"/>
        <w:spacing w:after="0" w:line="263" w:lineRule="auto"/>
        <w:rPr>
          <w:rFonts w:ascii="Arial" w:cs="Arial" w:eastAsia="Arial" w:hAnsi="Arial"/>
          <w:sz w:val="16"/>
          <w:szCs w:val="16"/>
          <w:color w:val="auto"/>
        </w:rPr>
      </w:pPr>
      <w:r>
        <w:rPr>
          <w:rFonts w:ascii="Arial" w:cs="Arial" w:eastAsia="Arial" w:hAnsi="Arial"/>
          <w:sz w:val="17"/>
          <w:szCs w:val="17"/>
          <w:color w:val="auto"/>
        </w:rPr>
        <w:t>Based upon that evaluation, Boston Properties, Inc.’s Chief Executive Officer and Chief Financial Officer concluded that these disclosure controls and procedures were effective as of the end of the period covered by this report.</w:t>
      </w:r>
    </w:p>
    <w:p>
      <w:pPr>
        <w:spacing w:after="0" w:line="114" w:lineRule="exact"/>
        <w:rPr>
          <w:rFonts w:ascii="Arial" w:cs="Arial" w:eastAsia="Arial" w:hAnsi="Arial"/>
          <w:sz w:val="16"/>
          <w:szCs w:val="16"/>
          <w:color w:val="auto"/>
        </w:rPr>
      </w:pPr>
    </w:p>
    <w:p>
      <w:pPr>
        <w:ind w:right="400" w:firstLine="420"/>
        <w:spacing w:after="0" w:line="260" w:lineRule="auto"/>
        <w:tabs>
          <w:tab w:leader="none" w:pos="673" w:val="left"/>
        </w:tabs>
        <w:numPr>
          <w:ilvl w:val="0"/>
          <w:numId w:val="70"/>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No change in Boston Properties, Inc.’s internal control over financial reporting (as defined in Rule 13a-15(f) under the Securities Exchange Act of 1934, as amended) occurred during the third quarter of our fiscal year ending December 31, 2022 that has materially affected, or is reasonably likely to materially affect, Boston Properties, Inc.’s internal control over financial reporting.</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Boston Properties Limited Partnership</w:t>
      </w:r>
    </w:p>
    <w:p>
      <w:pPr>
        <w:spacing w:after="0" w:line="84" w:lineRule="exact"/>
        <w:rPr>
          <w:sz w:val="20"/>
          <w:szCs w:val="20"/>
          <w:color w:val="auto"/>
        </w:rPr>
      </w:pPr>
    </w:p>
    <w:p>
      <w:pPr>
        <w:jc w:val="both"/>
        <w:ind w:right="20" w:firstLine="420"/>
        <w:spacing w:after="0" w:line="277" w:lineRule="auto"/>
        <w:tabs>
          <w:tab w:leader="none" w:pos="673" w:val="left"/>
        </w:tabs>
        <w:numPr>
          <w:ilvl w:val="0"/>
          <w:numId w:val="71"/>
        </w:numPr>
        <w:rPr>
          <w:rFonts w:ascii="Arial" w:cs="Arial" w:eastAsia="Arial" w:hAnsi="Arial"/>
          <w:sz w:val="16"/>
          <w:szCs w:val="16"/>
          <w:color w:val="auto"/>
        </w:rPr>
      </w:pPr>
      <w:r>
        <w:rPr>
          <w:rFonts w:ascii="Arial" w:cs="Arial" w:eastAsia="Arial" w:hAnsi="Arial"/>
          <w:sz w:val="16"/>
          <w:szCs w:val="16"/>
          <w:color w:val="auto"/>
        </w:rPr>
        <w:t>Evaluation of Disclosure Controls and Procedures. As of the end of the period covered by this report, the management of Boston Properties, Inc., the sole general partner of Boston Properties Limited Partnership, with the participation of its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the Chief Executive Officer and Chief Financial Officer of Boston Properties, Inc. concluded that these disclosure controls and procedures were effective as of the end of the period covered by this report.</w:t>
      </w:r>
    </w:p>
    <w:p>
      <w:pPr>
        <w:spacing w:after="0" w:line="105" w:lineRule="exact"/>
        <w:rPr>
          <w:rFonts w:ascii="Arial" w:cs="Arial" w:eastAsia="Arial" w:hAnsi="Arial"/>
          <w:sz w:val="16"/>
          <w:szCs w:val="16"/>
          <w:color w:val="auto"/>
        </w:rPr>
      </w:pPr>
    </w:p>
    <w:p>
      <w:pPr>
        <w:ind w:right="160" w:firstLine="420"/>
        <w:spacing w:after="0" w:line="266" w:lineRule="auto"/>
        <w:tabs>
          <w:tab w:leader="none" w:pos="673" w:val="left"/>
        </w:tabs>
        <w:numPr>
          <w:ilvl w:val="0"/>
          <w:numId w:val="71"/>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No change in its internal control over financial reporting (as defined in Rule 13a-15(f) under the Securities Exchange Act of 1934, as amended) occurred during the third quarter of our fiscal year ending December 31, 2022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1—Legal Proceedings.</w:t>
      </w:r>
    </w:p>
    <w:p>
      <w:pPr>
        <w:spacing w:after="0" w:line="96" w:lineRule="exact"/>
        <w:rPr>
          <w:sz w:val="20"/>
          <w:szCs w:val="20"/>
          <w:color w:val="auto"/>
        </w:rPr>
      </w:pPr>
    </w:p>
    <w:p>
      <w:pPr>
        <w:ind w:right="60" w:firstLine="419"/>
        <w:spacing w:after="0" w:line="266" w:lineRule="auto"/>
        <w:rPr>
          <w:sz w:val="20"/>
          <w:szCs w:val="20"/>
          <w:color w:val="auto"/>
        </w:rPr>
      </w:pPr>
      <w:r>
        <w:rPr>
          <w:rFonts w:ascii="Arial" w:cs="Arial" w:eastAsia="Arial" w:hAnsi="Arial"/>
          <w:sz w:val="17"/>
          <w:szCs w:val="17"/>
          <w:color w:val="auto"/>
        </w:rPr>
        <w:t>We are subject to legal proceedings and claims that arise in the ordinary course of business. These matters are generally covered by insurance. Management believes that the final outcome of such matters will not have a material adverse effect on our financial position, results of operations or liquidity.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1A—Risk Factors.</w:t>
      </w:r>
    </w:p>
    <w:p>
      <w:pPr>
        <w:spacing w:after="0" w:line="96" w:lineRule="exact"/>
        <w:rPr>
          <w:sz w:val="20"/>
          <w:szCs w:val="20"/>
          <w:color w:val="auto"/>
        </w:rPr>
      </w:pPr>
    </w:p>
    <w:p>
      <w:pPr>
        <w:ind w:right="100" w:firstLine="419"/>
        <w:spacing w:after="0" w:line="260" w:lineRule="auto"/>
        <w:rPr>
          <w:sz w:val="20"/>
          <w:szCs w:val="20"/>
          <w:color w:val="auto"/>
        </w:rPr>
      </w:pPr>
      <w:r>
        <w:rPr>
          <w:rFonts w:ascii="Arial" w:cs="Arial" w:eastAsia="Arial" w:hAnsi="Arial"/>
          <w:sz w:val="17"/>
          <w:szCs w:val="17"/>
          <w:color w:val="auto"/>
        </w:rPr>
        <w:t>Except to the extent updated below or to the extent additional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disclosed in Part I, “Item 1A. Risk Factors” of our Annual Report on Form 10-K for the year ended December 31, 2021.</w:t>
      </w:r>
    </w:p>
    <w:p>
      <w:pPr>
        <w:spacing w:after="0" w:line="118" w:lineRule="exact"/>
        <w:rPr>
          <w:sz w:val="20"/>
          <w:szCs w:val="20"/>
          <w:color w:val="auto"/>
        </w:rPr>
      </w:pPr>
    </w:p>
    <w:p>
      <w:pPr>
        <w:ind w:right="40" w:firstLine="419"/>
        <w:spacing w:after="0" w:line="271" w:lineRule="auto"/>
        <w:rPr>
          <w:sz w:val="20"/>
          <w:szCs w:val="20"/>
          <w:color w:val="auto"/>
        </w:rPr>
      </w:pPr>
      <w:r>
        <w:rPr>
          <w:rFonts w:ascii="Arial" w:cs="Arial" w:eastAsia="Arial" w:hAnsi="Arial"/>
          <w:sz w:val="17"/>
          <w:szCs w:val="17"/>
          <w:b w:val="1"/>
          <w:bCs w:val="1"/>
          <w:i w:val="1"/>
          <w:iCs w:val="1"/>
          <w:color w:val="auto"/>
        </w:rPr>
        <w:t>Enhanced market and economic volatility due to adverse economic and geopolitical conditions, such as the war in Ukraine, health crises or dislocations in the credit markets, could have a material adverse effect on our results of operations, financial condition and ability to pay dividends and/or distributions.</w:t>
      </w:r>
    </w:p>
    <w:p>
      <w:pPr>
        <w:spacing w:after="0" w:line="99" w:lineRule="exact"/>
        <w:rPr>
          <w:sz w:val="20"/>
          <w:szCs w:val="20"/>
          <w:color w:val="auto"/>
        </w:rPr>
      </w:pPr>
    </w:p>
    <w:p>
      <w:pPr>
        <w:ind w:right="40" w:firstLine="419"/>
        <w:spacing w:after="0" w:line="254" w:lineRule="auto"/>
        <w:rPr>
          <w:sz w:val="20"/>
          <w:szCs w:val="20"/>
          <w:color w:val="auto"/>
        </w:rPr>
      </w:pPr>
      <w:r>
        <w:rPr>
          <w:rFonts w:ascii="Arial" w:cs="Arial" w:eastAsia="Arial" w:hAnsi="Arial"/>
          <w:sz w:val="17"/>
          <w:szCs w:val="17"/>
          <w:color w:val="auto"/>
        </w:rPr>
        <w:t>Our business may be adversely affected by market and economic volatility experienced by the U.S. and global economies, the real estate industry as a whole and/or the local economies in the markets in which our properties are located, Such adverse economic and geopolitical conditions may be due to, among other issues, increased labor market challenges impacting the recruitment and retention of employees, rising inflation and interest rates, volatility in the public equity and debt markets, and international economic and other conditions, including pandemics, geopolitical instability (such as the war in Ukraine), sanctions and other conditions beyond our control. These current conditions, or similar conditions existing in the future, may adversely affect our results of operations, financial condition and ability to pay dividends and/or distributions as a result of one or more of the following, among other potential consequences:</w:t>
      </w:r>
    </w:p>
    <w:p>
      <w:pPr>
        <w:spacing w:after="0" w:line="126" w:lineRule="exact"/>
        <w:rPr>
          <w:sz w:val="20"/>
          <w:szCs w:val="20"/>
          <w:color w:val="auto"/>
        </w:rPr>
      </w:pPr>
    </w:p>
    <w:p>
      <w:pPr>
        <w:ind w:left="620" w:right="400" w:hanging="314"/>
        <w:spacing w:after="0" w:line="283" w:lineRule="auto"/>
        <w:tabs>
          <w:tab w:leader="none" w:pos="616"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financial condition of our clients may be adversely affected, which may result in client defaults under leases due to bankruptcy, lack of liquidity, lack of funding, operational failures or for other reasons;</w:t>
      </w:r>
    </w:p>
    <w:p>
      <w:pPr>
        <w:spacing w:after="0" w:line="33" w:lineRule="exact"/>
        <w:rPr>
          <w:rFonts w:ascii="Arial" w:cs="Arial" w:eastAsia="Arial" w:hAnsi="Arial"/>
          <w:sz w:val="17"/>
          <w:szCs w:val="17"/>
          <w:color w:val="auto"/>
        </w:rPr>
      </w:pPr>
    </w:p>
    <w:p>
      <w:pPr>
        <w:ind w:left="620" w:right="400" w:hanging="314"/>
        <w:spacing w:after="0" w:line="283" w:lineRule="auto"/>
        <w:tabs>
          <w:tab w:leader="none" w:pos="616" w:val="left"/>
        </w:tabs>
        <w:numPr>
          <w:ilvl w:val="0"/>
          <w:numId w:val="72"/>
        </w:numPr>
        <w:rPr>
          <w:rFonts w:ascii="Arial" w:cs="Arial" w:eastAsia="Arial" w:hAnsi="Arial"/>
          <w:sz w:val="17"/>
          <w:szCs w:val="17"/>
          <w:color w:val="auto"/>
        </w:rPr>
      </w:pPr>
      <w:r>
        <w:rPr>
          <w:rFonts w:ascii="Arial" w:cs="Arial" w:eastAsia="Arial" w:hAnsi="Arial"/>
          <w:sz w:val="17"/>
          <w:szCs w:val="17"/>
          <w:color w:val="auto"/>
        </w:rPr>
        <w:t>significant job losses may occur, which may decrease demand for our office space, causing market rental rates and property values to be negatively impacted;</w:t>
      </w:r>
    </w:p>
    <w:p>
      <w:pPr>
        <w:spacing w:after="0" w:line="21" w:lineRule="exact"/>
        <w:rPr>
          <w:rFonts w:ascii="Arial" w:cs="Arial" w:eastAsia="Arial" w:hAnsi="Arial"/>
          <w:sz w:val="17"/>
          <w:szCs w:val="17"/>
          <w:color w:val="auto"/>
        </w:rPr>
      </w:pPr>
    </w:p>
    <w:p>
      <w:pPr>
        <w:ind w:left="620" w:right="220" w:hanging="314"/>
        <w:spacing w:after="0" w:line="283" w:lineRule="auto"/>
        <w:tabs>
          <w:tab w:leader="none" w:pos="616" w:val="left"/>
        </w:tabs>
        <w:numPr>
          <w:ilvl w:val="0"/>
          <w:numId w:val="72"/>
        </w:numPr>
        <w:rPr>
          <w:rFonts w:ascii="Arial" w:cs="Arial" w:eastAsia="Arial" w:hAnsi="Arial"/>
          <w:sz w:val="17"/>
          <w:szCs w:val="17"/>
          <w:color w:val="auto"/>
        </w:rPr>
      </w:pPr>
      <w:r>
        <w:rPr>
          <w:rFonts w:ascii="Arial" w:cs="Arial" w:eastAsia="Arial" w:hAnsi="Arial"/>
          <w:sz w:val="17"/>
          <w:szCs w:val="17"/>
          <w:color w:val="auto"/>
        </w:rPr>
        <w:t>tightening labor market conditions may adversely affect our ability to recruit and retain talent, which may result in lack of business continuity and increased costs to address the labor challenges;</w:t>
      </w:r>
    </w:p>
    <w:p>
      <w:pPr>
        <w:spacing w:after="0" w:line="33" w:lineRule="exact"/>
        <w:rPr>
          <w:rFonts w:ascii="Arial" w:cs="Arial" w:eastAsia="Arial" w:hAnsi="Arial"/>
          <w:sz w:val="17"/>
          <w:szCs w:val="17"/>
          <w:color w:val="auto"/>
        </w:rPr>
      </w:pPr>
    </w:p>
    <w:p>
      <w:pPr>
        <w:ind w:left="620" w:right="40" w:hanging="314"/>
        <w:spacing w:after="0" w:line="266" w:lineRule="auto"/>
        <w:tabs>
          <w:tab w:leader="none" w:pos="616" w:val="left"/>
        </w:tabs>
        <w:numPr>
          <w:ilvl w:val="0"/>
          <w:numId w:val="72"/>
        </w:numPr>
        <w:rPr>
          <w:rFonts w:ascii="Arial" w:cs="Arial" w:eastAsia="Arial" w:hAnsi="Arial"/>
          <w:sz w:val="17"/>
          <w:szCs w:val="17"/>
          <w:color w:val="auto"/>
        </w:rPr>
      </w:pPr>
      <w:r>
        <w:rPr>
          <w:rFonts w:ascii="Arial" w:cs="Arial" w:eastAsia="Arial" w:hAnsi="Arial"/>
          <w:sz w:val="17"/>
          <w:szCs w:val="17"/>
          <w:color w:val="auto"/>
        </w:rPr>
        <w:t>our ability to borrow on terms and conditions that we find acceptable, or at all, may be limited, which could reduce our ability to pursue acquisition and development opportunities and refinance existing debt, reduce our returns from our acquisition and development activities and increase our future interest expense;</w:t>
      </w:r>
    </w:p>
    <w:p>
      <w:pPr>
        <w:spacing w:after="0" w:line="48" w:lineRule="exact"/>
        <w:rPr>
          <w:rFonts w:ascii="Arial" w:cs="Arial" w:eastAsia="Arial" w:hAnsi="Arial"/>
          <w:sz w:val="17"/>
          <w:szCs w:val="17"/>
          <w:color w:val="auto"/>
        </w:rPr>
      </w:pPr>
    </w:p>
    <w:p>
      <w:pPr>
        <w:ind w:left="620" w:right="600" w:hanging="314"/>
        <w:spacing w:after="0" w:line="283" w:lineRule="auto"/>
        <w:tabs>
          <w:tab w:leader="none" w:pos="616"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reduced values of our properties may limit our ability to dispose of assets at attractive prices or to obtain debt financing secured by our properties and may reduce the availability of unsecured loans;</w:t>
      </w:r>
    </w:p>
    <w:p>
      <w:pPr>
        <w:spacing w:after="0" w:line="21" w:lineRule="exact"/>
        <w:rPr>
          <w:rFonts w:ascii="Arial" w:cs="Arial" w:eastAsia="Arial" w:hAnsi="Arial"/>
          <w:sz w:val="17"/>
          <w:szCs w:val="17"/>
          <w:color w:val="auto"/>
        </w:rPr>
      </w:pPr>
    </w:p>
    <w:p>
      <w:pPr>
        <w:ind w:left="620" w:hanging="314"/>
        <w:spacing w:after="0" w:line="266" w:lineRule="auto"/>
        <w:tabs>
          <w:tab w:leader="none" w:pos="616"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value and liquidity of our short-term investments and cash deposits could be reduced as a result of a deterioration of the financial condition of the institutions that hold our cash deposits or the institutions or assets in which we have made short-term investments, a dislocation of the markets for our short-term investments, increased volatility in market rates for such investments or other factors;</w:t>
      </w:r>
    </w:p>
    <w:p>
      <w:pPr>
        <w:spacing w:after="0" w:line="48" w:lineRule="exact"/>
        <w:rPr>
          <w:rFonts w:ascii="Arial" w:cs="Arial" w:eastAsia="Arial" w:hAnsi="Arial"/>
          <w:sz w:val="17"/>
          <w:szCs w:val="17"/>
          <w:color w:val="auto"/>
        </w:rPr>
      </w:pPr>
    </w:p>
    <w:p>
      <w:pPr>
        <w:ind w:left="620" w:right="440" w:hanging="314"/>
        <w:spacing w:after="0" w:line="283" w:lineRule="auto"/>
        <w:tabs>
          <w:tab w:leader="none" w:pos="616" w:val="left"/>
        </w:tabs>
        <w:numPr>
          <w:ilvl w:val="0"/>
          <w:numId w:val="72"/>
        </w:numPr>
        <w:rPr>
          <w:rFonts w:ascii="Arial" w:cs="Arial" w:eastAsia="Arial" w:hAnsi="Arial"/>
          <w:sz w:val="17"/>
          <w:szCs w:val="17"/>
          <w:color w:val="auto"/>
        </w:rPr>
      </w:pPr>
      <w:r>
        <w:rPr>
          <w:rFonts w:ascii="Arial" w:cs="Arial" w:eastAsia="Arial" w:hAnsi="Arial"/>
          <w:sz w:val="17"/>
          <w:szCs w:val="17"/>
          <w:color w:val="auto"/>
        </w:rPr>
        <w:t>one or more lenders under our line of credit could refuse to fund their financing commitment to us or could fail and we may not be able to replace the financing commitment of any such lenders on favorable terms, or at all; and</w:t>
      </w:r>
    </w:p>
    <w:p>
      <w:pPr>
        <w:spacing w:after="0" w:line="33" w:lineRule="exact"/>
        <w:rPr>
          <w:rFonts w:ascii="Arial" w:cs="Arial" w:eastAsia="Arial" w:hAnsi="Arial"/>
          <w:sz w:val="17"/>
          <w:szCs w:val="17"/>
          <w:color w:val="auto"/>
        </w:rPr>
      </w:pPr>
    </w:p>
    <w:p>
      <w:pPr>
        <w:ind w:left="620" w:right="120" w:hanging="314"/>
        <w:spacing w:after="0" w:line="283" w:lineRule="auto"/>
        <w:tabs>
          <w:tab w:leader="none" w:pos="616"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the extent we enter into derivative financial instruments, one or more counterparties to our derivative financial instruments could default on their obligations to us, or could fail, increasing the risk that we may not realize the benefits of these instruments.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2—Unregistered Sales of Equity Securities and Use of Proceeds</w:t>
      </w:r>
    </w:p>
    <w:p>
      <w:pPr>
        <w:spacing w:after="0" w:line="236" w:lineRule="exact"/>
        <w:rPr>
          <w:sz w:val="20"/>
          <w:szCs w:val="20"/>
          <w:color w:val="auto"/>
        </w:rPr>
      </w:pPr>
    </w:p>
    <w:tbl>
      <w:tblPr>
        <w:tblLayout w:type="fixed"/>
        <w:tblInd w:w="160" w:type="dxa"/>
        <w:tblCellMar>
          <w:top w:w="0" w:type="dxa"/>
          <w:left w:w="0" w:type="dxa"/>
          <w:bottom w:w="0" w:type="dxa"/>
          <w:right w:w="0" w:type="dxa"/>
        </w:tblCellMar>
      </w:tblPr>
      <w:tr>
        <w:trPr>
          <w:trHeight w:val="231"/>
        </w:trPr>
        <w:tc>
          <w:tcPr>
            <w:tcW w:w="39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Boston Properties, Inc.</w:t>
            </w:r>
          </w:p>
        </w:tc>
        <w:tc>
          <w:tcPr>
            <w:tcW w:w="1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20" w:type="dxa"/>
            <w:vAlign w:val="bottom"/>
          </w:tcPr>
          <w:p>
            <w:pPr>
              <w:ind w:left="300"/>
              <w:spacing w:after="0"/>
              <w:rPr>
                <w:sz w:val="20"/>
                <w:szCs w:val="20"/>
                <w:color w:val="auto"/>
              </w:rPr>
            </w:pPr>
            <w:r>
              <w:rPr>
                <w:rFonts w:ascii="Arial" w:cs="Arial" w:eastAsia="Arial" w:hAnsi="Arial"/>
                <w:sz w:val="17"/>
                <w:szCs w:val="17"/>
                <w:color w:val="auto"/>
              </w:rPr>
              <w:t>(a)</w:t>
            </w:r>
          </w:p>
        </w:tc>
        <w:tc>
          <w:tcPr>
            <w:tcW w:w="3340" w:type="dxa"/>
            <w:vAlign w:val="bottom"/>
          </w:tcPr>
          <w:p>
            <w:pPr>
              <w:ind w:left="120"/>
              <w:spacing w:after="0"/>
              <w:rPr>
                <w:sz w:val="20"/>
                <w:szCs w:val="20"/>
                <w:color w:val="auto"/>
              </w:rPr>
            </w:pPr>
            <w:r>
              <w:rPr>
                <w:rFonts w:ascii="Arial" w:cs="Arial" w:eastAsia="Arial" w:hAnsi="Arial"/>
                <w:sz w:val="17"/>
                <w:szCs w:val="17"/>
                <w:color w:val="auto"/>
              </w:rPr>
              <w:t>None.</w:t>
            </w: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20" w:type="dxa"/>
            <w:vAlign w:val="bottom"/>
          </w:tcPr>
          <w:p>
            <w:pPr>
              <w:ind w:left="300"/>
              <w:spacing w:after="0"/>
              <w:rPr>
                <w:sz w:val="20"/>
                <w:szCs w:val="20"/>
                <w:color w:val="auto"/>
              </w:rPr>
            </w:pPr>
            <w:r>
              <w:rPr>
                <w:rFonts w:ascii="Arial" w:cs="Arial" w:eastAsia="Arial" w:hAnsi="Arial"/>
                <w:sz w:val="17"/>
                <w:szCs w:val="17"/>
                <w:color w:val="auto"/>
              </w:rPr>
              <w:t>(b)</w:t>
            </w:r>
          </w:p>
        </w:tc>
        <w:tc>
          <w:tcPr>
            <w:tcW w:w="3340" w:type="dxa"/>
            <w:vAlign w:val="bottom"/>
          </w:tcPr>
          <w:p>
            <w:pPr>
              <w:ind w:left="120"/>
              <w:spacing w:after="0"/>
              <w:rPr>
                <w:sz w:val="20"/>
                <w:szCs w:val="20"/>
                <w:color w:val="auto"/>
              </w:rPr>
            </w:pPr>
            <w:r>
              <w:rPr>
                <w:rFonts w:ascii="Arial" w:cs="Arial" w:eastAsia="Arial" w:hAnsi="Arial"/>
                <w:sz w:val="17"/>
                <w:szCs w:val="17"/>
                <w:color w:val="auto"/>
              </w:rPr>
              <w:t>Not Applicable.</w:t>
            </w: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960" w:type="dxa"/>
            <w:vAlign w:val="bottom"/>
            <w:gridSpan w:val="2"/>
          </w:tcPr>
          <w:p>
            <w:pPr>
              <w:ind w:left="300"/>
              <w:spacing w:after="0"/>
              <w:rPr>
                <w:sz w:val="20"/>
                <w:szCs w:val="20"/>
                <w:color w:val="auto"/>
              </w:rPr>
            </w:pPr>
            <w:r>
              <w:rPr>
                <w:rFonts w:ascii="Arial" w:cs="Arial" w:eastAsia="Arial" w:hAnsi="Arial"/>
                <w:sz w:val="17"/>
                <w:szCs w:val="17"/>
                <w:color w:val="auto"/>
              </w:rPr>
              <w:t>(c)   Issuer Purchases of Equity Securities.</w:t>
            </w: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60" w:type="dxa"/>
            <w:vAlign w:val="bottom"/>
            <w:vMerge w:val="restart"/>
          </w:tcPr>
          <w:p>
            <w:pPr>
              <w:jc w:val="center"/>
              <w:ind w:left="224"/>
              <w:spacing w:after="0"/>
              <w:rPr>
                <w:sz w:val="20"/>
                <w:szCs w:val="20"/>
                <w:color w:val="auto"/>
              </w:rPr>
            </w:pPr>
            <w:r>
              <w:rPr>
                <w:rFonts w:ascii="Arial" w:cs="Arial" w:eastAsia="Arial" w:hAnsi="Arial"/>
                <w:sz w:val="14"/>
                <w:szCs w:val="14"/>
                <w:b w:val="1"/>
                <w:bCs w:val="1"/>
                <w:color w:val="auto"/>
                <w:w w:val="93"/>
              </w:rPr>
              <w:t>(a)</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vMerge w:val="restart"/>
          </w:tcPr>
          <w:p>
            <w:pPr>
              <w:jc w:val="center"/>
              <w:ind w:right="339"/>
              <w:spacing w:after="0"/>
              <w:rPr>
                <w:sz w:val="20"/>
                <w:szCs w:val="20"/>
                <w:color w:val="auto"/>
              </w:rPr>
            </w:pPr>
            <w:r>
              <w:rPr>
                <w:rFonts w:ascii="Arial" w:cs="Arial" w:eastAsia="Arial" w:hAnsi="Arial"/>
                <w:sz w:val="14"/>
                <w:szCs w:val="14"/>
                <w:b w:val="1"/>
                <w:bCs w:val="1"/>
                <w:color w:val="auto"/>
              </w:rPr>
              <w:t>(b)</w:t>
            </w:r>
          </w:p>
        </w:tc>
        <w:tc>
          <w:tcPr>
            <w:tcW w:w="17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6"/>
              </w:rPr>
              <w:t>Total Number of Shares</w:t>
            </w:r>
          </w:p>
        </w:tc>
        <w:tc>
          <w:tcPr>
            <w:tcW w:w="162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5"/>
              </w:rPr>
              <w:t>Maximum Number (or</w:t>
            </w: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60" w:type="dxa"/>
            <w:vAlign w:val="bottom"/>
          </w:tcPr>
          <w:p>
            <w:pPr>
              <w:jc w:val="center"/>
              <w:ind w:left="244"/>
              <w:spacing w:after="0" w:line="140" w:lineRule="exact"/>
              <w:rPr>
                <w:sz w:val="20"/>
                <w:szCs w:val="20"/>
                <w:color w:val="auto"/>
              </w:rPr>
            </w:pPr>
            <w:r>
              <w:rPr>
                <w:rFonts w:ascii="Arial" w:cs="Arial" w:eastAsia="Arial" w:hAnsi="Arial"/>
                <w:sz w:val="14"/>
                <w:szCs w:val="14"/>
                <w:b w:val="1"/>
                <w:bCs w:val="1"/>
                <w:color w:val="auto"/>
                <w:w w:val="94"/>
              </w:rPr>
              <w:t>Total Number of</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7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6"/>
              </w:rPr>
              <w:t>Purchased as Part of</w:t>
            </w:r>
          </w:p>
        </w:tc>
        <w:tc>
          <w:tcPr>
            <w:tcW w:w="162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7"/>
              </w:rPr>
              <w:t>Approximate Dollar</w:t>
            </w: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334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Period</w:t>
            </w:r>
          </w:p>
        </w:tc>
        <w:tc>
          <w:tcPr>
            <w:tcW w:w="1660" w:type="dxa"/>
            <w:vAlign w:val="bottom"/>
          </w:tcPr>
          <w:p>
            <w:pPr>
              <w:jc w:val="center"/>
              <w:ind w:left="224"/>
              <w:spacing w:after="0" w:line="153" w:lineRule="exact"/>
              <w:rPr>
                <w:sz w:val="20"/>
                <w:szCs w:val="20"/>
                <w:color w:val="auto"/>
              </w:rPr>
            </w:pPr>
            <w:r>
              <w:rPr>
                <w:rFonts w:ascii="Arial" w:cs="Arial" w:eastAsia="Arial" w:hAnsi="Arial"/>
                <w:sz w:val="14"/>
                <w:szCs w:val="14"/>
                <w:b w:val="1"/>
                <w:bCs w:val="1"/>
                <w:color w:val="auto"/>
                <w:w w:val="96"/>
              </w:rPr>
              <w:t>Shares of Common</w:t>
            </w:r>
          </w:p>
        </w:tc>
        <w:tc>
          <w:tcPr>
            <w:tcW w:w="380" w:type="dxa"/>
            <w:vAlign w:val="bottom"/>
          </w:tcPr>
          <w:p>
            <w:pPr>
              <w:spacing w:after="0"/>
              <w:rPr>
                <w:sz w:val="13"/>
                <w:szCs w:val="13"/>
                <w:color w:val="auto"/>
              </w:rPr>
            </w:pPr>
          </w:p>
        </w:tc>
        <w:tc>
          <w:tcPr>
            <w:tcW w:w="1580" w:type="dxa"/>
            <w:vAlign w:val="bottom"/>
            <w:gridSpan w:val="2"/>
          </w:tcPr>
          <w:p>
            <w:pPr>
              <w:jc w:val="center"/>
              <w:ind w:left="1"/>
              <w:spacing w:after="0" w:line="153" w:lineRule="exact"/>
              <w:rPr>
                <w:sz w:val="20"/>
                <w:szCs w:val="20"/>
                <w:color w:val="auto"/>
              </w:rPr>
            </w:pPr>
            <w:r>
              <w:rPr>
                <w:rFonts w:ascii="Arial" w:cs="Arial" w:eastAsia="Arial" w:hAnsi="Arial"/>
                <w:sz w:val="14"/>
                <w:szCs w:val="14"/>
                <w:b w:val="1"/>
                <w:bCs w:val="1"/>
                <w:color w:val="auto"/>
                <w:w w:val="96"/>
              </w:rPr>
              <w:t>Average Price Paid</w:t>
            </w:r>
          </w:p>
        </w:tc>
        <w:tc>
          <w:tcPr>
            <w:tcW w:w="1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Publicly Announced</w:t>
            </w:r>
          </w:p>
        </w:tc>
        <w:tc>
          <w:tcPr>
            <w:tcW w:w="16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Value) of Shares that</w:t>
            </w:r>
          </w:p>
        </w:tc>
        <w:tc>
          <w:tcPr>
            <w:tcW w:w="0" w:type="dxa"/>
            <w:vAlign w:val="bottom"/>
          </w:tcPr>
          <w:p>
            <w:pPr>
              <w:spacing w:after="0"/>
              <w:rPr>
                <w:sz w:val="1"/>
                <w:szCs w:val="1"/>
                <w:color w:val="auto"/>
              </w:rPr>
            </w:pPr>
          </w:p>
        </w:tc>
      </w:tr>
      <w:tr>
        <w:trPr>
          <w:trHeight w:val="187"/>
        </w:trPr>
        <w:tc>
          <w:tcPr>
            <w:tcW w:w="6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jc w:val="center"/>
              <w:ind w:left="244"/>
              <w:spacing w:after="0"/>
              <w:rPr>
                <w:sz w:val="20"/>
                <w:szCs w:val="20"/>
                <w:color w:val="auto"/>
              </w:rPr>
            </w:pPr>
            <w:r>
              <w:rPr>
                <w:rFonts w:ascii="Arial" w:cs="Arial" w:eastAsia="Arial" w:hAnsi="Arial"/>
                <w:sz w:val="14"/>
                <w:szCs w:val="14"/>
                <w:b w:val="1"/>
                <w:bCs w:val="1"/>
                <w:color w:val="auto"/>
                <w:w w:val="96"/>
              </w:rPr>
              <w:t>Stock Purchased</w:t>
            </w:r>
          </w:p>
        </w:tc>
        <w:tc>
          <w:tcPr>
            <w:tcW w:w="3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left="21"/>
              <w:spacing w:after="0"/>
              <w:rPr>
                <w:sz w:val="20"/>
                <w:szCs w:val="20"/>
                <w:color w:val="auto"/>
              </w:rPr>
            </w:pPr>
            <w:r>
              <w:rPr>
                <w:rFonts w:ascii="Arial" w:cs="Arial" w:eastAsia="Arial" w:hAnsi="Arial"/>
                <w:sz w:val="14"/>
                <w:szCs w:val="14"/>
                <w:b w:val="1"/>
                <w:bCs w:val="1"/>
                <w:color w:val="auto"/>
                <w:w w:val="95"/>
              </w:rPr>
              <w:t>per Common Share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Plans or Programs</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May Yet be Purchased</w:t>
            </w:r>
          </w:p>
        </w:tc>
        <w:tc>
          <w:tcPr>
            <w:tcW w:w="0" w:type="dxa"/>
            <w:vAlign w:val="bottom"/>
          </w:tcPr>
          <w:p>
            <w:pPr>
              <w:spacing w:after="0"/>
              <w:rPr>
                <w:sz w:val="1"/>
                <w:szCs w:val="1"/>
                <w:color w:val="auto"/>
              </w:rPr>
            </w:pPr>
          </w:p>
        </w:tc>
      </w:tr>
      <w:tr>
        <w:trPr>
          <w:trHeight w:val="222"/>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July 1, 2022 – July 31, 2022</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1,346</w:t>
            </w: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w:t>
            </w:r>
          </w:p>
        </w:tc>
        <w:tc>
          <w:tcPr>
            <w:tcW w:w="500" w:type="dxa"/>
            <w:vAlign w:val="bottom"/>
            <w:shd w:val="clear" w:color="auto" w:fill="CCEEFF"/>
          </w:tcPr>
          <w:p>
            <w:pPr>
              <w:jc w:val="right"/>
              <w:ind w:right="181"/>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27.10</w:t>
            </w:r>
          </w:p>
        </w:tc>
        <w:tc>
          <w:tcPr>
            <w:tcW w:w="1740" w:type="dxa"/>
            <w:vAlign w:val="bottom"/>
            <w:shd w:val="clear" w:color="auto" w:fill="CCEEFF"/>
          </w:tcPr>
          <w:p>
            <w:pPr>
              <w:ind w:left="1360"/>
              <w:spacing w:after="0"/>
              <w:rPr>
                <w:sz w:val="20"/>
                <w:szCs w:val="20"/>
                <w:color w:val="auto"/>
              </w:rPr>
            </w:pPr>
            <w:r>
              <w:rPr>
                <w:rFonts w:ascii="Arial" w:cs="Arial" w:eastAsia="Arial" w:hAnsi="Arial"/>
                <w:sz w:val="17"/>
                <w:szCs w:val="17"/>
                <w:color w:val="auto"/>
              </w:rPr>
              <w:t>N/A</w:t>
            </w:r>
          </w:p>
        </w:tc>
        <w:tc>
          <w:tcPr>
            <w:tcW w:w="1620" w:type="dxa"/>
            <w:vAlign w:val="bottom"/>
            <w:shd w:val="clear" w:color="auto" w:fill="CCEEFF"/>
          </w:tcPr>
          <w:p>
            <w:pPr>
              <w:ind w:left="132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26"/>
        </w:trPr>
        <w:tc>
          <w:tcPr>
            <w:tcW w:w="3960" w:type="dxa"/>
            <w:vAlign w:val="bottom"/>
            <w:gridSpan w:val="2"/>
          </w:tcPr>
          <w:p>
            <w:pPr>
              <w:ind w:left="20"/>
              <w:spacing w:after="0"/>
              <w:rPr>
                <w:sz w:val="20"/>
                <w:szCs w:val="20"/>
                <w:color w:val="auto"/>
              </w:rPr>
            </w:pPr>
            <w:r>
              <w:rPr>
                <w:rFonts w:ascii="Arial" w:cs="Arial" w:eastAsia="Arial" w:hAnsi="Arial"/>
                <w:sz w:val="17"/>
                <w:szCs w:val="17"/>
                <w:color w:val="auto"/>
              </w:rPr>
              <w:t>August 1, 2022 – August 31, 2022</w:t>
            </w:r>
          </w:p>
        </w:tc>
        <w:tc>
          <w:tcPr>
            <w:tcW w:w="1660" w:type="dxa"/>
            <w:vAlign w:val="bottom"/>
          </w:tcPr>
          <w:p>
            <w:pPr>
              <w:jc w:val="right"/>
              <w:spacing w:after="0"/>
              <w:rPr>
                <w:sz w:val="20"/>
                <w:szCs w:val="20"/>
                <w:color w:val="auto"/>
              </w:rPr>
            </w:pPr>
            <w:r>
              <w:rPr>
                <w:rFonts w:ascii="Arial" w:cs="Arial" w:eastAsia="Arial" w:hAnsi="Arial"/>
                <w:sz w:val="17"/>
                <w:szCs w:val="17"/>
                <w:color w:val="auto"/>
              </w:rPr>
              <w:t>873</w:t>
            </w: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(2)</w:t>
            </w:r>
          </w:p>
        </w:tc>
        <w:tc>
          <w:tcPr>
            <w:tcW w:w="500" w:type="dxa"/>
            <w:vAlign w:val="bottom"/>
          </w:tcPr>
          <w:p>
            <w:pPr>
              <w:jc w:val="right"/>
              <w:ind w:right="181"/>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0.01</w:t>
            </w:r>
          </w:p>
        </w:tc>
        <w:tc>
          <w:tcPr>
            <w:tcW w:w="1740" w:type="dxa"/>
            <w:vAlign w:val="bottom"/>
          </w:tcPr>
          <w:p>
            <w:pPr>
              <w:ind w:left="1360"/>
              <w:spacing w:after="0"/>
              <w:rPr>
                <w:sz w:val="20"/>
                <w:szCs w:val="20"/>
                <w:color w:val="auto"/>
              </w:rPr>
            </w:pPr>
            <w:r>
              <w:rPr>
                <w:rFonts w:ascii="Arial" w:cs="Arial" w:eastAsia="Arial" w:hAnsi="Arial"/>
                <w:sz w:val="17"/>
                <w:szCs w:val="17"/>
                <w:color w:val="auto"/>
              </w:rPr>
              <w:t>N/A</w:t>
            </w:r>
          </w:p>
        </w:tc>
        <w:tc>
          <w:tcPr>
            <w:tcW w:w="1620" w:type="dxa"/>
            <w:vAlign w:val="bottom"/>
          </w:tcPr>
          <w:p>
            <w:pPr>
              <w:ind w:left="132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28"/>
        </w:trPr>
        <w:tc>
          <w:tcPr>
            <w:tcW w:w="39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September 1, 2022 – September 30,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4,731</w:t>
            </w:r>
          </w:p>
        </w:tc>
        <w:tc>
          <w:tcPr>
            <w:tcW w:w="3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w:t>
            </w:r>
          </w:p>
        </w:tc>
        <w:tc>
          <w:tcPr>
            <w:tcW w:w="5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82.87</w:t>
            </w:r>
          </w:p>
        </w:tc>
        <w:tc>
          <w:tcPr>
            <w:tcW w:w="174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7"/>
                <w:szCs w:val="17"/>
                <w:color w:val="auto"/>
              </w:rPr>
              <w:t>N/A</w:t>
            </w:r>
          </w:p>
        </w:tc>
        <w:tc>
          <w:tcPr>
            <w:tcW w:w="162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18"/>
        </w:trPr>
        <w:tc>
          <w:tcPr>
            <w:tcW w:w="620" w:type="dxa"/>
            <w:vAlign w:val="bottom"/>
          </w:tcPr>
          <w:p>
            <w:pPr>
              <w:ind w:left="20"/>
              <w:spacing w:after="0"/>
              <w:rPr>
                <w:sz w:val="20"/>
                <w:szCs w:val="20"/>
                <w:color w:val="auto"/>
              </w:rPr>
            </w:pPr>
            <w:r>
              <w:rPr>
                <w:rFonts w:ascii="Arial" w:cs="Arial" w:eastAsia="Arial" w:hAnsi="Arial"/>
                <w:sz w:val="17"/>
                <w:szCs w:val="17"/>
                <w:color w:val="auto"/>
              </w:rPr>
              <w:t>Total</w:t>
            </w:r>
          </w:p>
        </w:tc>
        <w:tc>
          <w:tcPr>
            <w:tcW w:w="3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6,950</w:t>
            </w:r>
          </w:p>
        </w:tc>
        <w:tc>
          <w:tcPr>
            <w:tcW w:w="380" w:type="dxa"/>
            <w:vAlign w:val="bottom"/>
          </w:tcPr>
          <w:p>
            <w:pPr>
              <w:spacing w:after="0"/>
              <w:rPr>
                <w:sz w:val="18"/>
                <w:szCs w:val="18"/>
                <w:color w:val="auto"/>
              </w:rPr>
            </w:pPr>
          </w:p>
        </w:tc>
        <w:tc>
          <w:tcPr>
            <w:tcW w:w="500" w:type="dxa"/>
            <w:vAlign w:val="bottom"/>
          </w:tcPr>
          <w:p>
            <w:pPr>
              <w:jc w:val="right"/>
              <w:ind w:right="181"/>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61.66</w:t>
            </w:r>
          </w:p>
        </w:tc>
        <w:tc>
          <w:tcPr>
            <w:tcW w:w="1740" w:type="dxa"/>
            <w:vAlign w:val="bottom"/>
          </w:tcPr>
          <w:p>
            <w:pPr>
              <w:ind w:left="1360"/>
              <w:spacing w:after="0"/>
              <w:rPr>
                <w:sz w:val="20"/>
                <w:szCs w:val="20"/>
                <w:color w:val="auto"/>
              </w:rPr>
            </w:pPr>
            <w:r>
              <w:rPr>
                <w:rFonts w:ascii="Arial" w:cs="Arial" w:eastAsia="Arial" w:hAnsi="Arial"/>
                <w:sz w:val="17"/>
                <w:szCs w:val="17"/>
                <w:color w:val="auto"/>
              </w:rPr>
              <w:t>N/A</w:t>
            </w:r>
          </w:p>
        </w:tc>
        <w:tc>
          <w:tcPr>
            <w:tcW w:w="1620" w:type="dxa"/>
            <w:vAlign w:val="bottom"/>
          </w:tcPr>
          <w:p>
            <w:pPr>
              <w:ind w:left="132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___________</w:t>
      </w:r>
    </w:p>
    <w:p>
      <w:pPr>
        <w:spacing w:after="0" w:line="24" w:lineRule="exact"/>
        <w:rPr>
          <w:sz w:val="20"/>
          <w:szCs w:val="20"/>
          <w:color w:val="auto"/>
        </w:rPr>
      </w:pPr>
    </w:p>
    <w:p>
      <w:pPr>
        <w:jc w:val="both"/>
        <w:ind w:left="620" w:right="100" w:hanging="314"/>
        <w:spacing w:after="0" w:line="274" w:lineRule="auto"/>
        <w:tabs>
          <w:tab w:leader="none" w:pos="611"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Includes 937 shares of restricted common stock of BXP repurchased in connection with the termination of a certain employee’s employment with BXP. Under the terms of the applicable restricted stock award agreements, the shares were repurchased by BXP at a price of $0.01 per share, which was the amount originally paid by such employee for such shares. Also includes 409 shares of BXP common stock surrendered by an employee to BXP to satisfy such employee’s tax withholding obligations in connection with the vesting of restricted common stock.</w:t>
      </w:r>
    </w:p>
    <w:p>
      <w:pPr>
        <w:spacing w:after="0" w:line="70" w:lineRule="exact"/>
        <w:rPr>
          <w:rFonts w:ascii="Arial" w:cs="Arial" w:eastAsia="Arial" w:hAnsi="Arial"/>
          <w:sz w:val="16"/>
          <w:szCs w:val="16"/>
          <w:color w:val="auto"/>
        </w:rPr>
      </w:pPr>
    </w:p>
    <w:p>
      <w:pPr>
        <w:ind w:left="620" w:right="160" w:hanging="314"/>
        <w:spacing w:after="0" w:line="266" w:lineRule="auto"/>
        <w:tabs>
          <w:tab w:leader="none" w:pos="611"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Represents shares of restricted common stock of BXP repurchased in connection with the termination of a certain employee’s employment with BXP. Under the terms of the applicable restricted stock award agreements, the shares were repurchased by BXP at a price of $0.01 per share, which was the amount originally paid by such employee for such shares.</w:t>
      </w:r>
    </w:p>
    <w:p>
      <w:pPr>
        <w:spacing w:after="0" w:line="73" w:lineRule="exact"/>
        <w:rPr>
          <w:rFonts w:ascii="Arial" w:cs="Arial" w:eastAsia="Arial" w:hAnsi="Arial"/>
          <w:sz w:val="17"/>
          <w:szCs w:val="17"/>
          <w:color w:val="auto"/>
        </w:rPr>
      </w:pPr>
    </w:p>
    <w:p>
      <w:pPr>
        <w:ind w:left="620" w:right="520" w:hanging="314"/>
        <w:spacing w:after="0" w:line="283" w:lineRule="auto"/>
        <w:tabs>
          <w:tab w:leader="none" w:pos="611"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Represents shares of BXP common stock surrendered by an employee to BXP to satisfy such employee’s tax withholding obligations in connection with the vesting of restricted common stock.</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Boston Properties Limited Partnership</w:t>
      </w:r>
    </w:p>
    <w:p>
      <w:pPr>
        <w:spacing w:after="0" w:line="122" w:lineRule="exact"/>
        <w:rPr>
          <w:sz w:val="20"/>
          <w:szCs w:val="20"/>
          <w:color w:val="auto"/>
        </w:rPr>
      </w:pPr>
    </w:p>
    <w:p>
      <w:pPr>
        <w:ind w:left="920" w:hanging="462"/>
        <w:spacing w:after="0" w:line="254" w:lineRule="auto"/>
        <w:tabs>
          <w:tab w:leader="none" w:pos="911" w:val="left"/>
        </w:tabs>
        <w:numPr>
          <w:ilvl w:val="0"/>
          <w:numId w:val="74"/>
        </w:numPr>
        <w:rPr>
          <w:rFonts w:ascii="Arial" w:cs="Arial" w:eastAsia="Arial" w:hAnsi="Arial"/>
          <w:sz w:val="17"/>
          <w:szCs w:val="17"/>
          <w:color w:val="auto"/>
        </w:rPr>
      </w:pPr>
      <w:r>
        <w:rPr>
          <w:rFonts w:ascii="Arial" w:cs="Arial" w:eastAsia="Arial" w:hAnsi="Arial"/>
          <w:sz w:val="17"/>
          <w:szCs w:val="17"/>
          <w:color w:val="auto"/>
        </w:rPr>
        <w:t>Each time BXP issues shares of common stock (other than in exchange for common units when such common units are presented for redemption), it contributes the proceeds of such issuance to BPLP in return for an equivalent number of partnership units with rights and preferences analogous to the shares issued. During the three months ended September 30, 2022, in connection with issuances of c issuances of restricted common stock to employees under the Boston Properties, Inc. 2021 Stock Incentive Plan and purchases of common stock under the Boston Properties, Inc. 1999 Employee Stock Purchase Plan, BPLP issued an aggregate of 8,754 common units to BXP in exchange for approximately $0.37 million, the aggregate proceeds of such common stock issuances to BXP. Such units were issued in reliance on an exemption from registration under Section 4(a)(2) of the Securities Act of 1933, as amended.</w:t>
      </w:r>
    </w:p>
    <w:p>
      <w:pPr>
        <w:spacing w:after="0" w:line="100" w:lineRule="exact"/>
        <w:rPr>
          <w:rFonts w:ascii="Arial" w:cs="Arial" w:eastAsia="Arial" w:hAnsi="Arial"/>
          <w:sz w:val="17"/>
          <w:szCs w:val="17"/>
          <w:color w:val="auto"/>
        </w:rPr>
      </w:pPr>
    </w:p>
    <w:p>
      <w:pPr>
        <w:ind w:left="900" w:hanging="442"/>
        <w:spacing w:after="0"/>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21" w:lineRule="exact"/>
        <w:rPr>
          <w:rFonts w:ascii="Arial" w:cs="Arial" w:eastAsia="Arial" w:hAnsi="Arial"/>
          <w:sz w:val="17"/>
          <w:szCs w:val="17"/>
          <w:color w:val="auto"/>
        </w:rPr>
      </w:pPr>
    </w:p>
    <w:p>
      <w:pPr>
        <w:ind w:left="900" w:hanging="442"/>
        <w:spacing w:after="0"/>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Issuer Purchases of Equity Securities.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jc w:val="center"/>
              <w:ind w:right="5"/>
              <w:spacing w:after="0"/>
              <w:rPr>
                <w:sz w:val="20"/>
                <w:szCs w:val="20"/>
                <w:color w:val="auto"/>
              </w:rPr>
            </w:pPr>
            <w:r>
              <w:rPr>
                <w:rFonts w:ascii="Arial" w:cs="Arial" w:eastAsia="Arial" w:hAnsi="Arial"/>
                <w:sz w:val="14"/>
                <w:szCs w:val="14"/>
                <w:b w:val="1"/>
                <w:bCs w:val="1"/>
                <w:color w:val="auto"/>
              </w:rPr>
              <w:t>(c)</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880" w:type="dxa"/>
            <w:vAlign w:val="bottom"/>
            <w:vMerge w:val="restart"/>
          </w:tcPr>
          <w:p>
            <w:pPr>
              <w:jc w:val="center"/>
              <w:ind w:left="383"/>
              <w:spacing w:after="0"/>
              <w:rPr>
                <w:sz w:val="20"/>
                <w:szCs w:val="20"/>
                <w:color w:val="auto"/>
              </w:rPr>
            </w:pPr>
            <w:r>
              <w:rPr>
                <w:rFonts w:ascii="Arial" w:cs="Arial" w:eastAsia="Arial" w:hAnsi="Arial"/>
                <w:sz w:val="14"/>
                <w:szCs w:val="14"/>
                <w:b w:val="1"/>
                <w:bCs w:val="1"/>
                <w:color w:val="auto"/>
              </w:rPr>
              <w:t>(a)</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center"/>
              <w:ind w:right="261"/>
              <w:spacing w:after="0"/>
              <w:rPr>
                <w:sz w:val="20"/>
                <w:szCs w:val="20"/>
                <w:color w:val="auto"/>
              </w:rPr>
            </w:pPr>
            <w:r>
              <w:rPr>
                <w:rFonts w:ascii="Arial" w:cs="Arial" w:eastAsia="Arial" w:hAnsi="Arial"/>
                <w:sz w:val="14"/>
                <w:szCs w:val="14"/>
                <w:b w:val="1"/>
                <w:bCs w:val="1"/>
                <w:color w:val="auto"/>
                <w:w w:val="89"/>
              </w:rPr>
              <w:t>(b)</w:t>
            </w:r>
          </w:p>
        </w:tc>
        <w:tc>
          <w:tcPr>
            <w:tcW w:w="16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7"/>
              </w:rPr>
              <w:t>Total Number of Units</w:t>
            </w:r>
          </w:p>
        </w:tc>
        <w:tc>
          <w:tcPr>
            <w:tcW w:w="164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5"/>
              </w:rPr>
              <w:t>Maximum Number (or</w:t>
            </w: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66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6"/>
              </w:rPr>
              <w:t>Purchased as Part of</w:t>
            </w:r>
          </w:p>
        </w:tc>
        <w:tc>
          <w:tcPr>
            <w:tcW w:w="164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7"/>
              </w:rPr>
              <w:t>Approximate Dollar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84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Period</w:t>
            </w:r>
          </w:p>
        </w:tc>
        <w:tc>
          <w:tcPr>
            <w:tcW w:w="1880" w:type="dxa"/>
            <w:vAlign w:val="bottom"/>
          </w:tcPr>
          <w:p>
            <w:pPr>
              <w:jc w:val="center"/>
              <w:ind w:left="423"/>
              <w:spacing w:after="0" w:line="140" w:lineRule="exact"/>
              <w:rPr>
                <w:sz w:val="20"/>
                <w:szCs w:val="20"/>
                <w:color w:val="auto"/>
              </w:rPr>
            </w:pPr>
            <w:r>
              <w:rPr>
                <w:rFonts w:ascii="Arial" w:cs="Arial" w:eastAsia="Arial" w:hAnsi="Arial"/>
                <w:sz w:val="14"/>
                <w:szCs w:val="14"/>
                <w:b w:val="1"/>
                <w:bCs w:val="1"/>
                <w:color w:val="auto"/>
                <w:w w:val="94"/>
              </w:rPr>
              <w:t>Total Number of</w:t>
            </w:r>
          </w:p>
        </w:tc>
        <w:tc>
          <w:tcPr>
            <w:tcW w:w="580" w:type="dxa"/>
            <w:vAlign w:val="bottom"/>
          </w:tcPr>
          <w:p>
            <w:pPr>
              <w:spacing w:after="0"/>
              <w:rPr>
                <w:sz w:val="12"/>
                <w:szCs w:val="12"/>
                <w:color w:val="auto"/>
              </w:rPr>
            </w:pPr>
          </w:p>
        </w:tc>
        <w:tc>
          <w:tcPr>
            <w:tcW w:w="152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w w:val="97"/>
              </w:rPr>
              <w:t>Average Price Paid</w:t>
            </w:r>
          </w:p>
        </w:tc>
        <w:tc>
          <w:tcPr>
            <w:tcW w:w="16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6"/>
              </w:rPr>
              <w:t>Publicly Announced</w:t>
            </w:r>
          </w:p>
        </w:tc>
        <w:tc>
          <w:tcPr>
            <w:tcW w:w="16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7"/>
              </w:rPr>
              <w:t>Value) of Units that May</w:t>
            </w: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3840" w:type="dxa"/>
            <w:vAlign w:val="bottom"/>
            <w:tcBorders>
              <w:bottom w:val="single" w:sz="8" w:color="auto"/>
            </w:tcBorders>
            <w:vMerge w:val="continue"/>
          </w:tcPr>
          <w:p>
            <w:pPr>
              <w:spacing w:after="0"/>
              <w:rPr>
                <w:sz w:val="15"/>
                <w:szCs w:val="15"/>
                <w:color w:val="auto"/>
              </w:rPr>
            </w:pPr>
          </w:p>
        </w:tc>
        <w:tc>
          <w:tcPr>
            <w:tcW w:w="1880" w:type="dxa"/>
            <w:vAlign w:val="bottom"/>
            <w:tcBorders>
              <w:bottom w:val="single" w:sz="8" w:color="auto"/>
            </w:tcBorders>
          </w:tcPr>
          <w:p>
            <w:pPr>
              <w:jc w:val="center"/>
              <w:ind w:left="423"/>
              <w:spacing w:after="0"/>
              <w:rPr>
                <w:sz w:val="20"/>
                <w:szCs w:val="20"/>
                <w:color w:val="auto"/>
              </w:rPr>
            </w:pPr>
            <w:r>
              <w:rPr>
                <w:rFonts w:ascii="Arial" w:cs="Arial" w:eastAsia="Arial" w:hAnsi="Arial"/>
                <w:sz w:val="14"/>
                <w:szCs w:val="14"/>
                <w:b w:val="1"/>
                <w:bCs w:val="1"/>
                <w:color w:val="auto"/>
                <w:w w:val="95"/>
              </w:rPr>
              <w:t>Units Purchased</w:t>
            </w:r>
          </w:p>
        </w:tc>
        <w:tc>
          <w:tcPr>
            <w:tcW w:w="5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8"/>
              </w:rPr>
              <w:t>per Unit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Plans or Programs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Yet be Purchased</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July 1, 2022 – July 31, 2022</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3,001</w:t>
            </w:r>
          </w:p>
        </w:tc>
        <w:tc>
          <w:tcPr>
            <w:tcW w:w="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(1)(3)</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12.29</w:t>
            </w:r>
          </w:p>
        </w:tc>
        <w:tc>
          <w:tcPr>
            <w:tcW w:w="1660" w:type="dxa"/>
            <w:vAlign w:val="bottom"/>
            <w:shd w:val="clear" w:color="auto" w:fill="CCEEFF"/>
          </w:tcPr>
          <w:p>
            <w:pPr>
              <w:ind w:left="1340"/>
              <w:spacing w:after="0"/>
              <w:rPr>
                <w:sz w:val="20"/>
                <w:szCs w:val="20"/>
                <w:color w:val="auto"/>
              </w:rPr>
            </w:pPr>
            <w:r>
              <w:rPr>
                <w:rFonts w:ascii="Arial" w:cs="Arial" w:eastAsia="Arial" w:hAnsi="Arial"/>
                <w:sz w:val="17"/>
                <w:szCs w:val="17"/>
                <w:color w:val="auto"/>
              </w:rPr>
              <w:t>N/A</w:t>
            </w:r>
          </w:p>
        </w:tc>
        <w:tc>
          <w:tcPr>
            <w:tcW w:w="1640" w:type="dxa"/>
            <w:vAlign w:val="bottom"/>
            <w:shd w:val="clear" w:color="auto" w:fill="CCEEFF"/>
          </w:tcPr>
          <w:p>
            <w:pPr>
              <w:ind w:left="134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August 1, 2022 – August 31, 2022</w:t>
            </w:r>
          </w:p>
        </w:tc>
        <w:tc>
          <w:tcPr>
            <w:tcW w:w="1880" w:type="dxa"/>
            <w:vAlign w:val="bottom"/>
          </w:tcPr>
          <w:p>
            <w:pPr>
              <w:jc w:val="right"/>
              <w:spacing w:after="0"/>
              <w:rPr>
                <w:sz w:val="20"/>
                <w:szCs w:val="20"/>
                <w:color w:val="auto"/>
              </w:rPr>
            </w:pPr>
            <w:r>
              <w:rPr>
                <w:rFonts w:ascii="Arial" w:cs="Arial" w:eastAsia="Arial" w:hAnsi="Arial"/>
                <w:sz w:val="17"/>
                <w:szCs w:val="17"/>
                <w:color w:val="auto"/>
              </w:rPr>
              <w:t>1,175</w:t>
            </w:r>
          </w:p>
        </w:tc>
        <w:tc>
          <w:tcPr>
            <w:tcW w:w="580" w:type="dxa"/>
            <w:vAlign w:val="bottom"/>
          </w:tcPr>
          <w:p>
            <w:pPr>
              <w:ind w:left="40"/>
              <w:spacing w:after="0"/>
              <w:rPr>
                <w:sz w:val="20"/>
                <w:szCs w:val="20"/>
                <w:color w:val="auto"/>
              </w:rPr>
            </w:pPr>
            <w:r>
              <w:rPr>
                <w:rFonts w:ascii="Arial" w:cs="Arial" w:eastAsia="Arial" w:hAnsi="Arial"/>
                <w:sz w:val="17"/>
                <w:szCs w:val="17"/>
                <w:color w:val="auto"/>
              </w:rPr>
              <w:t>(2)(3)</w:t>
            </w:r>
          </w:p>
        </w:tc>
        <w:tc>
          <w:tcPr>
            <w:tcW w:w="380" w:type="dxa"/>
            <w:vAlign w:val="bottom"/>
          </w:tcPr>
          <w:p>
            <w:pPr>
              <w:jc w:val="right"/>
              <w:ind w:right="79"/>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1"/>
              <w:spacing w:after="0"/>
              <w:rPr>
                <w:sz w:val="20"/>
                <w:szCs w:val="20"/>
                <w:color w:val="auto"/>
              </w:rPr>
            </w:pPr>
            <w:r>
              <w:rPr>
                <w:rFonts w:ascii="Arial" w:cs="Arial" w:eastAsia="Arial" w:hAnsi="Arial"/>
                <w:sz w:val="17"/>
                <w:szCs w:val="17"/>
                <w:color w:val="auto"/>
              </w:rPr>
              <w:t>0.07</w:t>
            </w:r>
          </w:p>
        </w:tc>
        <w:tc>
          <w:tcPr>
            <w:tcW w:w="1660" w:type="dxa"/>
            <w:vAlign w:val="bottom"/>
          </w:tcPr>
          <w:p>
            <w:pPr>
              <w:ind w:left="1340"/>
              <w:spacing w:after="0"/>
              <w:rPr>
                <w:sz w:val="20"/>
                <w:szCs w:val="20"/>
                <w:color w:val="auto"/>
              </w:rPr>
            </w:pPr>
            <w:r>
              <w:rPr>
                <w:rFonts w:ascii="Arial" w:cs="Arial" w:eastAsia="Arial" w:hAnsi="Arial"/>
                <w:sz w:val="17"/>
                <w:szCs w:val="17"/>
                <w:color w:val="auto"/>
              </w:rPr>
              <w:t>N/A</w:t>
            </w:r>
          </w:p>
        </w:tc>
        <w:tc>
          <w:tcPr>
            <w:tcW w:w="1640" w:type="dxa"/>
            <w:vAlign w:val="bottom"/>
          </w:tcPr>
          <w:p>
            <w:pPr>
              <w:ind w:left="134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September 1, 2022 – September 30, 2022</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4,731</w:t>
            </w:r>
          </w:p>
        </w:tc>
        <w:tc>
          <w:tcPr>
            <w:tcW w:w="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(4)</w:t>
            </w:r>
          </w:p>
        </w:tc>
        <w:tc>
          <w:tcPr>
            <w:tcW w:w="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82.87</w:t>
            </w:r>
          </w:p>
        </w:tc>
        <w:tc>
          <w:tcPr>
            <w:tcW w:w="166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7"/>
                <w:szCs w:val="17"/>
                <w:color w:val="auto"/>
              </w:rPr>
              <w:t>N/A</w:t>
            </w:r>
          </w:p>
        </w:tc>
        <w:tc>
          <w:tcPr>
            <w:tcW w:w="164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Total</w:t>
            </w:r>
          </w:p>
        </w:tc>
        <w:tc>
          <w:tcPr>
            <w:tcW w:w="1880" w:type="dxa"/>
            <w:vAlign w:val="bottom"/>
          </w:tcPr>
          <w:p>
            <w:pPr>
              <w:jc w:val="right"/>
              <w:spacing w:after="0"/>
              <w:rPr>
                <w:sz w:val="20"/>
                <w:szCs w:val="20"/>
                <w:color w:val="auto"/>
              </w:rPr>
            </w:pPr>
            <w:r>
              <w:rPr>
                <w:rFonts w:ascii="Arial" w:cs="Arial" w:eastAsia="Arial" w:hAnsi="Arial"/>
                <w:sz w:val="17"/>
                <w:szCs w:val="17"/>
                <w:color w:val="auto"/>
              </w:rPr>
              <w:t>8,907</w:t>
            </w:r>
          </w:p>
        </w:tc>
        <w:tc>
          <w:tcPr>
            <w:tcW w:w="580" w:type="dxa"/>
            <w:vAlign w:val="bottom"/>
          </w:tcPr>
          <w:p>
            <w:pPr>
              <w:spacing w:after="0"/>
              <w:rPr>
                <w:sz w:val="19"/>
                <w:szCs w:val="19"/>
                <w:color w:val="auto"/>
              </w:rPr>
            </w:pPr>
          </w:p>
        </w:tc>
        <w:tc>
          <w:tcPr>
            <w:tcW w:w="380" w:type="dxa"/>
            <w:vAlign w:val="bottom"/>
          </w:tcPr>
          <w:p>
            <w:pPr>
              <w:jc w:val="right"/>
              <w:ind w:right="79"/>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1"/>
              <w:spacing w:after="0"/>
              <w:rPr>
                <w:sz w:val="20"/>
                <w:szCs w:val="20"/>
                <w:color w:val="auto"/>
              </w:rPr>
            </w:pPr>
            <w:r>
              <w:rPr>
                <w:rFonts w:ascii="Arial" w:cs="Arial" w:eastAsia="Arial" w:hAnsi="Arial"/>
                <w:sz w:val="17"/>
                <w:szCs w:val="17"/>
                <w:color w:val="auto"/>
              </w:rPr>
              <w:t>48.17</w:t>
            </w:r>
          </w:p>
        </w:tc>
        <w:tc>
          <w:tcPr>
            <w:tcW w:w="1660" w:type="dxa"/>
            <w:vAlign w:val="bottom"/>
          </w:tcPr>
          <w:p>
            <w:pPr>
              <w:ind w:left="1340"/>
              <w:spacing w:after="0"/>
              <w:rPr>
                <w:sz w:val="20"/>
                <w:szCs w:val="20"/>
                <w:color w:val="auto"/>
              </w:rPr>
            </w:pPr>
            <w:r>
              <w:rPr>
                <w:rFonts w:ascii="Arial" w:cs="Arial" w:eastAsia="Arial" w:hAnsi="Arial"/>
                <w:sz w:val="17"/>
                <w:szCs w:val="17"/>
                <w:color w:val="auto"/>
              </w:rPr>
              <w:t>N/A</w:t>
            </w:r>
          </w:p>
        </w:tc>
        <w:tc>
          <w:tcPr>
            <w:tcW w:w="1640" w:type="dxa"/>
            <w:vAlign w:val="bottom"/>
          </w:tcPr>
          <w:p>
            <w:pPr>
              <w:ind w:left="134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75"/>
        </w:trPr>
        <w:tc>
          <w:tcPr>
            <w:tcW w:w="3900" w:type="dxa"/>
            <w:vAlign w:val="bottom"/>
            <w:gridSpan w:val="2"/>
          </w:tcPr>
          <w:p>
            <w:pPr>
              <w:jc w:val="right"/>
              <w:ind w:right="2779"/>
              <w:spacing w:after="0"/>
              <w:rPr>
                <w:sz w:val="20"/>
                <w:szCs w:val="20"/>
                <w:color w:val="auto"/>
              </w:rPr>
            </w:pPr>
            <w:r>
              <w:rPr>
                <w:rFonts w:ascii="Arial" w:cs="Arial" w:eastAsia="Arial" w:hAnsi="Arial"/>
                <w:sz w:val="17"/>
                <w:szCs w:val="17"/>
                <w:color w:val="auto"/>
                <w:w w:val="98"/>
              </w:rPr>
              <w:t>___________</w:t>
            </w:r>
          </w:p>
        </w:tc>
        <w:tc>
          <w:tcPr>
            <w:tcW w:w="1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20" w:right="20" w:hanging="314"/>
        <w:spacing w:after="0" w:line="252" w:lineRule="auto"/>
        <w:tabs>
          <w:tab w:leader="none" w:pos="611"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Includes 937 common units previously held by BXP that were redeemed in connection with the repurchase of shares of restricted common stock of BXP in connection with the termination of an employee’s employment with BXP and 1,655 LTIP units that were repurchased by BPLP in connection with the termination of certain employees’ employment with BXP. Also includes 409 common units previously held by BXP that were redeemed in connection with the surrender of shares of restricted common stock of BXP by an employee to BXP to satisfy such employee’s tax withholding obligations in connection with the vesting of restricted common stock.</w:t>
      </w:r>
    </w:p>
    <w:p>
      <w:pPr>
        <w:spacing w:after="0" w:line="100" w:lineRule="exact"/>
        <w:rPr>
          <w:rFonts w:ascii="Arial" w:cs="Arial" w:eastAsia="Arial" w:hAnsi="Arial"/>
          <w:sz w:val="17"/>
          <w:szCs w:val="17"/>
          <w:color w:val="auto"/>
        </w:rPr>
      </w:pPr>
    </w:p>
    <w:p>
      <w:pPr>
        <w:ind w:left="620" w:hanging="314"/>
        <w:spacing w:after="0" w:line="266" w:lineRule="auto"/>
        <w:tabs>
          <w:tab w:leader="none" w:pos="611"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Includes 873 common units previously held by BXP that were redeemed in connection with the repurchase of shares of restricted common stock of BXP in connection with the termination of an employee’s employment with BXP and 302 LTIP units that were repurchased by BPLP in connection with the termination of certain employees’ employment with BXP.</w:t>
      </w:r>
    </w:p>
    <w:p>
      <w:pPr>
        <w:spacing w:after="0" w:line="73" w:lineRule="exact"/>
        <w:rPr>
          <w:rFonts w:ascii="Arial" w:cs="Arial" w:eastAsia="Arial" w:hAnsi="Arial"/>
          <w:sz w:val="17"/>
          <w:szCs w:val="17"/>
          <w:color w:val="auto"/>
        </w:rPr>
      </w:pPr>
    </w:p>
    <w:p>
      <w:pPr>
        <w:ind w:left="620" w:right="320" w:hanging="314"/>
        <w:spacing w:after="0" w:line="266" w:lineRule="auto"/>
        <w:tabs>
          <w:tab w:leader="none" w:pos="611" w:val="left"/>
        </w:tabs>
        <w:numPr>
          <w:ilvl w:val="0"/>
          <w:numId w:val="75"/>
        </w:numPr>
        <w:rPr>
          <w:rFonts w:ascii="Arial" w:cs="Arial" w:eastAsia="Arial" w:hAnsi="Arial"/>
          <w:sz w:val="17"/>
          <w:szCs w:val="17"/>
          <w:color w:val="auto"/>
        </w:rPr>
      </w:pPr>
      <w:r>
        <w:rPr>
          <w:rFonts w:ascii="Arial" w:cs="Arial" w:eastAsia="Arial" w:hAnsi="Arial"/>
          <w:sz w:val="17"/>
          <w:szCs w:val="17"/>
          <w:color w:val="auto"/>
        </w:rPr>
        <w:t>Under the terms of the applicable restricted stock award agreements and LTIP unit vesting agreements, the shares were repurchased at a price of $0.01 per share and the LTIP units were repurchased at a price of $0.25 per unit, which were the amounts originally paid by the employees for the shares and units.</w:t>
      </w:r>
    </w:p>
    <w:p>
      <w:pPr>
        <w:spacing w:after="0" w:line="73" w:lineRule="exact"/>
        <w:rPr>
          <w:rFonts w:ascii="Arial" w:cs="Arial" w:eastAsia="Arial" w:hAnsi="Arial"/>
          <w:sz w:val="17"/>
          <w:szCs w:val="17"/>
          <w:color w:val="auto"/>
        </w:rPr>
      </w:pPr>
    </w:p>
    <w:p>
      <w:pPr>
        <w:ind w:left="620" w:right="60" w:hanging="314"/>
        <w:spacing w:after="0" w:line="266" w:lineRule="auto"/>
        <w:tabs>
          <w:tab w:leader="none" w:pos="611"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Represents common units previously held by BXP that were redeemed in connection with the surrender of shares of restricted common stock of BXP by an employee to BXP to satisfy such employee’s tax withholding obligations in connection with the vesting of restricted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3—Defaults Upon Senior Securities.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4—Mine Safety Disclosures.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5—Other Information.</w:t>
      </w:r>
    </w:p>
    <w:p>
      <w:pPr>
        <w:spacing w:after="0" w:line="84" w:lineRule="exact"/>
        <w:rPr>
          <w:sz w:val="20"/>
          <w:szCs w:val="20"/>
          <w:color w:val="auto"/>
        </w:rPr>
      </w:pPr>
    </w:p>
    <w:p>
      <w:pPr>
        <w:ind w:left="900" w:hanging="442"/>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None.</w:t>
      </w:r>
    </w:p>
    <w:p>
      <w:pPr>
        <w:spacing w:after="0" w:line="96" w:lineRule="exact"/>
        <w:rPr>
          <w:rFonts w:ascii="Arial" w:cs="Arial" w:eastAsia="Arial" w:hAnsi="Arial"/>
          <w:sz w:val="17"/>
          <w:szCs w:val="17"/>
          <w:color w:val="auto"/>
        </w:rPr>
      </w:pPr>
    </w:p>
    <w:p>
      <w:pPr>
        <w:ind w:left="900" w:hanging="442"/>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6—Exhibits.</w:t>
      </w:r>
    </w:p>
    <w:p>
      <w:pPr>
        <w:spacing w:after="0" w:line="84"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6"/>
          <w:szCs w:val="16"/>
          <w:color w:val="auto"/>
        </w:rPr>
        <w:t>Exhibits</w:t>
      </w:r>
    </w:p>
    <w:p>
      <w:pPr>
        <w:spacing w:after="0" w:line="135" w:lineRule="exact"/>
        <w:rPr>
          <w:sz w:val="20"/>
          <w:szCs w:val="20"/>
          <w:color w:val="auto"/>
        </w:rPr>
      </w:pPr>
    </w:p>
    <w:p>
      <w:pPr>
        <w:ind w:left="1340" w:hanging="659"/>
        <w:spacing w:after="0" w:line="238" w:lineRule="auto"/>
        <w:rPr>
          <w:sz w:val="20"/>
          <w:szCs w:val="20"/>
          <w:color w:val="auto"/>
        </w:rPr>
      </w:pPr>
      <w:r>
        <w:rPr>
          <w:rFonts w:ascii="Arial" w:cs="Arial" w:eastAsia="Arial" w:hAnsi="Arial"/>
          <w:sz w:val="17"/>
          <w:szCs w:val="17"/>
          <w:color w:val="auto"/>
        </w:rPr>
        <w:t xml:space="preserve">31.1 — </w:t>
      </w:r>
      <w:r>
        <w:rPr>
          <w:rFonts w:ascii="Arial" w:cs="Arial" w:eastAsia="Arial" w:hAnsi="Arial"/>
          <w:sz w:val="17"/>
          <w:szCs w:val="17"/>
          <w:u w:val="single" w:color="auto"/>
          <w:color w:val="0000FF"/>
        </w:rPr>
        <w:t>Certification of Chief Executive Officer pursuant to Section 302 of the Sarbanes-Oxley Act of 2002 for Boston Properties, Inc. (Filed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herewith.)</w:t>
      </w:r>
    </w:p>
    <w:p>
      <w:pPr>
        <w:spacing w:after="0" w:line="196" w:lineRule="exact"/>
        <w:rPr>
          <w:sz w:val="20"/>
          <w:szCs w:val="20"/>
          <w:color w:val="auto"/>
        </w:rPr>
      </w:pPr>
    </w:p>
    <w:p>
      <w:pPr>
        <w:ind w:left="1340" w:right="60" w:hanging="659"/>
        <w:spacing w:after="0" w:line="238" w:lineRule="auto"/>
        <w:rPr>
          <w:sz w:val="20"/>
          <w:szCs w:val="20"/>
          <w:color w:val="auto"/>
        </w:rPr>
      </w:pPr>
      <w:r>
        <w:rPr>
          <w:rFonts w:ascii="Arial" w:cs="Arial" w:eastAsia="Arial" w:hAnsi="Arial"/>
          <w:sz w:val="17"/>
          <w:szCs w:val="17"/>
          <w:color w:val="auto"/>
        </w:rPr>
        <w:t xml:space="preserve">31.2 — </w:t>
      </w:r>
      <w:r>
        <w:rPr>
          <w:rFonts w:ascii="Arial" w:cs="Arial" w:eastAsia="Arial" w:hAnsi="Arial"/>
          <w:sz w:val="17"/>
          <w:szCs w:val="17"/>
          <w:u w:val="single" w:color="auto"/>
          <w:color w:val="0000FF"/>
        </w:rPr>
        <w:t>Certification of Chief Financial Officer pursuant to Section 302 of the Sarbanes-Oxley Act of 2002 for Boston Properties, Inc. (Filed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herewith.)</w:t>
      </w:r>
    </w:p>
    <w:p>
      <w:pPr>
        <w:spacing w:after="0" w:line="196" w:lineRule="exact"/>
        <w:rPr>
          <w:sz w:val="20"/>
          <w:szCs w:val="20"/>
          <w:color w:val="auto"/>
        </w:rPr>
      </w:pPr>
    </w:p>
    <w:p>
      <w:pPr>
        <w:ind w:left="1340" w:right="240" w:hanging="659"/>
        <w:spacing w:after="0" w:line="238" w:lineRule="auto"/>
        <w:rPr>
          <w:sz w:val="20"/>
          <w:szCs w:val="20"/>
          <w:color w:val="auto"/>
        </w:rPr>
      </w:pPr>
      <w:r>
        <w:rPr>
          <w:rFonts w:ascii="Arial" w:cs="Arial" w:eastAsia="Arial" w:hAnsi="Arial"/>
          <w:sz w:val="17"/>
          <w:szCs w:val="17"/>
          <w:color w:val="auto"/>
        </w:rPr>
        <w:t xml:space="preserve">31.3 — </w:t>
      </w:r>
      <w:r>
        <w:rPr>
          <w:rFonts w:ascii="Arial" w:cs="Arial" w:eastAsia="Arial" w:hAnsi="Arial"/>
          <w:sz w:val="17"/>
          <w:szCs w:val="17"/>
          <w:u w:val="single" w:color="auto"/>
          <w:color w:val="0000FF"/>
        </w:rPr>
        <w:t>Certification of Chief Executive Officer pursuant to Section 302 of the Sarbanes-Oxley Act of 2002 for Boston Properties Limited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Partnership. (Filed herewith.)</w:t>
      </w:r>
    </w:p>
    <w:p>
      <w:pPr>
        <w:spacing w:after="0" w:line="196" w:lineRule="exact"/>
        <w:rPr>
          <w:sz w:val="20"/>
          <w:szCs w:val="20"/>
          <w:color w:val="auto"/>
        </w:rPr>
      </w:pPr>
    </w:p>
    <w:p>
      <w:pPr>
        <w:ind w:left="1340" w:right="300" w:hanging="659"/>
        <w:spacing w:after="0" w:line="238" w:lineRule="auto"/>
        <w:rPr>
          <w:sz w:val="20"/>
          <w:szCs w:val="20"/>
          <w:color w:val="auto"/>
        </w:rPr>
      </w:pPr>
      <w:r>
        <w:rPr>
          <w:rFonts w:ascii="Arial" w:cs="Arial" w:eastAsia="Arial" w:hAnsi="Arial"/>
          <w:sz w:val="17"/>
          <w:szCs w:val="17"/>
          <w:color w:val="auto"/>
        </w:rPr>
        <w:t xml:space="preserve">31.4 — </w:t>
      </w:r>
      <w:r>
        <w:rPr>
          <w:rFonts w:ascii="Arial" w:cs="Arial" w:eastAsia="Arial" w:hAnsi="Arial"/>
          <w:sz w:val="17"/>
          <w:szCs w:val="17"/>
          <w:u w:val="single" w:color="auto"/>
          <w:color w:val="0000FF"/>
        </w:rPr>
        <w:t>Certification of Chief Financial Officer pursuant to Section 302 of the Sarbanes-Oxley Act of 2002 for Boston Properties Limited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Partnership. (Filed herewith.)</w:t>
      </w:r>
    </w:p>
    <w:p>
      <w:pPr>
        <w:spacing w:after="0" w:line="196" w:lineRule="exact"/>
        <w:rPr>
          <w:sz w:val="20"/>
          <w:szCs w:val="20"/>
          <w:color w:val="auto"/>
        </w:rPr>
      </w:pPr>
    </w:p>
    <w:p>
      <w:pPr>
        <w:ind w:left="1340" w:right="480" w:hanging="659"/>
        <w:spacing w:after="0" w:line="238" w:lineRule="auto"/>
        <w:rPr>
          <w:sz w:val="20"/>
          <w:szCs w:val="20"/>
          <w:color w:val="auto"/>
        </w:rPr>
      </w:pPr>
      <w:r>
        <w:rPr>
          <w:rFonts w:ascii="Arial" w:cs="Arial" w:eastAsia="Arial" w:hAnsi="Arial"/>
          <w:sz w:val="17"/>
          <w:szCs w:val="17"/>
          <w:color w:val="auto"/>
        </w:rPr>
        <w:t xml:space="preserve">32.1 — </w:t>
      </w:r>
      <w:r>
        <w:rPr>
          <w:rFonts w:ascii="Arial" w:cs="Arial" w:eastAsia="Arial" w:hAnsi="Arial"/>
          <w:sz w:val="17"/>
          <w:szCs w:val="17"/>
          <w:u w:val="single" w:color="auto"/>
          <w:color w:val="0000FF"/>
        </w:rPr>
        <w:t>Certification of Chief Executive Officer pursuant to Section 906 of the Sarbanes Oxley Act of 2002 for Boston Properties, Inc.</w:t>
      </w:r>
      <w:r>
        <w:rPr>
          <w:rFonts w:ascii="Arial" w:cs="Arial" w:eastAsia="Arial" w:hAnsi="Arial"/>
          <w:sz w:val="17"/>
          <w:szCs w:val="17"/>
          <w:color w:val="auto"/>
        </w:rPr>
        <w:t xml:space="preserve"> </w:t>
      </w:r>
      <w:r>
        <w:rPr>
          <w:rFonts w:ascii="Arial" w:cs="Arial" w:eastAsia="Arial" w:hAnsi="Arial"/>
          <w:sz w:val="17"/>
          <w:szCs w:val="17"/>
          <w:u w:val="single" w:color="auto"/>
          <w:color w:val="0000FF"/>
        </w:rPr>
        <w:t>(Furnished herewith.)</w:t>
      </w:r>
    </w:p>
    <w:p>
      <w:pPr>
        <w:spacing w:after="0" w:line="196" w:lineRule="exact"/>
        <w:rPr>
          <w:sz w:val="20"/>
          <w:szCs w:val="20"/>
          <w:color w:val="auto"/>
        </w:rPr>
      </w:pPr>
    </w:p>
    <w:p>
      <w:pPr>
        <w:ind w:left="1340" w:right="540" w:hanging="659"/>
        <w:spacing w:after="0" w:line="238" w:lineRule="auto"/>
        <w:rPr>
          <w:sz w:val="20"/>
          <w:szCs w:val="20"/>
          <w:color w:val="auto"/>
        </w:rPr>
      </w:pPr>
      <w:r>
        <w:rPr>
          <w:rFonts w:ascii="Arial" w:cs="Arial" w:eastAsia="Arial" w:hAnsi="Arial"/>
          <w:sz w:val="17"/>
          <w:szCs w:val="17"/>
          <w:color w:val="auto"/>
        </w:rPr>
        <w:t xml:space="preserve">32.2 — </w:t>
      </w:r>
      <w:r>
        <w:rPr>
          <w:rFonts w:ascii="Arial" w:cs="Arial" w:eastAsia="Arial" w:hAnsi="Arial"/>
          <w:sz w:val="17"/>
          <w:szCs w:val="17"/>
          <w:u w:val="single" w:color="auto"/>
          <w:color w:val="0000FF"/>
        </w:rPr>
        <w:t>Certification of Chief Financial Officer pursuant to Section 906 of the Sarbanes Oxley Act of 2002 for Boston Properties, Inc.</w:t>
      </w:r>
      <w:r>
        <w:rPr>
          <w:rFonts w:ascii="Arial" w:cs="Arial" w:eastAsia="Arial" w:hAnsi="Arial"/>
          <w:sz w:val="17"/>
          <w:szCs w:val="17"/>
          <w:color w:val="auto"/>
        </w:rPr>
        <w:t xml:space="preserve"> </w:t>
      </w:r>
      <w:r>
        <w:rPr>
          <w:rFonts w:ascii="Arial" w:cs="Arial" w:eastAsia="Arial" w:hAnsi="Arial"/>
          <w:sz w:val="17"/>
          <w:szCs w:val="17"/>
          <w:u w:val="single" w:color="auto"/>
          <w:color w:val="0000FF"/>
        </w:rPr>
        <w:t>(Furnished herewith.)</w:t>
      </w:r>
    </w:p>
    <w:p>
      <w:pPr>
        <w:spacing w:after="0" w:line="196" w:lineRule="exact"/>
        <w:rPr>
          <w:sz w:val="20"/>
          <w:szCs w:val="20"/>
          <w:color w:val="auto"/>
        </w:rPr>
      </w:pPr>
    </w:p>
    <w:p>
      <w:pPr>
        <w:ind w:left="1340" w:right="260" w:hanging="659"/>
        <w:spacing w:after="0" w:line="238" w:lineRule="auto"/>
        <w:rPr>
          <w:sz w:val="20"/>
          <w:szCs w:val="20"/>
          <w:color w:val="auto"/>
        </w:rPr>
      </w:pPr>
      <w:r>
        <w:rPr>
          <w:rFonts w:ascii="Arial" w:cs="Arial" w:eastAsia="Arial" w:hAnsi="Arial"/>
          <w:sz w:val="17"/>
          <w:szCs w:val="17"/>
          <w:color w:val="auto"/>
        </w:rPr>
        <w:t xml:space="preserve">32.3 — </w:t>
      </w:r>
      <w:r>
        <w:rPr>
          <w:rFonts w:ascii="Arial" w:cs="Arial" w:eastAsia="Arial" w:hAnsi="Arial"/>
          <w:sz w:val="17"/>
          <w:szCs w:val="17"/>
          <w:u w:val="single" w:color="auto"/>
          <w:color w:val="0000FF"/>
        </w:rPr>
        <w:t>Certification of Chief Executive Officer pursuant to Section 906 of the Sarbanes Oxley Act of 2002 for Boston Properties Limited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Partnership. (Furnished herewith.)</w:t>
      </w:r>
    </w:p>
    <w:p>
      <w:pPr>
        <w:spacing w:after="0" w:line="196" w:lineRule="exact"/>
        <w:rPr>
          <w:sz w:val="20"/>
          <w:szCs w:val="20"/>
          <w:color w:val="auto"/>
        </w:rPr>
      </w:pPr>
    </w:p>
    <w:p>
      <w:pPr>
        <w:ind w:left="1340" w:right="300" w:hanging="659"/>
        <w:spacing w:after="0" w:line="238" w:lineRule="auto"/>
        <w:rPr>
          <w:sz w:val="20"/>
          <w:szCs w:val="20"/>
          <w:color w:val="auto"/>
        </w:rPr>
      </w:pPr>
      <w:r>
        <w:rPr>
          <w:rFonts w:ascii="Arial" w:cs="Arial" w:eastAsia="Arial" w:hAnsi="Arial"/>
          <w:sz w:val="17"/>
          <w:szCs w:val="17"/>
          <w:color w:val="auto"/>
        </w:rPr>
        <w:t xml:space="preserve">32.4 — </w:t>
      </w:r>
      <w:r>
        <w:rPr>
          <w:rFonts w:ascii="Arial" w:cs="Arial" w:eastAsia="Arial" w:hAnsi="Arial"/>
          <w:sz w:val="17"/>
          <w:szCs w:val="17"/>
          <w:u w:val="single" w:color="auto"/>
          <w:color w:val="0000FF"/>
        </w:rPr>
        <w:t>Certification of Chief Financial Officer pursuant to Section 906 of the Sarbanes Oxley Act of 2002 for Boston Properties Limited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Partnership. (Furnished herewith.)</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101.SCH — Inline XBRL Taxonomy Extension Schema Document. (Filed herewith.)</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101.CAL — Inline XBRL Taxonomy Extension Calculation Linkbase Document. (Filed herewith.)</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101.LAB — Inline XBRL Taxonomy Extension Label Linkbase Document. (Filed herewith.)</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101.PRE — Inline XBRL Taxonomy Extension Presentation Linkbase Document. (Filed herewith.)</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101.DEF — Inline XBRL Taxonomy Extension Definition Linkbase Document. (Filed herewith.)</w:t>
      </w:r>
    </w:p>
    <w:p>
      <w:pPr>
        <w:spacing w:after="0" w:line="71" w:lineRule="exact"/>
        <w:rPr>
          <w:sz w:val="20"/>
          <w:szCs w:val="20"/>
          <w:color w:val="auto"/>
        </w:rPr>
      </w:pPr>
    </w:p>
    <w:p>
      <w:pPr>
        <w:ind w:left="1340" w:right="160" w:hanging="614"/>
        <w:spacing w:after="0" w:line="238" w:lineRule="auto"/>
        <w:tabs>
          <w:tab w:leader="none" w:pos="1099" w:val="left"/>
        </w:tabs>
        <w:numPr>
          <w:ilvl w:val="0"/>
          <w:numId w:val="77"/>
        </w:numPr>
        <w:rPr>
          <w:rFonts w:ascii="Arial" w:cs="Arial" w:eastAsia="Arial" w:hAnsi="Arial"/>
          <w:sz w:val="17"/>
          <w:szCs w:val="17"/>
          <w:color w:val="auto"/>
        </w:rPr>
      </w:pPr>
      <w:r>
        <w:rPr>
          <w:rFonts w:ascii="Arial" w:cs="Arial" w:eastAsia="Arial" w:hAnsi="Arial"/>
          <w:sz w:val="17"/>
          <w:szCs w:val="17"/>
          <w:color w:val="auto"/>
        </w:rPr>
        <w:t>— Cover Page Interactive Data File (formatted as Inline XBRL with applicable taxonomy extension information contained in Exhibits 101*.).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20"/>
          </w:cols>
          <w:pgMar w:left="320" w:top="275" w:right="45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160" w:lineRule="exact"/>
        <w:rPr>
          <w:sz w:val="20"/>
          <w:szCs w:val="20"/>
          <w:color w:val="auto"/>
        </w:rPr>
      </w:pPr>
    </w:p>
    <w:p>
      <w:pPr>
        <w:ind w:firstLine="419"/>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BOSTON PROPERTIES, INC.</w:t>
      </w:r>
    </w:p>
    <w:p>
      <w:pPr>
        <w:spacing w:after="0" w:line="274" w:lineRule="exact"/>
        <w:rPr>
          <w:sz w:val="20"/>
          <w:szCs w:val="20"/>
          <w:color w:val="auto"/>
        </w:rPr>
      </w:pPr>
    </w:p>
    <w:p>
      <w:pPr>
        <w:ind w:left="20"/>
        <w:spacing w:after="0"/>
        <w:tabs>
          <w:tab w:leader="none" w:pos="7320" w:val="left"/>
          <w:tab w:leader="none" w:pos="7680" w:val="left"/>
        </w:tabs>
        <w:rPr>
          <w:sz w:val="20"/>
          <w:szCs w:val="20"/>
          <w:color w:val="auto"/>
        </w:rPr>
      </w:pPr>
      <w:r>
        <w:rPr>
          <w:rFonts w:ascii="Arial" w:cs="Arial" w:eastAsia="Arial" w:hAnsi="Arial"/>
          <w:sz w:val="17"/>
          <w:szCs w:val="17"/>
          <w:color w:val="auto"/>
        </w:rPr>
        <w:t>November 4, 2022</w:t>
      </w:r>
      <w:r>
        <w:rPr>
          <w:sz w:val="20"/>
          <w:szCs w:val="20"/>
          <w:color w:val="auto"/>
        </w:rPr>
        <w:tab/>
      </w:r>
      <w:r>
        <w:rPr>
          <w:rFonts w:ascii="Arial" w:cs="Arial" w:eastAsia="Arial" w:hAnsi="Arial"/>
          <w:sz w:val="17"/>
          <w:szCs w:val="17"/>
          <w:color w:val="auto"/>
        </w:rPr>
        <w:t>/s/</w:t>
        <w:tab/>
        <w:t>M</w:t>
      </w:r>
      <w:r>
        <w:rPr>
          <w:rFonts w:ascii="Arial" w:cs="Arial" w:eastAsia="Arial" w:hAnsi="Arial"/>
          <w:sz w:val="13"/>
          <w:szCs w:val="13"/>
          <w:color w:val="auto"/>
        </w:rPr>
        <w:t>ICHAEL</w:t>
      </w:r>
      <w:r>
        <w:rPr>
          <w:rFonts w:ascii="Arial" w:cs="Arial" w:eastAsia="Arial" w:hAnsi="Arial"/>
          <w:sz w:val="17"/>
          <w:szCs w:val="17"/>
          <w:color w:val="auto"/>
        </w:rPr>
        <w:t xml:space="preserve"> R. W</w:t>
      </w:r>
      <w:r>
        <w:rPr>
          <w:rFonts w:ascii="Arial" w:cs="Arial" w:eastAsia="Arial" w:hAnsi="Arial"/>
          <w:sz w:val="13"/>
          <w:szCs w:val="13"/>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15240</wp:posOffset>
            </wp:positionV>
            <wp:extent cx="32639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63900" cy="8255"/>
                    </a:xfrm>
                    <a:prstGeom prst="rect">
                      <a:avLst/>
                    </a:prstGeom>
                    <a:noFill/>
                  </pic:spPr>
                </pic:pic>
              </a:graphicData>
            </a:graphic>
          </wp:anchor>
        </w:drawing>
      </w:r>
    </w:p>
    <w:p>
      <w:pPr>
        <w:spacing w:after="0" w:line="20"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Michael R. Walsh</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Chief Accounting Officer</w:t>
      </w:r>
    </w:p>
    <w:p>
      <w:pPr>
        <w:ind w:left="6560"/>
        <w:spacing w:after="0"/>
        <w:rPr>
          <w:sz w:val="20"/>
          <w:szCs w:val="20"/>
          <w:color w:val="auto"/>
        </w:rPr>
      </w:pPr>
      <w:r>
        <w:rPr>
          <w:rFonts w:ascii="Arial" w:cs="Arial" w:eastAsia="Arial" w:hAnsi="Arial"/>
          <w:sz w:val="14"/>
          <w:szCs w:val="14"/>
          <w:b w:val="1"/>
          <w:bCs w:val="1"/>
          <w:color w:val="auto"/>
        </w:rPr>
        <w:t>(duly authorized officer and principal accounting officer)</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67310</wp:posOffset>
            </wp:positionV>
            <wp:extent cx="7165975"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160" w:lineRule="exact"/>
        <w:rPr>
          <w:sz w:val="20"/>
          <w:szCs w:val="20"/>
          <w:color w:val="auto"/>
        </w:rPr>
      </w:pPr>
    </w:p>
    <w:p>
      <w:pPr>
        <w:ind w:firstLine="419"/>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BOSTON PROPERTIES LIMITED PARTNERSHIP</w:t>
      </w:r>
    </w:p>
    <w:p>
      <w:pPr>
        <w:spacing w:after="0" w:line="28"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By: Boston Properties, Inc., its General Partner</w:t>
      </w:r>
    </w:p>
    <w:p>
      <w:pPr>
        <w:spacing w:after="0" w:line="267" w:lineRule="exact"/>
        <w:rPr>
          <w:sz w:val="20"/>
          <w:szCs w:val="20"/>
          <w:color w:val="auto"/>
        </w:rPr>
      </w:pPr>
    </w:p>
    <w:p>
      <w:pPr>
        <w:ind w:left="20"/>
        <w:spacing w:after="0"/>
        <w:tabs>
          <w:tab w:leader="none" w:pos="7320" w:val="left"/>
          <w:tab w:leader="none" w:pos="7680" w:val="left"/>
        </w:tabs>
        <w:rPr>
          <w:sz w:val="20"/>
          <w:szCs w:val="20"/>
          <w:color w:val="auto"/>
        </w:rPr>
      </w:pPr>
      <w:r>
        <w:rPr>
          <w:rFonts w:ascii="Arial" w:cs="Arial" w:eastAsia="Arial" w:hAnsi="Arial"/>
          <w:sz w:val="17"/>
          <w:szCs w:val="17"/>
          <w:color w:val="auto"/>
        </w:rPr>
        <w:t>November 4, 2022</w:t>
      </w:r>
      <w:r>
        <w:rPr>
          <w:sz w:val="20"/>
          <w:szCs w:val="20"/>
          <w:color w:val="auto"/>
        </w:rPr>
        <w:tab/>
      </w:r>
      <w:r>
        <w:rPr>
          <w:rFonts w:ascii="Arial" w:cs="Arial" w:eastAsia="Arial" w:hAnsi="Arial"/>
          <w:sz w:val="17"/>
          <w:szCs w:val="17"/>
          <w:color w:val="auto"/>
        </w:rPr>
        <w:t>/s/</w:t>
        <w:tab/>
        <w:t>M</w:t>
      </w:r>
      <w:r>
        <w:rPr>
          <w:rFonts w:ascii="Arial" w:cs="Arial" w:eastAsia="Arial" w:hAnsi="Arial"/>
          <w:sz w:val="13"/>
          <w:szCs w:val="13"/>
          <w:color w:val="auto"/>
        </w:rPr>
        <w:t>ICHAEL</w:t>
      </w:r>
      <w:r>
        <w:rPr>
          <w:rFonts w:ascii="Arial" w:cs="Arial" w:eastAsia="Arial" w:hAnsi="Arial"/>
          <w:sz w:val="17"/>
          <w:szCs w:val="17"/>
          <w:color w:val="auto"/>
        </w:rPr>
        <w:t xml:space="preserve"> R. W</w:t>
      </w:r>
      <w:r>
        <w:rPr>
          <w:rFonts w:ascii="Arial" w:cs="Arial" w:eastAsia="Arial" w:hAnsi="Arial"/>
          <w:sz w:val="13"/>
          <w:szCs w:val="13"/>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15240</wp:posOffset>
            </wp:positionV>
            <wp:extent cx="32639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63900" cy="8255"/>
                    </a:xfrm>
                    <a:prstGeom prst="rect">
                      <a:avLst/>
                    </a:prstGeom>
                    <a:noFill/>
                  </pic:spPr>
                </pic:pic>
              </a:graphicData>
            </a:graphic>
          </wp:anchor>
        </w:drawing>
      </w:r>
    </w:p>
    <w:p>
      <w:pPr>
        <w:spacing w:after="0" w:line="20"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Michael R. Walsh</w:t>
      </w:r>
    </w:p>
    <w:p>
      <w:pPr>
        <w:spacing w:after="0" w:line="22"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Chief Accounting Officer</w:t>
      </w:r>
    </w:p>
    <w:p>
      <w:pPr>
        <w:ind w:left="6560"/>
        <w:spacing w:after="0"/>
        <w:rPr>
          <w:sz w:val="20"/>
          <w:szCs w:val="20"/>
          <w:color w:val="auto"/>
        </w:rPr>
      </w:pPr>
      <w:r>
        <w:rPr>
          <w:rFonts w:ascii="Arial" w:cs="Arial" w:eastAsia="Arial" w:hAnsi="Arial"/>
          <w:sz w:val="14"/>
          <w:szCs w:val="14"/>
          <w:b w:val="1"/>
          <w:bCs w:val="1"/>
          <w:color w:val="auto"/>
        </w:rPr>
        <w:t>(duly authorized officer and principal accounting officer)</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220"/>
          </w:cols>
          <w:pgMar w:left="320" w:top="275" w:right="359" w:bottom="1440" w:gutter="0" w:footer="0" w:header="0"/>
        </w:sectPr>
      </w:pPr>
    </w:p>
    <w:bookmarkStart w:id="107" w:name="page108"/>
    <w:bookmarkEnd w:id="107"/>
    <w:p>
      <w:pPr>
        <w:jc w:val="right"/>
        <w:spacing w:after="0"/>
        <w:rPr>
          <w:sz w:val="20"/>
          <w:szCs w:val="20"/>
          <w:color w:val="auto"/>
        </w:rPr>
      </w:pPr>
      <w:r>
        <w:rPr>
          <w:rFonts w:ascii="Arial" w:cs="Arial" w:eastAsia="Arial" w:hAnsi="Arial"/>
          <w:sz w:val="17"/>
          <w:szCs w:val="17"/>
          <w:b w:val="1"/>
          <w:bCs w:val="1"/>
          <w:color w:val="auto"/>
        </w:rPr>
        <w:t>Exhibit 31.1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I, Owen D. Thomas, certify that:</w:t>
      </w:r>
    </w:p>
    <w:p>
      <w:pPr>
        <w:spacing w:after="0" w:line="84" w:lineRule="exact"/>
        <w:rPr>
          <w:sz w:val="20"/>
          <w:szCs w:val="20"/>
          <w:color w:val="auto"/>
        </w:rPr>
      </w:pPr>
    </w:p>
    <w:p>
      <w:pPr>
        <w:ind w:left="360" w:hanging="320"/>
        <w:spacing w:after="0"/>
        <w:tabs>
          <w:tab w:leader="none" w:pos="3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Boston Properties, Inc.;</w:t>
      </w:r>
    </w:p>
    <w:p>
      <w:pPr>
        <w:spacing w:after="0" w:line="83" w:lineRule="exact"/>
        <w:rPr>
          <w:rFonts w:ascii="Arial" w:cs="Arial" w:eastAsia="Arial" w:hAnsi="Arial"/>
          <w:sz w:val="17"/>
          <w:szCs w:val="17"/>
          <w:color w:val="auto"/>
        </w:rPr>
      </w:pPr>
    </w:p>
    <w:p>
      <w:pPr>
        <w:jc w:val="both"/>
        <w:ind w:left="420" w:right="160" w:hanging="380"/>
        <w:spacing w:after="0" w:line="266" w:lineRule="auto"/>
        <w:tabs>
          <w:tab w:leader="none" w:pos="368"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7"/>
          <w:szCs w:val="17"/>
          <w:color w:val="auto"/>
        </w:rPr>
      </w:pPr>
    </w:p>
    <w:p>
      <w:pPr>
        <w:ind w:left="420" w:right="60" w:hanging="380"/>
        <w:spacing w:after="0" w:line="283" w:lineRule="auto"/>
        <w:tabs>
          <w:tab w:leader="none" w:pos="368"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jc w:val="both"/>
        <w:ind w:left="420" w:right="20" w:hanging="380"/>
        <w:spacing w:after="0" w:line="266" w:lineRule="auto"/>
        <w:tabs>
          <w:tab w:leader="none" w:pos="365"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7"/>
          <w:szCs w:val="17"/>
          <w:color w:val="auto"/>
        </w:rPr>
      </w:pPr>
    </w:p>
    <w:p>
      <w:pPr>
        <w:ind w:left="800" w:right="320" w:hanging="380"/>
        <w:spacing w:after="0" w:line="266" w:lineRule="auto"/>
        <w:tabs>
          <w:tab w:leader="none" w:pos="814" w:val="left"/>
        </w:tabs>
        <w:numPr>
          <w:ilvl w:val="1"/>
          <w:numId w:val="7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7"/>
          <w:szCs w:val="17"/>
          <w:color w:val="auto"/>
        </w:rPr>
      </w:pPr>
    </w:p>
    <w:p>
      <w:pPr>
        <w:ind w:left="800" w:right="220" w:hanging="380"/>
        <w:spacing w:after="0" w:line="266" w:lineRule="auto"/>
        <w:tabs>
          <w:tab w:leader="none" w:pos="814" w:val="left"/>
        </w:tabs>
        <w:numPr>
          <w:ilvl w:val="1"/>
          <w:numId w:val="7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7"/>
          <w:szCs w:val="17"/>
          <w:color w:val="auto"/>
        </w:rPr>
      </w:pPr>
    </w:p>
    <w:p>
      <w:pPr>
        <w:jc w:val="both"/>
        <w:ind w:left="800" w:right="240" w:hanging="380"/>
        <w:spacing w:after="0" w:line="314" w:lineRule="auto"/>
        <w:tabs>
          <w:tab w:leader="none" w:pos="804"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00" w:right="80" w:hanging="380"/>
        <w:spacing w:after="0" w:line="266" w:lineRule="auto"/>
        <w:tabs>
          <w:tab w:leader="none" w:pos="814" w:val="left"/>
        </w:tabs>
        <w:numPr>
          <w:ilvl w:val="1"/>
          <w:numId w:val="7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7"/>
          <w:szCs w:val="17"/>
          <w:color w:val="auto"/>
        </w:rPr>
      </w:pPr>
    </w:p>
    <w:p>
      <w:pPr>
        <w:ind w:left="420" w:right="100" w:hanging="380"/>
        <w:spacing w:after="0" w:line="283" w:lineRule="auto"/>
        <w:tabs>
          <w:tab w:leader="none" w:pos="365"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7"/>
          <w:szCs w:val="17"/>
          <w:color w:val="auto"/>
        </w:rPr>
      </w:pPr>
    </w:p>
    <w:p>
      <w:pPr>
        <w:ind w:left="800" w:right="740" w:hanging="380"/>
        <w:spacing w:after="0" w:line="314" w:lineRule="auto"/>
        <w:tabs>
          <w:tab w:leader="none" w:pos="805" w:val="left"/>
        </w:tabs>
        <w:numPr>
          <w:ilvl w:val="1"/>
          <w:numId w:val="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00" w:right="360" w:hanging="380"/>
        <w:spacing w:after="0" w:line="283" w:lineRule="auto"/>
        <w:tabs>
          <w:tab w:leader="none" w:pos="805" w:val="left"/>
        </w:tabs>
        <w:numPr>
          <w:ilvl w:val="1"/>
          <w:numId w:val="7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Date: November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080"/>
        <w:spacing w:after="0"/>
        <w:tabs>
          <w:tab w:leader="none" w:pos="8440" w:val="left"/>
        </w:tabs>
        <w:rPr>
          <w:sz w:val="20"/>
          <w:szCs w:val="20"/>
          <w:color w:val="auto"/>
        </w:rPr>
      </w:pPr>
      <w:r>
        <w:rPr>
          <w:rFonts w:ascii="Arial" w:cs="Arial" w:eastAsia="Arial" w:hAnsi="Arial"/>
          <w:sz w:val="17"/>
          <w:szCs w:val="17"/>
          <w:color w:val="auto"/>
        </w:rPr>
        <w:t>/s/</w:t>
        <w:tab/>
        <w:t>O</w:t>
      </w:r>
      <w:r>
        <w:rPr>
          <w:rFonts w:ascii="Arial" w:cs="Arial" w:eastAsia="Arial" w:hAnsi="Arial"/>
          <w:sz w:val="13"/>
          <w:szCs w:val="13"/>
          <w:color w:val="auto"/>
        </w:rPr>
        <w:t>WEN</w:t>
      </w:r>
      <w:r>
        <w:rPr>
          <w:rFonts w:ascii="Arial" w:cs="Arial" w:eastAsia="Arial" w:hAnsi="Arial"/>
          <w:sz w:val="17"/>
          <w:szCs w:val="17"/>
          <w:color w:val="auto"/>
        </w:rPr>
        <w:t xml:space="preserve"> D. T</w:t>
      </w:r>
      <w:r>
        <w:rPr>
          <w:rFonts w:ascii="Arial" w:cs="Arial" w:eastAsia="Arial" w:hAnsi="Arial"/>
          <w:sz w:val="13"/>
          <w:szCs w:val="13"/>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15240</wp:posOffset>
            </wp:positionV>
            <wp:extent cx="27806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80665" cy="8255"/>
                    </a:xfrm>
                    <a:prstGeom prst="rect">
                      <a:avLst/>
                    </a:prstGeom>
                    <a:noFill/>
                  </pic:spPr>
                </pic:pic>
              </a:graphicData>
            </a:graphic>
          </wp:anchor>
        </w:drawing>
      </w:r>
    </w:p>
    <w:p>
      <w:pPr>
        <w:spacing w:after="0" w:line="13" w:lineRule="exact"/>
        <w:rPr>
          <w:sz w:val="20"/>
          <w:szCs w:val="20"/>
          <w:color w:val="auto"/>
        </w:rPr>
      </w:pPr>
    </w:p>
    <w:p>
      <w:pPr>
        <w:jc w:val="center"/>
        <w:ind w:left="6840"/>
        <w:spacing w:after="0"/>
        <w:rPr>
          <w:sz w:val="20"/>
          <w:szCs w:val="20"/>
          <w:color w:val="auto"/>
        </w:rPr>
      </w:pPr>
      <w:r>
        <w:rPr>
          <w:rFonts w:ascii="Arial" w:cs="Arial" w:eastAsia="Arial" w:hAnsi="Arial"/>
          <w:sz w:val="17"/>
          <w:szCs w:val="17"/>
          <w:b w:val="1"/>
          <w:bCs w:val="1"/>
          <w:color w:val="auto"/>
        </w:rPr>
        <w:t>Owen D. Thomas</w:t>
      </w:r>
    </w:p>
    <w:p>
      <w:pPr>
        <w:spacing w:after="0" w:line="36" w:lineRule="exact"/>
        <w:rPr>
          <w:sz w:val="20"/>
          <w:szCs w:val="20"/>
          <w:color w:val="auto"/>
        </w:rPr>
      </w:pPr>
    </w:p>
    <w:p>
      <w:pPr>
        <w:jc w:val="center"/>
        <w:ind w:left="6840"/>
        <w:spacing w:after="0"/>
        <w:rPr>
          <w:sz w:val="20"/>
          <w:szCs w:val="20"/>
          <w:color w:val="auto"/>
        </w:rPr>
      </w:pPr>
      <w:r>
        <w:rPr>
          <w:rFonts w:ascii="Arial" w:cs="Arial" w:eastAsia="Arial" w:hAnsi="Arial"/>
          <w:sz w:val="17"/>
          <w:szCs w:val="17"/>
          <w:b w:val="1"/>
          <w:bCs w:val="1"/>
          <w:color w:val="auto"/>
        </w:rPr>
        <w:t>Chief Executive Officer</w:t>
      </w:r>
    </w:p>
    <w:p>
      <w:pPr>
        <w:sectPr>
          <w:pgSz w:w="11900" w:h="16838" w:orient="portrait"/>
          <w:cols w:equalWidth="0" w:num="1">
            <w:col w:w="11240"/>
          </w:cols>
          <w:pgMar w:left="320" w:top="1074"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7"/>
          <w:szCs w:val="17"/>
          <w:b w:val="1"/>
          <w:bCs w:val="1"/>
          <w:color w:val="auto"/>
        </w:rPr>
        <w:t>Exhibit 31.2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I, Michael E. LaBelle, certify that:</w:t>
      </w:r>
    </w:p>
    <w:p>
      <w:pPr>
        <w:spacing w:after="0" w:line="84" w:lineRule="exact"/>
        <w:rPr>
          <w:sz w:val="20"/>
          <w:szCs w:val="20"/>
          <w:color w:val="auto"/>
        </w:rPr>
      </w:pPr>
    </w:p>
    <w:p>
      <w:pPr>
        <w:ind w:left="360" w:hanging="320"/>
        <w:spacing w:after="0"/>
        <w:tabs>
          <w:tab w:leader="none" w:pos="3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Boston Properties, Inc.;</w:t>
      </w:r>
    </w:p>
    <w:p>
      <w:pPr>
        <w:spacing w:after="0" w:line="83" w:lineRule="exact"/>
        <w:rPr>
          <w:rFonts w:ascii="Arial" w:cs="Arial" w:eastAsia="Arial" w:hAnsi="Arial"/>
          <w:sz w:val="17"/>
          <w:szCs w:val="17"/>
          <w:color w:val="auto"/>
        </w:rPr>
      </w:pPr>
    </w:p>
    <w:p>
      <w:pPr>
        <w:jc w:val="both"/>
        <w:ind w:left="420" w:right="160" w:hanging="380"/>
        <w:spacing w:after="0" w:line="266" w:lineRule="auto"/>
        <w:tabs>
          <w:tab w:leader="none" w:pos="368"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7"/>
          <w:szCs w:val="17"/>
          <w:color w:val="auto"/>
        </w:rPr>
      </w:pPr>
    </w:p>
    <w:p>
      <w:pPr>
        <w:ind w:left="420" w:right="60" w:hanging="380"/>
        <w:spacing w:after="0" w:line="283" w:lineRule="auto"/>
        <w:tabs>
          <w:tab w:leader="none" w:pos="368"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jc w:val="both"/>
        <w:ind w:left="420" w:right="20" w:hanging="380"/>
        <w:spacing w:after="0" w:line="266" w:lineRule="auto"/>
        <w:tabs>
          <w:tab w:leader="none" w:pos="365"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7"/>
          <w:szCs w:val="17"/>
          <w:color w:val="auto"/>
        </w:rPr>
      </w:pPr>
    </w:p>
    <w:p>
      <w:pPr>
        <w:ind w:left="800" w:right="320" w:hanging="380"/>
        <w:spacing w:after="0" w:line="266" w:lineRule="auto"/>
        <w:tabs>
          <w:tab w:leader="none" w:pos="814" w:val="left"/>
        </w:tabs>
        <w:numPr>
          <w:ilvl w:val="1"/>
          <w:numId w:val="7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7"/>
          <w:szCs w:val="17"/>
          <w:color w:val="auto"/>
        </w:rPr>
      </w:pPr>
    </w:p>
    <w:p>
      <w:pPr>
        <w:ind w:left="800" w:right="220" w:hanging="380"/>
        <w:spacing w:after="0" w:line="266" w:lineRule="auto"/>
        <w:tabs>
          <w:tab w:leader="none" w:pos="814" w:val="left"/>
        </w:tabs>
        <w:numPr>
          <w:ilvl w:val="1"/>
          <w:numId w:val="7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7"/>
          <w:szCs w:val="17"/>
          <w:color w:val="auto"/>
        </w:rPr>
      </w:pPr>
    </w:p>
    <w:p>
      <w:pPr>
        <w:jc w:val="both"/>
        <w:ind w:left="800" w:right="240" w:hanging="380"/>
        <w:spacing w:after="0" w:line="314" w:lineRule="auto"/>
        <w:tabs>
          <w:tab w:leader="none" w:pos="804"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00" w:right="80" w:hanging="380"/>
        <w:spacing w:after="0" w:line="266" w:lineRule="auto"/>
        <w:tabs>
          <w:tab w:leader="none" w:pos="814" w:val="left"/>
        </w:tabs>
        <w:numPr>
          <w:ilvl w:val="1"/>
          <w:numId w:val="7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7"/>
          <w:szCs w:val="17"/>
          <w:color w:val="auto"/>
        </w:rPr>
      </w:pPr>
    </w:p>
    <w:p>
      <w:pPr>
        <w:ind w:left="420" w:right="100" w:hanging="380"/>
        <w:spacing w:after="0" w:line="283" w:lineRule="auto"/>
        <w:tabs>
          <w:tab w:leader="none" w:pos="365"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7"/>
          <w:szCs w:val="17"/>
          <w:color w:val="auto"/>
        </w:rPr>
      </w:pPr>
    </w:p>
    <w:p>
      <w:pPr>
        <w:ind w:left="800" w:right="740" w:hanging="380"/>
        <w:spacing w:after="0" w:line="314" w:lineRule="auto"/>
        <w:tabs>
          <w:tab w:leader="none" w:pos="805"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00" w:right="360" w:hanging="380"/>
        <w:spacing w:after="0" w:line="283" w:lineRule="auto"/>
        <w:tabs>
          <w:tab w:leader="none" w:pos="805" w:val="left"/>
        </w:tabs>
        <w:numPr>
          <w:ilvl w:val="1"/>
          <w:numId w:val="7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Date: November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080"/>
        <w:spacing w:after="0"/>
        <w:tabs>
          <w:tab w:leader="none" w:pos="8420" w:val="left"/>
        </w:tabs>
        <w:rPr>
          <w:sz w:val="20"/>
          <w:szCs w:val="20"/>
          <w:color w:val="auto"/>
        </w:rPr>
      </w:pPr>
      <w:r>
        <w:rPr>
          <w:rFonts w:ascii="Arial" w:cs="Arial" w:eastAsia="Arial" w:hAnsi="Arial"/>
          <w:sz w:val="17"/>
          <w:szCs w:val="17"/>
          <w:color w:val="auto"/>
        </w:rPr>
        <w:t>/s/</w:t>
        <w:tab/>
        <w:t>M</w:t>
      </w:r>
      <w:r>
        <w:rPr>
          <w:rFonts w:ascii="Arial" w:cs="Arial" w:eastAsia="Arial" w:hAnsi="Arial"/>
          <w:sz w:val="11"/>
          <w:szCs w:val="11"/>
          <w:color w:val="auto"/>
        </w:rPr>
        <w:t>ICHAEL</w:t>
      </w:r>
      <w:r>
        <w:rPr>
          <w:rFonts w:ascii="Arial" w:cs="Arial" w:eastAsia="Arial" w:hAnsi="Arial"/>
          <w:sz w:val="17"/>
          <w:szCs w:val="17"/>
          <w:color w:val="auto"/>
        </w:rPr>
        <w:t xml:space="preserve"> E. L</w:t>
      </w:r>
      <w:r>
        <w:rPr>
          <w:rFonts w:ascii="Arial" w:cs="Arial" w:eastAsia="Arial" w:hAnsi="Arial"/>
          <w:sz w:val="11"/>
          <w:szCs w:val="11"/>
          <w:color w:val="auto"/>
        </w:rPr>
        <w:t>A</w:t>
      </w:r>
      <w:r>
        <w:rPr>
          <w:rFonts w:ascii="Arial" w:cs="Arial" w:eastAsia="Arial" w:hAnsi="Arial"/>
          <w:sz w:val="17"/>
          <w:szCs w:val="17"/>
          <w:color w:val="auto"/>
        </w:rPr>
        <w:t>B</w:t>
      </w:r>
      <w:r>
        <w:rPr>
          <w:rFonts w:ascii="Arial" w:cs="Arial" w:eastAsia="Arial" w:hAnsi="Arial"/>
          <w:sz w:val="11"/>
          <w:szCs w:val="11"/>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15240</wp:posOffset>
            </wp:positionV>
            <wp:extent cx="27806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780665" cy="8255"/>
                    </a:xfrm>
                    <a:prstGeom prst="rect">
                      <a:avLst/>
                    </a:prstGeom>
                    <a:noFill/>
                  </pic:spPr>
                </pic:pic>
              </a:graphicData>
            </a:graphic>
          </wp:anchor>
        </w:drawing>
      </w:r>
    </w:p>
    <w:p>
      <w:pPr>
        <w:spacing w:after="0" w:line="13" w:lineRule="exact"/>
        <w:rPr>
          <w:sz w:val="20"/>
          <w:szCs w:val="20"/>
          <w:color w:val="auto"/>
        </w:rPr>
      </w:pPr>
    </w:p>
    <w:p>
      <w:pPr>
        <w:jc w:val="center"/>
        <w:ind w:left="6840"/>
        <w:spacing w:after="0"/>
        <w:rPr>
          <w:sz w:val="20"/>
          <w:szCs w:val="20"/>
          <w:color w:val="auto"/>
        </w:rPr>
      </w:pPr>
      <w:r>
        <w:rPr>
          <w:rFonts w:ascii="Arial" w:cs="Arial" w:eastAsia="Arial" w:hAnsi="Arial"/>
          <w:sz w:val="17"/>
          <w:szCs w:val="17"/>
          <w:b w:val="1"/>
          <w:bCs w:val="1"/>
          <w:color w:val="auto"/>
        </w:rPr>
        <w:t>Michael E. LaBelle</w:t>
      </w:r>
    </w:p>
    <w:p>
      <w:pPr>
        <w:spacing w:after="0" w:line="36" w:lineRule="exact"/>
        <w:rPr>
          <w:sz w:val="20"/>
          <w:szCs w:val="20"/>
          <w:color w:val="auto"/>
        </w:rPr>
      </w:pPr>
    </w:p>
    <w:p>
      <w:pPr>
        <w:jc w:val="center"/>
        <w:ind w:left="6840"/>
        <w:spacing w:after="0"/>
        <w:rPr>
          <w:sz w:val="20"/>
          <w:szCs w:val="20"/>
          <w:color w:val="auto"/>
        </w:rPr>
      </w:pPr>
      <w:r>
        <w:rPr>
          <w:rFonts w:ascii="Arial" w:cs="Arial" w:eastAsia="Arial" w:hAnsi="Arial"/>
          <w:sz w:val="17"/>
          <w:szCs w:val="17"/>
          <w:b w:val="1"/>
          <w:bCs w:val="1"/>
          <w:color w:val="auto"/>
        </w:rPr>
        <w:t>Chief Financial Officer</w:t>
      </w:r>
    </w:p>
    <w:p>
      <w:pPr>
        <w:sectPr>
          <w:pgSz w:w="11900" w:h="16838" w:orient="portrait"/>
          <w:cols w:equalWidth="0" w:num="1">
            <w:col w:w="11240"/>
          </w:cols>
          <w:pgMar w:left="320" w:top="998"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7"/>
          <w:szCs w:val="17"/>
          <w:b w:val="1"/>
          <w:bCs w:val="1"/>
          <w:color w:val="auto"/>
        </w:rPr>
        <w:t>Exhibit 31.3</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I, Owen D. Thomas, certify that:</w:t>
      </w:r>
    </w:p>
    <w:p>
      <w:pPr>
        <w:spacing w:after="0" w:line="84" w:lineRule="exact"/>
        <w:rPr>
          <w:sz w:val="20"/>
          <w:szCs w:val="20"/>
          <w:color w:val="auto"/>
        </w:rPr>
      </w:pPr>
    </w:p>
    <w:p>
      <w:pPr>
        <w:ind w:left="360" w:hanging="320"/>
        <w:spacing w:after="0"/>
        <w:tabs>
          <w:tab w:leader="none" w:pos="3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Boston Properties Limited Partnership;</w:t>
      </w:r>
    </w:p>
    <w:p>
      <w:pPr>
        <w:spacing w:after="0" w:line="83" w:lineRule="exact"/>
        <w:rPr>
          <w:rFonts w:ascii="Arial" w:cs="Arial" w:eastAsia="Arial" w:hAnsi="Arial"/>
          <w:sz w:val="17"/>
          <w:szCs w:val="17"/>
          <w:color w:val="auto"/>
        </w:rPr>
      </w:pPr>
    </w:p>
    <w:p>
      <w:pPr>
        <w:jc w:val="both"/>
        <w:ind w:left="420" w:right="160" w:hanging="380"/>
        <w:spacing w:after="0" w:line="266" w:lineRule="auto"/>
        <w:tabs>
          <w:tab w:leader="none" w:pos="368"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7"/>
          <w:szCs w:val="17"/>
          <w:color w:val="auto"/>
        </w:rPr>
      </w:pPr>
    </w:p>
    <w:p>
      <w:pPr>
        <w:ind w:left="420" w:right="60" w:hanging="380"/>
        <w:spacing w:after="0" w:line="283" w:lineRule="auto"/>
        <w:tabs>
          <w:tab w:leader="none" w:pos="368"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jc w:val="both"/>
        <w:ind w:left="420" w:right="20" w:hanging="380"/>
        <w:spacing w:after="0" w:line="266" w:lineRule="auto"/>
        <w:tabs>
          <w:tab w:leader="none" w:pos="36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7"/>
          <w:szCs w:val="17"/>
          <w:color w:val="auto"/>
        </w:rPr>
      </w:pPr>
    </w:p>
    <w:p>
      <w:pPr>
        <w:ind w:left="800" w:right="320" w:hanging="380"/>
        <w:spacing w:after="0" w:line="266" w:lineRule="auto"/>
        <w:tabs>
          <w:tab w:leader="none" w:pos="814"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7"/>
          <w:szCs w:val="17"/>
          <w:color w:val="auto"/>
        </w:rPr>
      </w:pPr>
    </w:p>
    <w:p>
      <w:pPr>
        <w:ind w:left="800" w:right="220" w:hanging="380"/>
        <w:spacing w:after="0" w:line="266" w:lineRule="auto"/>
        <w:tabs>
          <w:tab w:leader="none" w:pos="814"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7"/>
          <w:szCs w:val="17"/>
          <w:color w:val="auto"/>
        </w:rPr>
      </w:pPr>
    </w:p>
    <w:p>
      <w:pPr>
        <w:jc w:val="both"/>
        <w:ind w:left="800" w:right="240" w:hanging="380"/>
        <w:spacing w:after="0" w:line="314" w:lineRule="auto"/>
        <w:tabs>
          <w:tab w:leader="none" w:pos="804"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00" w:right="80" w:hanging="380"/>
        <w:spacing w:after="0" w:line="266" w:lineRule="auto"/>
        <w:tabs>
          <w:tab w:leader="none" w:pos="814" w:val="left"/>
        </w:tabs>
        <w:numPr>
          <w:ilvl w:val="1"/>
          <w:numId w:val="8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7"/>
          <w:szCs w:val="17"/>
          <w:color w:val="auto"/>
        </w:rPr>
      </w:pPr>
    </w:p>
    <w:p>
      <w:pPr>
        <w:ind w:left="420" w:right="100" w:hanging="380"/>
        <w:spacing w:after="0" w:line="283" w:lineRule="auto"/>
        <w:tabs>
          <w:tab w:leader="none" w:pos="36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7"/>
          <w:szCs w:val="17"/>
          <w:color w:val="auto"/>
        </w:rPr>
      </w:pPr>
    </w:p>
    <w:p>
      <w:pPr>
        <w:ind w:left="800" w:right="740" w:hanging="380"/>
        <w:spacing w:after="0" w:line="314" w:lineRule="auto"/>
        <w:tabs>
          <w:tab w:leader="none" w:pos="805"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00" w:right="360" w:hanging="380"/>
        <w:spacing w:after="0" w:line="283" w:lineRule="auto"/>
        <w:tabs>
          <w:tab w:leader="none" w:pos="805" w:val="left"/>
        </w:tabs>
        <w:numPr>
          <w:ilvl w:val="1"/>
          <w:numId w:val="8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Date: November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820"/>
        <w:spacing w:after="0"/>
        <w:tabs>
          <w:tab w:leader="none" w:pos="8160" w:val="left"/>
        </w:tabs>
        <w:rPr>
          <w:sz w:val="20"/>
          <w:szCs w:val="20"/>
          <w:color w:val="auto"/>
        </w:rPr>
      </w:pPr>
      <w:r>
        <w:rPr>
          <w:rFonts w:ascii="Arial" w:cs="Arial" w:eastAsia="Arial" w:hAnsi="Arial"/>
          <w:sz w:val="17"/>
          <w:szCs w:val="17"/>
          <w:color w:val="auto"/>
        </w:rPr>
        <w:t>/s/</w:t>
        <w:tab/>
        <w:t>O</w:t>
      </w:r>
      <w:r>
        <w:rPr>
          <w:rFonts w:ascii="Arial" w:cs="Arial" w:eastAsia="Arial" w:hAnsi="Arial"/>
          <w:sz w:val="13"/>
          <w:szCs w:val="13"/>
          <w:color w:val="auto"/>
        </w:rPr>
        <w:t>WEN</w:t>
      </w:r>
      <w:r>
        <w:rPr>
          <w:rFonts w:ascii="Arial" w:cs="Arial" w:eastAsia="Arial" w:hAnsi="Arial"/>
          <w:sz w:val="17"/>
          <w:szCs w:val="17"/>
          <w:color w:val="auto"/>
        </w:rPr>
        <w:t xml:space="preserve"> D. T</w:t>
      </w:r>
      <w:r>
        <w:rPr>
          <w:rFonts w:ascii="Arial" w:cs="Arial" w:eastAsia="Arial" w:hAnsi="Arial"/>
          <w:sz w:val="13"/>
          <w:szCs w:val="13"/>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15240</wp:posOffset>
            </wp:positionV>
            <wp:extent cx="32639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63900" cy="8255"/>
                    </a:xfrm>
                    <a:prstGeom prst="rect">
                      <a:avLst/>
                    </a:prstGeom>
                    <a:noFill/>
                  </pic:spPr>
                </pic:pic>
              </a:graphicData>
            </a:graphic>
          </wp:anchor>
        </w:drawing>
      </w:r>
    </w:p>
    <w:p>
      <w:pPr>
        <w:spacing w:after="0" w:line="11" w:lineRule="exact"/>
        <w:rPr>
          <w:sz w:val="20"/>
          <w:szCs w:val="20"/>
          <w:color w:val="auto"/>
        </w:rPr>
      </w:pPr>
    </w:p>
    <w:p>
      <w:pPr>
        <w:jc w:val="center"/>
        <w:ind w:left="6080"/>
        <w:spacing w:after="0"/>
        <w:rPr>
          <w:sz w:val="20"/>
          <w:szCs w:val="20"/>
          <w:color w:val="auto"/>
        </w:rPr>
      </w:pPr>
      <w:r>
        <w:rPr>
          <w:rFonts w:ascii="Arial" w:cs="Arial" w:eastAsia="Arial" w:hAnsi="Arial"/>
          <w:sz w:val="15"/>
          <w:szCs w:val="15"/>
          <w:b w:val="1"/>
          <w:bCs w:val="1"/>
          <w:color w:val="auto"/>
        </w:rPr>
        <w:t>Owen D. Thomas</w:t>
      </w:r>
    </w:p>
    <w:p>
      <w:pPr>
        <w:jc w:val="center"/>
        <w:ind w:left="6080"/>
        <w:spacing w:after="0" w:line="211" w:lineRule="auto"/>
        <w:rPr>
          <w:sz w:val="20"/>
          <w:szCs w:val="20"/>
          <w:color w:val="auto"/>
        </w:rPr>
      </w:pPr>
      <w:r>
        <w:rPr>
          <w:rFonts w:ascii="Arial" w:cs="Arial" w:eastAsia="Arial" w:hAnsi="Arial"/>
          <w:sz w:val="15"/>
          <w:szCs w:val="15"/>
          <w:b w:val="1"/>
          <w:bCs w:val="1"/>
          <w:color w:val="auto"/>
        </w:rPr>
        <w:t>Chief Executive Officer of Boston Properties, Inc.</w:t>
      </w:r>
    </w:p>
    <w:p>
      <w:pPr>
        <w:spacing w:after="0" w:line="1" w:lineRule="exact"/>
        <w:rPr>
          <w:sz w:val="20"/>
          <w:szCs w:val="20"/>
          <w:color w:val="auto"/>
        </w:rPr>
      </w:pPr>
    </w:p>
    <w:p>
      <w:pPr>
        <w:jc w:val="center"/>
        <w:ind w:left="6080"/>
        <w:spacing w:after="0"/>
        <w:rPr>
          <w:sz w:val="20"/>
          <w:szCs w:val="20"/>
          <w:color w:val="auto"/>
        </w:rPr>
      </w:pPr>
      <w:r>
        <w:rPr>
          <w:rFonts w:ascii="Arial" w:cs="Arial" w:eastAsia="Arial" w:hAnsi="Arial"/>
          <w:sz w:val="15"/>
          <w:szCs w:val="15"/>
          <w:b w:val="1"/>
          <w:bCs w:val="1"/>
          <w:color w:val="auto"/>
        </w:rPr>
        <w:t>General Partner of Boston Properties Limited Partnership</w:t>
      </w:r>
    </w:p>
    <w:p>
      <w:pPr>
        <w:sectPr>
          <w:pgSz w:w="11900" w:h="16838" w:orient="portrait"/>
          <w:cols w:equalWidth="0" w:num="1">
            <w:col w:w="11240"/>
          </w:cols>
          <w:pgMar w:left="320" w:top="1075"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7"/>
          <w:szCs w:val="17"/>
          <w:b w:val="1"/>
          <w:bCs w:val="1"/>
          <w:color w:val="auto"/>
        </w:rPr>
        <w:t>Exhibit 31.4</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I, Michael E. LaBelle, certify that:</w:t>
      </w:r>
    </w:p>
    <w:p>
      <w:pPr>
        <w:spacing w:after="0" w:line="84" w:lineRule="exact"/>
        <w:rPr>
          <w:sz w:val="20"/>
          <w:szCs w:val="20"/>
          <w:color w:val="auto"/>
        </w:rPr>
      </w:pPr>
    </w:p>
    <w:p>
      <w:pPr>
        <w:ind w:left="360" w:hanging="320"/>
        <w:spacing w:after="0"/>
        <w:tabs>
          <w:tab w:leader="none" w:pos="3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Boston Properties Limited Partnership;</w:t>
      </w:r>
    </w:p>
    <w:p>
      <w:pPr>
        <w:spacing w:after="0" w:line="83" w:lineRule="exact"/>
        <w:rPr>
          <w:rFonts w:ascii="Arial" w:cs="Arial" w:eastAsia="Arial" w:hAnsi="Arial"/>
          <w:sz w:val="17"/>
          <w:szCs w:val="17"/>
          <w:color w:val="auto"/>
        </w:rPr>
      </w:pPr>
    </w:p>
    <w:p>
      <w:pPr>
        <w:jc w:val="both"/>
        <w:ind w:left="420" w:right="160" w:hanging="380"/>
        <w:spacing w:after="0" w:line="266" w:lineRule="auto"/>
        <w:tabs>
          <w:tab w:leader="none" w:pos="368"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7"/>
          <w:szCs w:val="17"/>
          <w:color w:val="auto"/>
        </w:rPr>
      </w:pPr>
    </w:p>
    <w:p>
      <w:pPr>
        <w:ind w:left="420" w:right="60" w:hanging="380"/>
        <w:spacing w:after="0" w:line="283" w:lineRule="auto"/>
        <w:tabs>
          <w:tab w:leader="none" w:pos="368"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jc w:val="both"/>
        <w:ind w:left="420" w:right="20" w:hanging="380"/>
        <w:spacing w:after="0" w:line="266" w:lineRule="auto"/>
        <w:tabs>
          <w:tab w:leader="none" w:pos="365"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7"/>
          <w:szCs w:val="17"/>
          <w:color w:val="auto"/>
        </w:rPr>
      </w:pPr>
    </w:p>
    <w:p>
      <w:pPr>
        <w:ind w:left="800" w:right="320" w:hanging="380"/>
        <w:spacing w:after="0" w:line="266" w:lineRule="auto"/>
        <w:tabs>
          <w:tab w:leader="none" w:pos="814"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7"/>
          <w:szCs w:val="17"/>
          <w:color w:val="auto"/>
        </w:rPr>
      </w:pPr>
    </w:p>
    <w:p>
      <w:pPr>
        <w:ind w:left="800" w:right="220" w:hanging="380"/>
        <w:spacing w:after="0" w:line="266" w:lineRule="auto"/>
        <w:tabs>
          <w:tab w:leader="none" w:pos="814"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7"/>
          <w:szCs w:val="17"/>
          <w:color w:val="auto"/>
        </w:rPr>
      </w:pPr>
    </w:p>
    <w:p>
      <w:pPr>
        <w:jc w:val="both"/>
        <w:ind w:left="800" w:right="240" w:hanging="380"/>
        <w:spacing w:after="0" w:line="314" w:lineRule="auto"/>
        <w:tabs>
          <w:tab w:leader="none" w:pos="804"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00" w:right="80" w:hanging="380"/>
        <w:spacing w:after="0" w:line="266" w:lineRule="auto"/>
        <w:tabs>
          <w:tab w:leader="none" w:pos="814" w:val="left"/>
        </w:tabs>
        <w:numPr>
          <w:ilvl w:val="1"/>
          <w:numId w:val="8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7"/>
          <w:szCs w:val="17"/>
          <w:color w:val="auto"/>
        </w:rPr>
      </w:pPr>
    </w:p>
    <w:p>
      <w:pPr>
        <w:ind w:left="420" w:right="100" w:hanging="380"/>
        <w:spacing w:after="0" w:line="283" w:lineRule="auto"/>
        <w:tabs>
          <w:tab w:leader="none" w:pos="365"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7"/>
          <w:szCs w:val="17"/>
          <w:color w:val="auto"/>
        </w:rPr>
      </w:pPr>
    </w:p>
    <w:p>
      <w:pPr>
        <w:ind w:left="800" w:right="740" w:hanging="380"/>
        <w:spacing w:after="0" w:line="314" w:lineRule="auto"/>
        <w:tabs>
          <w:tab w:leader="none" w:pos="805"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00" w:right="360" w:hanging="380"/>
        <w:spacing w:after="0" w:line="283" w:lineRule="auto"/>
        <w:tabs>
          <w:tab w:leader="none" w:pos="805" w:val="left"/>
        </w:tabs>
        <w:numPr>
          <w:ilvl w:val="1"/>
          <w:numId w:val="8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Date: November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800"/>
        <w:spacing w:after="0"/>
        <w:tabs>
          <w:tab w:leader="none" w:pos="8160" w:val="left"/>
        </w:tabs>
        <w:rPr>
          <w:sz w:val="20"/>
          <w:szCs w:val="20"/>
          <w:color w:val="auto"/>
        </w:rPr>
      </w:pPr>
      <w:r>
        <w:rPr>
          <w:rFonts w:ascii="Arial" w:cs="Arial" w:eastAsia="Arial" w:hAnsi="Arial"/>
          <w:sz w:val="17"/>
          <w:szCs w:val="17"/>
          <w:color w:val="auto"/>
        </w:rPr>
        <w:t>/s/</w:t>
        <w:tab/>
        <w:t>M</w:t>
      </w:r>
      <w:r>
        <w:rPr>
          <w:rFonts w:ascii="Arial" w:cs="Arial" w:eastAsia="Arial" w:hAnsi="Arial"/>
          <w:sz w:val="11"/>
          <w:szCs w:val="11"/>
          <w:color w:val="auto"/>
        </w:rPr>
        <w:t>ICHAEL</w:t>
      </w:r>
      <w:r>
        <w:rPr>
          <w:rFonts w:ascii="Arial" w:cs="Arial" w:eastAsia="Arial" w:hAnsi="Arial"/>
          <w:sz w:val="17"/>
          <w:szCs w:val="17"/>
          <w:color w:val="auto"/>
        </w:rPr>
        <w:t xml:space="preserve"> E. L</w:t>
      </w:r>
      <w:r>
        <w:rPr>
          <w:rFonts w:ascii="Arial" w:cs="Arial" w:eastAsia="Arial" w:hAnsi="Arial"/>
          <w:sz w:val="11"/>
          <w:szCs w:val="11"/>
          <w:color w:val="auto"/>
        </w:rPr>
        <w:t>A</w:t>
      </w:r>
      <w:r>
        <w:rPr>
          <w:rFonts w:ascii="Arial" w:cs="Arial" w:eastAsia="Arial" w:hAnsi="Arial"/>
          <w:sz w:val="17"/>
          <w:szCs w:val="17"/>
          <w:color w:val="auto"/>
        </w:rPr>
        <w:t>B</w:t>
      </w:r>
      <w:r>
        <w:rPr>
          <w:rFonts w:ascii="Arial" w:cs="Arial" w:eastAsia="Arial" w:hAnsi="Arial"/>
          <w:sz w:val="11"/>
          <w:szCs w:val="11"/>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15240</wp:posOffset>
            </wp:positionV>
            <wp:extent cx="32238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23895" cy="8255"/>
                    </a:xfrm>
                    <a:prstGeom prst="rect">
                      <a:avLst/>
                    </a:prstGeom>
                    <a:noFill/>
                  </pic:spPr>
                </pic:pic>
              </a:graphicData>
            </a:graphic>
          </wp:anchor>
        </w:drawing>
      </w:r>
    </w:p>
    <w:p>
      <w:pPr>
        <w:spacing w:after="0" w:line="11" w:lineRule="exact"/>
        <w:rPr>
          <w:sz w:val="20"/>
          <w:szCs w:val="20"/>
          <w:color w:val="auto"/>
        </w:rPr>
      </w:pPr>
    </w:p>
    <w:p>
      <w:pPr>
        <w:jc w:val="center"/>
        <w:ind w:left="6140"/>
        <w:spacing w:after="0"/>
        <w:rPr>
          <w:sz w:val="20"/>
          <w:szCs w:val="20"/>
          <w:color w:val="auto"/>
        </w:rPr>
      </w:pPr>
      <w:r>
        <w:rPr>
          <w:rFonts w:ascii="Arial" w:cs="Arial" w:eastAsia="Arial" w:hAnsi="Arial"/>
          <w:sz w:val="15"/>
          <w:szCs w:val="15"/>
          <w:b w:val="1"/>
          <w:bCs w:val="1"/>
          <w:color w:val="auto"/>
        </w:rPr>
        <w:t>Michael E. LaBelle</w:t>
      </w:r>
    </w:p>
    <w:p>
      <w:pPr>
        <w:jc w:val="center"/>
        <w:ind w:left="6140"/>
        <w:spacing w:after="0" w:line="211" w:lineRule="auto"/>
        <w:rPr>
          <w:sz w:val="20"/>
          <w:szCs w:val="20"/>
          <w:color w:val="auto"/>
        </w:rPr>
      </w:pPr>
      <w:r>
        <w:rPr>
          <w:rFonts w:ascii="Arial" w:cs="Arial" w:eastAsia="Arial" w:hAnsi="Arial"/>
          <w:sz w:val="15"/>
          <w:szCs w:val="15"/>
          <w:b w:val="1"/>
          <w:bCs w:val="1"/>
          <w:color w:val="auto"/>
        </w:rPr>
        <w:t>Chief Financial Officer of Boston Properties, Inc.</w:t>
      </w:r>
    </w:p>
    <w:p>
      <w:pPr>
        <w:spacing w:after="0" w:line="1" w:lineRule="exact"/>
        <w:rPr>
          <w:sz w:val="20"/>
          <w:szCs w:val="20"/>
          <w:color w:val="auto"/>
        </w:rPr>
      </w:pPr>
    </w:p>
    <w:p>
      <w:pPr>
        <w:jc w:val="center"/>
        <w:ind w:left="6140"/>
        <w:spacing w:after="0"/>
        <w:rPr>
          <w:sz w:val="20"/>
          <w:szCs w:val="20"/>
          <w:color w:val="auto"/>
        </w:rPr>
      </w:pPr>
      <w:r>
        <w:rPr>
          <w:rFonts w:ascii="Arial" w:cs="Arial" w:eastAsia="Arial" w:hAnsi="Arial"/>
          <w:sz w:val="15"/>
          <w:szCs w:val="15"/>
          <w:b w:val="1"/>
          <w:bCs w:val="1"/>
          <w:color w:val="auto"/>
        </w:rPr>
        <w:t>General Partner of Boston Properties Limited Partnership</w:t>
      </w:r>
    </w:p>
    <w:p>
      <w:pPr>
        <w:sectPr>
          <w:pgSz w:w="11900" w:h="16838" w:orient="portrait"/>
          <w:cols w:equalWidth="0" w:num="1">
            <w:col w:w="11240"/>
          </w:cols>
          <w:pgMar w:left="320" w:top="1075"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b w:val="1"/>
          <w:bCs w:val="1"/>
          <w:color w:val="auto"/>
        </w:rPr>
        <w:t>Exhibit 32.1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 AS ADOPTED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44" w:lineRule="exact"/>
        <w:rPr>
          <w:sz w:val="20"/>
          <w:szCs w:val="20"/>
          <w:color w:val="auto"/>
        </w:rPr>
      </w:pPr>
    </w:p>
    <w:p>
      <w:pPr>
        <w:ind w:right="40" w:firstLine="419"/>
        <w:spacing w:after="0" w:line="256" w:lineRule="auto"/>
        <w:rPr>
          <w:sz w:val="20"/>
          <w:szCs w:val="20"/>
          <w:color w:val="auto"/>
        </w:rPr>
      </w:pPr>
      <w:r>
        <w:rPr>
          <w:rFonts w:ascii="Arial" w:cs="Arial" w:eastAsia="Arial" w:hAnsi="Arial"/>
          <w:sz w:val="17"/>
          <w:szCs w:val="17"/>
          <w:color w:val="auto"/>
        </w:rPr>
        <w:t>The undersigned officer of Boston Properties, Inc. (the “Company”) hereby certifies to his knowledge that the Company’s Quarterly Report on Form 10-Q for the period ended September 30, 2022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Date: November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080"/>
        <w:spacing w:after="0"/>
        <w:tabs>
          <w:tab w:leader="none" w:pos="8420" w:val="left"/>
        </w:tabs>
        <w:rPr>
          <w:sz w:val="20"/>
          <w:szCs w:val="20"/>
          <w:color w:val="auto"/>
        </w:rPr>
      </w:pPr>
      <w:r>
        <w:rPr>
          <w:rFonts w:ascii="Arial" w:cs="Arial" w:eastAsia="Arial" w:hAnsi="Arial"/>
          <w:sz w:val="17"/>
          <w:szCs w:val="17"/>
          <w:color w:val="auto"/>
        </w:rPr>
        <w:t>/s/</w:t>
        <w:tab/>
        <w:t>O</w:t>
      </w:r>
      <w:r>
        <w:rPr>
          <w:rFonts w:ascii="Arial" w:cs="Arial" w:eastAsia="Arial" w:hAnsi="Arial"/>
          <w:sz w:val="13"/>
          <w:szCs w:val="13"/>
          <w:color w:val="auto"/>
        </w:rPr>
        <w:t>WEN</w:t>
      </w:r>
      <w:r>
        <w:rPr>
          <w:rFonts w:ascii="Arial" w:cs="Arial" w:eastAsia="Arial" w:hAnsi="Arial"/>
          <w:sz w:val="17"/>
          <w:szCs w:val="17"/>
          <w:color w:val="auto"/>
        </w:rPr>
        <w:t xml:space="preserve"> D. T</w:t>
      </w:r>
      <w:r>
        <w:rPr>
          <w:rFonts w:ascii="Arial" w:cs="Arial" w:eastAsia="Arial" w:hAnsi="Arial"/>
          <w:sz w:val="13"/>
          <w:szCs w:val="13"/>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15240</wp:posOffset>
            </wp:positionV>
            <wp:extent cx="27806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80665" cy="8255"/>
                    </a:xfrm>
                    <a:prstGeom prst="rect">
                      <a:avLst/>
                    </a:prstGeom>
                    <a:noFill/>
                  </pic:spPr>
                </pic:pic>
              </a:graphicData>
            </a:graphic>
          </wp:anchor>
        </w:drawing>
      </w:r>
    </w:p>
    <w:p>
      <w:pPr>
        <w:spacing w:after="0" w:line="13" w:lineRule="exact"/>
        <w:rPr>
          <w:sz w:val="20"/>
          <w:szCs w:val="20"/>
          <w:color w:val="auto"/>
        </w:rPr>
      </w:pPr>
    </w:p>
    <w:p>
      <w:pPr>
        <w:jc w:val="center"/>
        <w:ind w:left="6840"/>
        <w:spacing w:after="0"/>
        <w:rPr>
          <w:sz w:val="20"/>
          <w:szCs w:val="20"/>
          <w:color w:val="auto"/>
        </w:rPr>
      </w:pPr>
      <w:r>
        <w:rPr>
          <w:rFonts w:ascii="Arial" w:cs="Arial" w:eastAsia="Arial" w:hAnsi="Arial"/>
          <w:sz w:val="17"/>
          <w:szCs w:val="17"/>
          <w:b w:val="1"/>
          <w:bCs w:val="1"/>
          <w:color w:val="auto"/>
        </w:rPr>
        <w:t>Owen D. Thomas</w:t>
      </w:r>
    </w:p>
    <w:p>
      <w:pPr>
        <w:spacing w:after="0" w:line="36" w:lineRule="exact"/>
        <w:rPr>
          <w:sz w:val="20"/>
          <w:szCs w:val="20"/>
          <w:color w:val="auto"/>
        </w:rPr>
      </w:pPr>
    </w:p>
    <w:p>
      <w:pPr>
        <w:jc w:val="center"/>
        <w:ind w:left="6840"/>
        <w:spacing w:after="0"/>
        <w:rPr>
          <w:sz w:val="20"/>
          <w:szCs w:val="20"/>
          <w:color w:val="auto"/>
        </w:rPr>
      </w:pPr>
      <w:r>
        <w:rPr>
          <w:rFonts w:ascii="Arial" w:cs="Arial" w:eastAsia="Arial" w:hAnsi="Arial"/>
          <w:sz w:val="17"/>
          <w:szCs w:val="17"/>
          <w:b w:val="1"/>
          <w:bCs w:val="1"/>
          <w:color w:val="auto"/>
        </w:rPr>
        <w:t>Chief Executive Officer</w:t>
      </w:r>
    </w:p>
    <w:p>
      <w:pPr>
        <w:sectPr>
          <w:pgSz w:w="11900" w:h="16838" w:orient="portrait"/>
          <w:cols w:equalWidth="0" w:num="1">
            <w:col w:w="11240"/>
          </w:cols>
          <w:pgMar w:left="320" w:top="1303"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7"/>
          <w:szCs w:val="17"/>
          <w:b w:val="1"/>
          <w:bCs w:val="1"/>
          <w:color w:val="auto"/>
        </w:rPr>
        <w:t>Exhibit 32.2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 AS ADOPTED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44" w:lineRule="exact"/>
        <w:rPr>
          <w:sz w:val="20"/>
          <w:szCs w:val="20"/>
          <w:color w:val="auto"/>
        </w:rPr>
      </w:pPr>
    </w:p>
    <w:p>
      <w:pPr>
        <w:ind w:right="40" w:firstLine="419"/>
        <w:spacing w:after="0" w:line="256" w:lineRule="auto"/>
        <w:rPr>
          <w:sz w:val="20"/>
          <w:szCs w:val="20"/>
          <w:color w:val="auto"/>
        </w:rPr>
      </w:pPr>
      <w:r>
        <w:rPr>
          <w:rFonts w:ascii="Arial" w:cs="Arial" w:eastAsia="Arial" w:hAnsi="Arial"/>
          <w:sz w:val="17"/>
          <w:szCs w:val="17"/>
          <w:color w:val="auto"/>
        </w:rPr>
        <w:t>The undersigned officer of Boston Properties, Inc. (the “Company”) hereby certifies to his knowledge that the Company's Quarterly Report on Form 10-Q for the period ended September 30, 2022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Date: November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040"/>
        <w:spacing w:after="0"/>
        <w:tabs>
          <w:tab w:leader="none" w:pos="8400" w:val="left"/>
        </w:tabs>
        <w:rPr>
          <w:sz w:val="20"/>
          <w:szCs w:val="20"/>
          <w:color w:val="auto"/>
        </w:rPr>
      </w:pPr>
      <w:r>
        <w:rPr>
          <w:rFonts w:ascii="Arial" w:cs="Arial" w:eastAsia="Arial" w:hAnsi="Arial"/>
          <w:sz w:val="17"/>
          <w:szCs w:val="17"/>
          <w:color w:val="auto"/>
        </w:rPr>
        <w:t>/s/</w:t>
        <w:tab/>
        <w:t>M</w:t>
      </w:r>
      <w:r>
        <w:rPr>
          <w:rFonts w:ascii="Arial" w:cs="Arial" w:eastAsia="Arial" w:hAnsi="Arial"/>
          <w:sz w:val="11"/>
          <w:szCs w:val="11"/>
          <w:color w:val="auto"/>
        </w:rPr>
        <w:t>ICHAEL</w:t>
      </w:r>
      <w:r>
        <w:rPr>
          <w:rFonts w:ascii="Arial" w:cs="Arial" w:eastAsia="Arial" w:hAnsi="Arial"/>
          <w:sz w:val="17"/>
          <w:szCs w:val="17"/>
          <w:color w:val="auto"/>
        </w:rPr>
        <w:t xml:space="preserve"> E. L</w:t>
      </w:r>
      <w:r>
        <w:rPr>
          <w:rFonts w:ascii="Arial" w:cs="Arial" w:eastAsia="Arial" w:hAnsi="Arial"/>
          <w:sz w:val="11"/>
          <w:szCs w:val="11"/>
          <w:color w:val="auto"/>
        </w:rPr>
        <w:t>A</w:t>
      </w:r>
      <w:r>
        <w:rPr>
          <w:rFonts w:ascii="Arial" w:cs="Arial" w:eastAsia="Arial" w:hAnsi="Arial"/>
          <w:sz w:val="17"/>
          <w:szCs w:val="17"/>
          <w:color w:val="auto"/>
        </w:rPr>
        <w:t>B</w:t>
      </w:r>
      <w:r>
        <w:rPr>
          <w:rFonts w:ascii="Arial" w:cs="Arial" w:eastAsia="Arial" w:hAnsi="Arial"/>
          <w:sz w:val="11"/>
          <w:szCs w:val="11"/>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15240</wp:posOffset>
            </wp:positionV>
            <wp:extent cx="27806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80665" cy="8255"/>
                    </a:xfrm>
                    <a:prstGeom prst="rect">
                      <a:avLst/>
                    </a:prstGeom>
                    <a:noFill/>
                  </pic:spPr>
                </pic:pic>
              </a:graphicData>
            </a:graphic>
          </wp:anchor>
        </w:drawing>
      </w:r>
    </w:p>
    <w:p>
      <w:pPr>
        <w:spacing w:after="0" w:line="13" w:lineRule="exact"/>
        <w:rPr>
          <w:sz w:val="20"/>
          <w:szCs w:val="20"/>
          <w:color w:val="auto"/>
        </w:rPr>
      </w:pPr>
    </w:p>
    <w:p>
      <w:pPr>
        <w:jc w:val="center"/>
        <w:ind w:left="6840"/>
        <w:spacing w:after="0"/>
        <w:rPr>
          <w:sz w:val="20"/>
          <w:szCs w:val="20"/>
          <w:color w:val="auto"/>
        </w:rPr>
      </w:pPr>
      <w:r>
        <w:rPr>
          <w:rFonts w:ascii="Arial" w:cs="Arial" w:eastAsia="Arial" w:hAnsi="Arial"/>
          <w:sz w:val="17"/>
          <w:szCs w:val="17"/>
          <w:b w:val="1"/>
          <w:bCs w:val="1"/>
          <w:color w:val="auto"/>
        </w:rPr>
        <w:t>Michael E. LaBelle</w:t>
      </w:r>
    </w:p>
    <w:p>
      <w:pPr>
        <w:spacing w:after="0" w:line="36" w:lineRule="exact"/>
        <w:rPr>
          <w:sz w:val="20"/>
          <w:szCs w:val="20"/>
          <w:color w:val="auto"/>
        </w:rPr>
      </w:pPr>
    </w:p>
    <w:p>
      <w:pPr>
        <w:jc w:val="center"/>
        <w:ind w:left="6840"/>
        <w:spacing w:after="0"/>
        <w:rPr>
          <w:sz w:val="20"/>
          <w:szCs w:val="20"/>
          <w:color w:val="auto"/>
        </w:rPr>
      </w:pPr>
      <w:r>
        <w:rPr>
          <w:rFonts w:ascii="Arial" w:cs="Arial" w:eastAsia="Arial" w:hAnsi="Arial"/>
          <w:sz w:val="17"/>
          <w:szCs w:val="17"/>
          <w:b w:val="1"/>
          <w:bCs w:val="1"/>
          <w:color w:val="auto"/>
        </w:rPr>
        <w:t>Chief Financial Officer</w:t>
      </w:r>
    </w:p>
    <w:p>
      <w:pPr>
        <w:sectPr>
          <w:pgSz w:w="11900" w:h="16838" w:orient="portrait"/>
          <w:cols w:equalWidth="0" w:num="1">
            <w:col w:w="11240"/>
          </w:cols>
          <w:pgMar w:left="320" w:top="1303"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b w:val="1"/>
          <w:bCs w:val="1"/>
          <w:color w:val="auto"/>
        </w:rPr>
        <w:t>Exhibit 32.3</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 AS ADOPTED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44" w:lineRule="exact"/>
        <w:rPr>
          <w:sz w:val="20"/>
          <w:szCs w:val="20"/>
          <w:color w:val="auto"/>
        </w:rPr>
      </w:pPr>
    </w:p>
    <w:p>
      <w:pPr>
        <w:ind w:right="20" w:firstLine="419"/>
        <w:spacing w:after="0" w:line="254" w:lineRule="auto"/>
        <w:rPr>
          <w:sz w:val="20"/>
          <w:szCs w:val="20"/>
          <w:color w:val="auto"/>
        </w:rPr>
      </w:pPr>
      <w:r>
        <w:rPr>
          <w:rFonts w:ascii="Arial" w:cs="Arial" w:eastAsia="Arial" w:hAnsi="Arial"/>
          <w:sz w:val="17"/>
          <w:szCs w:val="17"/>
          <w:color w:val="auto"/>
        </w:rPr>
        <w:t>The undersigned officer of Boston Properties, Inc., the sole general partner of Boston Properties Limited Partnership (the “Operating Partnership”), hereby certifies to his knowledge that the Operating Partnership's Quarterly Report on Form 10-Q for the period ended September 30, 2022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Date: November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700"/>
        <w:spacing w:after="0"/>
        <w:tabs>
          <w:tab w:leader="none" w:pos="8060" w:val="left"/>
        </w:tabs>
        <w:rPr>
          <w:sz w:val="20"/>
          <w:szCs w:val="20"/>
          <w:color w:val="auto"/>
        </w:rPr>
      </w:pPr>
      <w:r>
        <w:rPr>
          <w:rFonts w:ascii="Arial" w:cs="Arial" w:eastAsia="Arial" w:hAnsi="Arial"/>
          <w:sz w:val="17"/>
          <w:szCs w:val="17"/>
          <w:color w:val="auto"/>
        </w:rPr>
        <w:t>/s/</w:t>
        <w:tab/>
        <w:t>O</w:t>
      </w:r>
      <w:r>
        <w:rPr>
          <w:rFonts w:ascii="Arial" w:cs="Arial" w:eastAsia="Arial" w:hAnsi="Arial"/>
          <w:sz w:val="13"/>
          <w:szCs w:val="13"/>
          <w:color w:val="auto"/>
        </w:rPr>
        <w:t>WEN</w:t>
      </w:r>
      <w:r>
        <w:rPr>
          <w:rFonts w:ascii="Arial" w:cs="Arial" w:eastAsia="Arial" w:hAnsi="Arial"/>
          <w:sz w:val="17"/>
          <w:szCs w:val="17"/>
          <w:color w:val="auto"/>
        </w:rPr>
        <w:t xml:space="preserve"> D. T</w:t>
      </w:r>
      <w:r>
        <w:rPr>
          <w:rFonts w:ascii="Arial" w:cs="Arial" w:eastAsia="Arial" w:hAnsi="Arial"/>
          <w:sz w:val="13"/>
          <w:szCs w:val="13"/>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15240</wp:posOffset>
            </wp:positionV>
            <wp:extent cx="32639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63900" cy="8255"/>
                    </a:xfrm>
                    <a:prstGeom prst="rect">
                      <a:avLst/>
                    </a:prstGeom>
                    <a:noFill/>
                  </pic:spPr>
                </pic:pic>
              </a:graphicData>
            </a:graphic>
          </wp:anchor>
        </w:drawing>
      </w:r>
    </w:p>
    <w:p>
      <w:pPr>
        <w:spacing w:after="0" w:line="11" w:lineRule="exact"/>
        <w:rPr>
          <w:sz w:val="20"/>
          <w:szCs w:val="20"/>
          <w:color w:val="auto"/>
        </w:rPr>
      </w:pPr>
    </w:p>
    <w:p>
      <w:pPr>
        <w:jc w:val="center"/>
        <w:ind w:left="6080"/>
        <w:spacing w:after="0"/>
        <w:rPr>
          <w:sz w:val="20"/>
          <w:szCs w:val="20"/>
          <w:color w:val="auto"/>
        </w:rPr>
      </w:pPr>
      <w:r>
        <w:rPr>
          <w:rFonts w:ascii="Arial" w:cs="Arial" w:eastAsia="Arial" w:hAnsi="Arial"/>
          <w:sz w:val="15"/>
          <w:szCs w:val="15"/>
          <w:b w:val="1"/>
          <w:bCs w:val="1"/>
          <w:color w:val="auto"/>
        </w:rPr>
        <w:t>Owen D. Thomas</w:t>
      </w:r>
    </w:p>
    <w:p>
      <w:pPr>
        <w:jc w:val="center"/>
        <w:ind w:left="6080"/>
        <w:spacing w:after="0" w:line="211" w:lineRule="auto"/>
        <w:rPr>
          <w:sz w:val="20"/>
          <w:szCs w:val="20"/>
          <w:color w:val="auto"/>
        </w:rPr>
      </w:pPr>
      <w:r>
        <w:rPr>
          <w:rFonts w:ascii="Arial" w:cs="Arial" w:eastAsia="Arial" w:hAnsi="Arial"/>
          <w:sz w:val="15"/>
          <w:szCs w:val="15"/>
          <w:b w:val="1"/>
          <w:bCs w:val="1"/>
          <w:color w:val="auto"/>
        </w:rPr>
        <w:t>Chief Executive Officer of Boston Properties, Inc.</w:t>
      </w:r>
    </w:p>
    <w:p>
      <w:pPr>
        <w:spacing w:after="0" w:line="1" w:lineRule="exact"/>
        <w:rPr>
          <w:sz w:val="20"/>
          <w:szCs w:val="20"/>
          <w:color w:val="auto"/>
        </w:rPr>
      </w:pPr>
    </w:p>
    <w:p>
      <w:pPr>
        <w:jc w:val="center"/>
        <w:ind w:left="6080"/>
        <w:spacing w:after="0"/>
        <w:rPr>
          <w:sz w:val="20"/>
          <w:szCs w:val="20"/>
          <w:color w:val="auto"/>
        </w:rPr>
      </w:pPr>
      <w:r>
        <w:rPr>
          <w:rFonts w:ascii="Arial" w:cs="Arial" w:eastAsia="Arial" w:hAnsi="Arial"/>
          <w:sz w:val="15"/>
          <w:szCs w:val="15"/>
          <w:b w:val="1"/>
          <w:bCs w:val="1"/>
          <w:color w:val="auto"/>
        </w:rPr>
        <w:t>General Partner of Boston Properties Limited Partnership</w:t>
      </w:r>
    </w:p>
    <w:p>
      <w:pPr>
        <w:sectPr>
          <w:pgSz w:w="11900" w:h="16838" w:orient="portrait"/>
          <w:cols w:equalWidth="0" w:num="1">
            <w:col w:w="11240"/>
          </w:cols>
          <w:pgMar w:left="320" w:top="1252"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b w:val="1"/>
          <w:bCs w:val="1"/>
          <w:color w:val="auto"/>
        </w:rPr>
        <w:t>Exhibit 32.4</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 AS ADOPTED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44" w:lineRule="exact"/>
        <w:rPr>
          <w:sz w:val="20"/>
          <w:szCs w:val="20"/>
          <w:color w:val="auto"/>
        </w:rPr>
      </w:pPr>
    </w:p>
    <w:p>
      <w:pPr>
        <w:ind w:right="20" w:firstLine="419"/>
        <w:spacing w:after="0" w:line="254" w:lineRule="auto"/>
        <w:rPr>
          <w:sz w:val="20"/>
          <w:szCs w:val="20"/>
          <w:color w:val="auto"/>
        </w:rPr>
      </w:pPr>
      <w:r>
        <w:rPr>
          <w:rFonts w:ascii="Arial" w:cs="Arial" w:eastAsia="Arial" w:hAnsi="Arial"/>
          <w:sz w:val="17"/>
          <w:szCs w:val="17"/>
          <w:color w:val="auto"/>
        </w:rPr>
        <w:t>The undersigned officer of Boston Properties, Inc., the sole general partner of Boston Properties Limited Partnership (the “Operating Partnership”), hereby certifies to his knowledge that the Operating Partnership’s Quarterly Report on Form 10-Q for the period ended September 30, 2022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Date: November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660"/>
        <w:spacing w:after="0"/>
        <w:tabs>
          <w:tab w:leader="none" w:pos="8000" w:val="left"/>
        </w:tabs>
        <w:rPr>
          <w:sz w:val="20"/>
          <w:szCs w:val="20"/>
          <w:color w:val="auto"/>
        </w:rPr>
      </w:pPr>
      <w:r>
        <w:rPr>
          <w:rFonts w:ascii="Arial" w:cs="Arial" w:eastAsia="Arial" w:hAnsi="Arial"/>
          <w:sz w:val="17"/>
          <w:szCs w:val="17"/>
          <w:color w:val="auto"/>
        </w:rPr>
        <w:t>/s/</w:t>
        <w:tab/>
        <w:t>M</w:t>
      </w:r>
      <w:r>
        <w:rPr>
          <w:rFonts w:ascii="Arial" w:cs="Arial" w:eastAsia="Arial" w:hAnsi="Arial"/>
          <w:sz w:val="11"/>
          <w:szCs w:val="11"/>
          <w:color w:val="auto"/>
        </w:rPr>
        <w:t>ICHAEL</w:t>
      </w:r>
      <w:r>
        <w:rPr>
          <w:rFonts w:ascii="Arial" w:cs="Arial" w:eastAsia="Arial" w:hAnsi="Arial"/>
          <w:sz w:val="17"/>
          <w:szCs w:val="17"/>
          <w:color w:val="auto"/>
        </w:rPr>
        <w:t xml:space="preserve"> E. L</w:t>
      </w:r>
      <w:r>
        <w:rPr>
          <w:rFonts w:ascii="Arial" w:cs="Arial" w:eastAsia="Arial" w:hAnsi="Arial"/>
          <w:sz w:val="11"/>
          <w:szCs w:val="11"/>
          <w:color w:val="auto"/>
        </w:rPr>
        <w:t>A</w:t>
      </w:r>
      <w:r>
        <w:rPr>
          <w:rFonts w:ascii="Arial" w:cs="Arial" w:eastAsia="Arial" w:hAnsi="Arial"/>
          <w:sz w:val="17"/>
          <w:szCs w:val="17"/>
          <w:color w:val="auto"/>
        </w:rPr>
        <w:t>B</w:t>
      </w:r>
      <w:r>
        <w:rPr>
          <w:rFonts w:ascii="Arial" w:cs="Arial" w:eastAsia="Arial" w:hAnsi="Arial"/>
          <w:sz w:val="11"/>
          <w:szCs w:val="11"/>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15240</wp:posOffset>
            </wp:positionV>
            <wp:extent cx="32639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63900" cy="8255"/>
                    </a:xfrm>
                    <a:prstGeom prst="rect">
                      <a:avLst/>
                    </a:prstGeom>
                    <a:noFill/>
                  </pic:spPr>
                </pic:pic>
              </a:graphicData>
            </a:graphic>
          </wp:anchor>
        </w:drawing>
      </w:r>
    </w:p>
    <w:p>
      <w:pPr>
        <w:spacing w:after="0" w:line="11" w:lineRule="exact"/>
        <w:rPr>
          <w:sz w:val="20"/>
          <w:szCs w:val="20"/>
          <w:color w:val="auto"/>
        </w:rPr>
      </w:pPr>
    </w:p>
    <w:p>
      <w:pPr>
        <w:jc w:val="center"/>
        <w:ind w:left="6080"/>
        <w:spacing w:after="0"/>
        <w:rPr>
          <w:sz w:val="20"/>
          <w:szCs w:val="20"/>
          <w:color w:val="auto"/>
        </w:rPr>
      </w:pPr>
      <w:r>
        <w:rPr>
          <w:rFonts w:ascii="Arial" w:cs="Arial" w:eastAsia="Arial" w:hAnsi="Arial"/>
          <w:sz w:val="15"/>
          <w:szCs w:val="15"/>
          <w:b w:val="1"/>
          <w:bCs w:val="1"/>
          <w:color w:val="auto"/>
        </w:rPr>
        <w:t>Michael E. LaBelle</w:t>
      </w:r>
    </w:p>
    <w:p>
      <w:pPr>
        <w:jc w:val="center"/>
        <w:ind w:left="6080"/>
        <w:spacing w:after="0" w:line="211" w:lineRule="auto"/>
        <w:rPr>
          <w:sz w:val="20"/>
          <w:szCs w:val="20"/>
          <w:color w:val="auto"/>
        </w:rPr>
      </w:pPr>
      <w:r>
        <w:rPr>
          <w:rFonts w:ascii="Arial" w:cs="Arial" w:eastAsia="Arial" w:hAnsi="Arial"/>
          <w:sz w:val="15"/>
          <w:szCs w:val="15"/>
          <w:b w:val="1"/>
          <w:bCs w:val="1"/>
          <w:color w:val="auto"/>
        </w:rPr>
        <w:t>Chief Financial Officer of Boston Properties, Inc.</w:t>
      </w:r>
    </w:p>
    <w:p>
      <w:pPr>
        <w:spacing w:after="0" w:line="1" w:lineRule="exact"/>
        <w:rPr>
          <w:sz w:val="20"/>
          <w:szCs w:val="20"/>
          <w:color w:val="auto"/>
        </w:rPr>
      </w:pPr>
    </w:p>
    <w:p>
      <w:pPr>
        <w:jc w:val="center"/>
        <w:ind w:left="6080"/>
        <w:spacing w:after="0"/>
        <w:rPr>
          <w:sz w:val="20"/>
          <w:szCs w:val="20"/>
          <w:color w:val="auto"/>
        </w:rPr>
      </w:pPr>
      <w:r>
        <w:rPr>
          <w:rFonts w:ascii="Arial" w:cs="Arial" w:eastAsia="Arial" w:hAnsi="Arial"/>
          <w:sz w:val="15"/>
          <w:szCs w:val="15"/>
          <w:b w:val="1"/>
          <w:bCs w:val="1"/>
          <w:color w:val="auto"/>
        </w:rPr>
        <w:t>General Partner of Boston Properties Limited Partnership</w:t>
      </w:r>
    </w:p>
    <w:sectPr>
      <w:pgSz w:w="11900" w:h="16838" w:orient="portrait"/>
      <w:cols w:equalWidth="0" w:num="1">
        <w:col w:w="11240"/>
      </w:cols>
      <w:pgMar w:left="320" w:top="12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lvl w:ilvl="1">
      <w:lvlJc w:val="left"/>
      <w:lvlText w:val="•"/>
      <w:numFmt w:val="bullet"/>
      <w:start w:val="1"/>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1)"/>
      <w:numFmt w:val="decimal"/>
      <w:start w:val="1"/>
    </w:lvl>
  </w:abstractNum>
  <w:abstractNum w:abstractNumId="10">
    <w:nsid w:val="4B588F54"/>
    <w:multiLevelType w:val="hybridMultilevel"/>
    <w:lvl w:ilvl="0">
      <w:lvlJc w:val="left"/>
      <w:lvlText w:val="(%1)"/>
      <w:numFmt w:val="decimal"/>
      <w:start w:val="9"/>
    </w:lvl>
  </w:abstractNum>
  <w:abstractNum w:abstractNumId="11">
    <w:nsid w:val="542289EC"/>
    <w:multiLevelType w:val="hybridMultilevel"/>
    <w:lvl w:ilvl="0">
      <w:lvlJc w:val="left"/>
      <w:lvlText w:val="(%1)"/>
      <w:numFmt w:val="decimal"/>
      <w:start w:val="1"/>
    </w:lvl>
  </w:abstractNum>
  <w:abstractNum w:abstractNumId="12">
    <w:nsid w:val="6DE91B18"/>
    <w:multiLevelType w:val="hybridMultilevel"/>
    <w:lvl w:ilvl="0">
      <w:lvlJc w:val="left"/>
      <w:lvlText w:val="(%1)"/>
      <w:numFmt w:val="decimal"/>
      <w:start w:val="4"/>
    </w:lvl>
  </w:abstractNum>
  <w:abstractNum w:abstractNumId="13">
    <w:nsid w:val="38437FDB"/>
    <w:multiLevelType w:val="hybridMultilevel"/>
    <w:lvl w:ilvl="0">
      <w:lvlJc w:val="left"/>
      <w:lvlText w:val="(%1)"/>
      <w:numFmt w:val="decimal"/>
      <w:start w:val="1"/>
    </w:lvl>
  </w:abstractNum>
  <w:abstractNum w:abstractNumId="14">
    <w:nsid w:val="7644A45C"/>
    <w:multiLevelType w:val="hybridMultilevel"/>
    <w:lvl w:ilvl="0">
      <w:lvlJc w:val="left"/>
      <w:lvlText w:val="(%1)"/>
      <w:numFmt w:val="lowerLetter"/>
      <w:start w:val="1"/>
    </w:lvl>
  </w:abstractNum>
  <w:abstractNum w:abstractNumId="15">
    <w:nsid w:val="32FFF902"/>
    <w:multiLevelType w:val="hybridMultilevel"/>
    <w:lvl w:ilvl="0">
      <w:lvlJc w:val="left"/>
      <w:lvlText w:val="(%1)"/>
      <w:numFmt w:val="decimal"/>
      <w:start w:val="1"/>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1"/>
      <w:numFmt w:val="decimal"/>
      <w:start w:val="1"/>
    </w:lvl>
    <w:lvl w:ilvl="1">
      <w:lvlJc w:val="left"/>
      <w:lvlText w:val="(%2)"/>
      <w:numFmt w:val="decimal"/>
      <w:start w:val="1"/>
    </w:lvl>
  </w:abstractNum>
  <w:abstractNum w:abstractNumId="19">
    <w:nsid w:val="3DC240FB"/>
    <w:multiLevelType w:val="hybridMultilevel"/>
    <w:lvl w:ilvl="0">
      <w:lvlJc w:val="left"/>
      <w:lvlText w:val="%1."/>
      <w:numFmt w:val="decimal"/>
      <w:start w:val="11"/>
    </w:lvl>
    <w:lvl w:ilvl="1">
      <w:lvlJc w:val="left"/>
      <w:lvlText w:val="%2"/>
      <w:numFmt w:val="decimal"/>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1)"/>
      <w:numFmt w:val="decimal"/>
      <w:start w:val="2"/>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1)"/>
      <w:numFmt w:val="decimal"/>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decimal"/>
      <w:start w:val="1"/>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1)"/>
      <w:numFmt w:val="decimal"/>
      <w:start w:val="1"/>
    </w:lvl>
  </w:abstractNum>
  <w:abstractNum w:abstractNumId="50">
    <w:nsid w:val="1DBABF00"/>
    <w:multiLevelType w:val="hybridMultilevel"/>
    <w:lvl w:ilvl="0">
      <w:lvlJc w:val="left"/>
      <w:lvlText w:val="(%1)"/>
      <w:numFmt w:val="decimal"/>
      <w:start w:val="1"/>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1)"/>
      <w:numFmt w:val="decimal"/>
      <w:start w:val="2"/>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1)"/>
      <w:numFmt w:val="decimal"/>
      <w:start w:val="1"/>
    </w:lvl>
  </w:abstractNum>
  <w:abstractNum w:abstractNumId="57">
    <w:nsid w:val="15014ACB"/>
    <w:multiLevelType w:val="hybridMultilevel"/>
    <w:lvl w:ilvl="0">
      <w:lvlJc w:val="left"/>
      <w:lvlText w:val="(%1)"/>
      <w:numFmt w:val="decimal"/>
      <w:start w:val="2"/>
    </w:lvl>
  </w:abstractNum>
  <w:abstractNum w:abstractNumId="58">
    <w:nsid w:val="5F5E7FD0"/>
    <w:multiLevelType w:val="hybridMultilevel"/>
    <w:lvl w:ilvl="0">
      <w:lvlJc w:val="left"/>
      <w:lvlText w:val="(%1)"/>
      <w:numFmt w:val="decimal"/>
      <w:start w:val="6"/>
    </w:lvl>
  </w:abstractNum>
  <w:abstractNum w:abstractNumId="59">
    <w:nsid w:val="98A3148"/>
    <w:multiLevelType w:val="hybridMultilevel"/>
    <w:lvl w:ilvl="0">
      <w:lvlJc w:val="left"/>
      <w:lvlText w:val="(%1)"/>
      <w:numFmt w:val="decimal"/>
      <w:start w:val="1"/>
    </w:lvl>
  </w:abstractNum>
  <w:abstractNum w:abstractNumId="60">
    <w:nsid w:val="799D0247"/>
    <w:multiLevelType w:val="hybridMultilevel"/>
    <w:lvl w:ilvl="0">
      <w:lvlJc w:val="left"/>
      <w:lvlText w:val="(%1)"/>
      <w:numFmt w:val="decimal"/>
      <w:start w:val="1"/>
    </w:lvl>
    <w:lvl w:ilvl="1">
      <w:lvlJc w:val="left"/>
      <w:lvlText w:val="(%2)"/>
      <w:numFmt w:val="lowerRoman"/>
      <w:start w:val="1"/>
    </w:lvl>
  </w:abstractNum>
  <w:abstractNum w:abstractNumId="61">
    <w:nsid w:val="6B94764"/>
    <w:multiLevelType w:val="hybridMultilevel"/>
    <w:lvl w:ilvl="0">
      <w:lvlJc w:val="left"/>
      <w:lvlText w:val="(%1)"/>
      <w:numFmt w:val="decimal"/>
      <w:start w:val="2"/>
    </w:lvl>
  </w:abstractNum>
  <w:abstractNum w:abstractNumId="62">
    <w:nsid w:val="42C296BD"/>
    <w:multiLevelType w:val="hybridMultilevel"/>
    <w:lvl w:ilvl="0">
      <w:lvlJc w:val="left"/>
      <w:lvlText w:val="(%1)"/>
      <w:numFmt w:val="decimal"/>
      <w:start w:val="1"/>
    </w:lvl>
  </w:abstractNum>
  <w:abstractNum w:abstractNumId="63">
    <w:nsid w:val="168E121F"/>
    <w:multiLevelType w:val="hybridMultilevel"/>
    <w:lvl w:ilvl="0">
      <w:lvlJc w:val="left"/>
      <w:lvlText w:val="(%1)"/>
      <w:numFmt w:val="lowerLetter"/>
      <w:start w:val="1"/>
    </w:lvl>
  </w:abstractNum>
  <w:abstractNum w:abstractNumId="64">
    <w:nsid w:val="1EBA5D23"/>
    <w:multiLevelType w:val="hybridMultilevel"/>
    <w:lvl w:ilvl="0">
      <w:lvlJc w:val="left"/>
      <w:lvlText w:val="(%1)"/>
      <w:numFmt w:val="decimal"/>
      <w:start w:val="1"/>
    </w:lvl>
  </w:abstractNum>
  <w:abstractNum w:abstractNumId="65">
    <w:nsid w:val="661E3F1E"/>
    <w:multiLevelType w:val="hybridMultilevel"/>
    <w:lvl w:ilvl="0">
      <w:lvlJc w:val="left"/>
      <w:lvlText w:val="(%1)"/>
      <w:numFmt w:val="decimal"/>
      <w:start w:val="1"/>
    </w:lvl>
  </w:abstractNum>
  <w:abstractNum w:abstractNumId="66">
    <w:nsid w:val="5DC79EA8"/>
    <w:multiLevelType w:val="hybridMultilevel"/>
    <w:lvl w:ilvl="0">
      <w:lvlJc w:val="left"/>
      <w:lvlText w:val="(%1)"/>
      <w:numFmt w:val="decimal"/>
      <w:start w:val="1"/>
    </w:lvl>
  </w:abstractNum>
  <w:abstractNum w:abstractNumId="67">
    <w:nsid w:val="540A471C"/>
    <w:multiLevelType w:val="hybridMultilevel"/>
    <w:lvl w:ilvl="0">
      <w:lvlJc w:val="left"/>
      <w:lvlText w:val="(%1)"/>
      <w:numFmt w:val="decimal"/>
      <w:start w:val="5"/>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1)"/>
      <w:numFmt w:val="lowerLetter"/>
      <w:start w:val="1"/>
    </w:lvl>
  </w:abstractNum>
  <w:abstractNum w:abstractNumId="70">
    <w:nsid w:val="613EFDC5"/>
    <w:multiLevelType w:val="hybridMultilevel"/>
    <w:lvl w:ilvl="0">
      <w:lvlJc w:val="left"/>
      <w:lvlText w:val="(%1)"/>
      <w:numFmt w:val="lowerLetter"/>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lowerLetter"/>
      <w:start w:val="1"/>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lowerLetter"/>
      <w:start w:val="1"/>
    </w:lvl>
  </w:abstractNum>
  <w:abstractNum w:abstractNumId="76">
    <w:nsid w:val="1A32234B"/>
    <w:multiLevelType w:val="hybridMultilevel"/>
    <w:lvl w:ilvl="0">
      <w:lvlJc w:val="left"/>
      <w:lvlText w:val="%1"/>
      <w:numFmt w:val="decimal"/>
      <w:start w:val="104"/>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2022-11-04T13:47:49Z</dcterms:created>
  <dcterms:modified xsi:type="dcterms:W3CDTF">2022-11-04T13:47:49Z</dcterms:modified>
</cp:coreProperties>
</file>