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96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968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FLASHMAN ARTHUR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BOSTON PROPERTIES,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800 BOYLSTON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BOSTON PROPERTIES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BXP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08/22/2011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Vice President - Controller</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800" w:type="dxa"/>
            <w:vAlign w:val="bottom"/>
            <w:gridSpan w:val="11"/>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BOSTON</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MA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02199</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0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52"/>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par value $.01</w:t>
            </w:r>
          </w:p>
        </w:tc>
        <w:tc>
          <w:tcPr>
            <w:tcW w:w="1940" w:type="dxa"/>
            <w:vAlign w:val="bottom"/>
            <w:tcBorders>
              <w:bottom w:val="single" w:sz="8" w:color="2C2C2C"/>
            </w:tcBorders>
            <w:gridSpan w:val="3"/>
          </w:tcPr>
          <w:p>
            <w:pPr>
              <w:jc w:val="center"/>
              <w:ind w:left="611"/>
              <w:spacing w:after="0"/>
              <w:rPr>
                <w:sz w:val="20"/>
                <w:szCs w:val="20"/>
                <w:color w:val="auto"/>
              </w:rPr>
            </w:pPr>
            <w:r>
              <w:rPr>
                <w:rFonts w:ascii="Arial" w:cs="Arial" w:eastAsia="Arial" w:hAnsi="Arial"/>
                <w:sz w:val="18"/>
                <w:szCs w:val="18"/>
                <w:color w:val="0000FF"/>
                <w:w w:val="86"/>
              </w:rPr>
              <w:t>08/22/2011</w:t>
            </w:r>
          </w:p>
        </w:tc>
        <w:tc>
          <w:tcPr>
            <w:tcW w:w="9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C</w:t>
            </w:r>
            <w:r>
              <w:rPr>
                <w:rFonts w:ascii="Arial" w:cs="Arial" w:eastAsia="Arial" w:hAnsi="Arial"/>
                <w:sz w:val="11"/>
                <w:szCs w:val="11"/>
                <w:color w:val="008000"/>
              </w:rPr>
              <w:t>(1)</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w w:val="93"/>
              </w:rPr>
              <w:t>3,266</w:t>
            </w:r>
          </w:p>
        </w:tc>
        <w:tc>
          <w:tcPr>
            <w:tcW w:w="6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right"/>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360" w:type="dxa"/>
            <w:vAlign w:val="bottom"/>
            <w:tcBorders>
              <w:bottom w:val="single" w:sz="8" w:color="2C2C2C"/>
            </w:tcBorders>
            <w:gridSpan w:val="3"/>
          </w:tcPr>
          <w:p>
            <w:pPr>
              <w:ind w:left="520"/>
              <w:spacing w:after="0"/>
              <w:rPr>
                <w:sz w:val="20"/>
                <w:szCs w:val="20"/>
                <w:color w:val="auto"/>
              </w:rPr>
            </w:pPr>
            <w:r>
              <w:rPr>
                <w:rFonts w:ascii="Arial" w:cs="Arial" w:eastAsia="Arial" w:hAnsi="Arial"/>
                <w:sz w:val="18"/>
                <w:szCs w:val="18"/>
                <w:color w:val="0000FF"/>
              </w:rPr>
              <w:t>4,636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2"/>
          </w:tcPr>
          <w:p>
            <w:pPr>
              <w:jc w:val="right"/>
              <w:ind w:right="5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27"/>
                <w:szCs w:val="27"/>
                <w:color w:val="0000FF"/>
                <w:vertAlign w:val="subscript"/>
              </w:rPr>
              <w:t>C</w:t>
            </w:r>
            <w:r>
              <w:rPr>
                <w:rFonts w:ascii="Arial" w:cs="Arial" w:eastAsia="Arial" w:hAnsi="Arial"/>
                <w:sz w:val="11"/>
                <w:szCs w:val="11"/>
                <w:color w:val="008000"/>
              </w:rPr>
              <w:t>(1)</w:t>
            </w: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6"/>
              <w:spacing w:after="0"/>
              <w:rPr>
                <w:sz w:val="20"/>
                <w:szCs w:val="20"/>
                <w:color w:val="auto"/>
              </w:rPr>
            </w:pPr>
            <w:r>
              <w:rPr>
                <w:rFonts w:ascii="Arial" w:cs="Arial" w:eastAsia="Arial" w:hAnsi="Arial"/>
                <w:sz w:val="18"/>
                <w:szCs w:val="18"/>
                <w:color w:val="0000FF"/>
                <w:w w:val="93"/>
              </w:rPr>
              <w:t>3,266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OP</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7"/>
                <w:szCs w:val="7"/>
                <w:color w:val="auto"/>
              </w:rPr>
            </w:pPr>
          </w:p>
        </w:tc>
        <w:tc>
          <w:tcPr>
            <w:tcW w:w="108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rPr>
              <w:t>08/22/2011</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920" w:type="dxa"/>
            <w:vAlign w:val="bottom"/>
            <w:vMerge w:val="restart"/>
          </w:tcPr>
          <w:p>
            <w:pPr>
              <w:ind w:left="480"/>
              <w:spacing w:after="0" w:line="146" w:lineRule="exact"/>
              <w:rPr>
                <w:sz w:val="20"/>
                <w:szCs w:val="20"/>
                <w:color w:val="auto"/>
              </w:rPr>
            </w:pPr>
            <w:r>
              <w:rPr>
                <w:rFonts w:ascii="Arial" w:cs="Arial" w:eastAsia="Arial" w:hAnsi="Arial"/>
                <w:sz w:val="14"/>
                <w:szCs w:val="14"/>
                <w:color w:val="0000FF"/>
              </w:rPr>
              <w:t>3,266</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8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8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redeemed 3,266 units of limited partnership interest of Boston Properties Limited Partnership ("Common OP Units"), of which the Issuer is the general partner. Each Common OP Unit may be redeemed, at the election of the holder, for cash equal to the fair market value of a share of the Issuer's Common Stock except that the Issuer may, at its election, acquire the Common OP Unit presented for redemption for one share of Common Stock. The Issuer elected to redeem the Reporting Person's Common OP Units with Common Stock. Common OP Units have no expiration date.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6"/>
              </w:rPr>
              <w:t>/s/ Kelli A. DiLuglio,</w:t>
            </w:r>
          </w:p>
        </w:tc>
        <w:tc>
          <w:tcPr>
            <w:tcW w:w="60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08/24/2011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7095" TargetMode="External"/><Relationship Id="rId13"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2019-12-18T11:34:27Z</dcterms:created>
  <dcterms:modified xsi:type="dcterms:W3CDTF">2019-12-18T11:34:27Z</dcterms:modified>
</cp:coreProperties>
</file>