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70853.xml.htm"/>
      <w:bookmarkStart w:id="1" w:name="kswkform4_17908708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West Tony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BOYLSTON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BXP, Inc.</w:t>
              </w:r>
            </w:hyperlink>
            <w:r>
              <w:rPr/>
              <w:t xml:space="preserve"> [ </w:t>
            </w:r>
            <w:r>
              <w:rPr>
                <w:rFonts w:ascii="Times;serif" w:hAnsi="Times;serif"/>
                <w:color w:val="0000FF"/>
                <w:sz w:val="24"/>
                <w:shd w:fill="FFFFFF" w:val="clear"/>
              </w:rPr>
              <w:t>BXP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388.64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61.11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5,235.25</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convert to BXP, Inc. ("BXP")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47.90 Phantom Stock Units received pursuant to dividend equivalent rights which were credited to the Reporting Person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Kelli A. DiLuglio,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6201" TargetMode="External"/><Relationship Id="rId5" Type="http://schemas.openxmlformats.org/officeDocument/2006/relationships/hyperlink" Target="http://www.sec.gov/cgi-bin/browse-edgar?action=getcompany&amp;CIK=0001037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770</Words>
  <Characters>4111</Characters>
  <CharactersWithSpaces>4807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