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38" w:lineRule="auto"/>
        <w:rPr>
          <w:sz w:val="20"/>
          <w:szCs w:val="20"/>
          <w:color w:val="auto"/>
        </w:rPr>
      </w:pPr>
      <w:r>
        <w:rPr>
          <w:rFonts w:ascii="Courier New" w:cs="Courier New" w:eastAsia="Courier New" w:hAnsi="Courier New"/>
          <w:sz w:val="18"/>
          <w:szCs w:val="18"/>
          <w:color w:val="auto"/>
        </w:rPr>
        <w:t>Boston Properties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 101121101</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101121101</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Commonwealth of Massachusetts</w:t>
      </w:r>
    </w:p>
    <w:p>
      <w:pPr>
        <w:spacing w:after="0" w:line="237" w:lineRule="auto"/>
        <w:rPr>
          <w:sz w:val="20"/>
          <w:szCs w:val="20"/>
          <w:color w:val="auto"/>
        </w:rPr>
      </w:pPr>
      <w:r>
        <w:rPr>
          <w:rFonts w:ascii="Courier New" w:cs="Courier New" w:eastAsia="Courier New" w:hAnsi="Courier New"/>
          <w:sz w:val="18"/>
          <w:szCs w:val="18"/>
          <w:color w:val="auto"/>
        </w:rPr>
        <w:t>Item 5: 181,500</w:t>
      </w:r>
    </w:p>
    <w:p>
      <w:pPr>
        <w:spacing w:after="0" w:line="238" w:lineRule="auto"/>
        <w:rPr>
          <w:sz w:val="20"/>
          <w:szCs w:val="20"/>
          <w:color w:val="auto"/>
        </w:rPr>
      </w:pPr>
      <w:r>
        <w:rPr>
          <w:rFonts w:ascii="Courier New" w:cs="Courier New" w:eastAsia="Courier New" w:hAnsi="Courier New"/>
          <w:sz w:val="18"/>
          <w:szCs w:val="18"/>
          <w:color w:val="auto"/>
        </w:rPr>
        <w:t>Item 6: None</w:t>
      </w:r>
    </w:p>
    <w:p>
      <w:pPr>
        <w:spacing w:after="0"/>
        <w:rPr>
          <w:sz w:val="20"/>
          <w:szCs w:val="20"/>
          <w:color w:val="auto"/>
        </w:rPr>
      </w:pPr>
      <w:r>
        <w:rPr>
          <w:rFonts w:ascii="Courier New" w:cs="Courier New" w:eastAsia="Courier New" w:hAnsi="Courier New"/>
          <w:sz w:val="18"/>
          <w:szCs w:val="18"/>
          <w:color w:val="auto"/>
        </w:rPr>
        <w:t>Item 7: 2,968,600</w:t>
      </w:r>
    </w:p>
    <w:p>
      <w:pPr>
        <w:spacing w:after="0" w:line="237"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2,968,600</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7.67%</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HC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101121101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None</w:t>
      </w:r>
    </w:p>
    <w:p>
      <w:pPr>
        <w:spacing w:after="0"/>
        <w:rPr>
          <w:sz w:val="20"/>
          <w:szCs w:val="20"/>
          <w:color w:val="auto"/>
        </w:rPr>
      </w:pPr>
      <w:r>
        <w:rPr>
          <w:rFonts w:ascii="Courier New" w:cs="Courier New" w:eastAsia="Courier New" w:hAnsi="Courier New"/>
          <w:sz w:val="18"/>
          <w:szCs w:val="18"/>
          <w:color w:val="auto"/>
        </w:rPr>
        <w:t>Item 6: None</w:t>
      </w:r>
    </w:p>
    <w:p>
      <w:pPr>
        <w:spacing w:after="0" w:line="237" w:lineRule="auto"/>
        <w:rPr>
          <w:sz w:val="20"/>
          <w:szCs w:val="20"/>
          <w:color w:val="auto"/>
        </w:rPr>
      </w:pPr>
      <w:r>
        <w:rPr>
          <w:rFonts w:ascii="Courier New" w:cs="Courier New" w:eastAsia="Courier New" w:hAnsi="Courier New"/>
          <w:sz w:val="18"/>
          <w:szCs w:val="18"/>
          <w:color w:val="auto"/>
        </w:rPr>
        <w:t>Item 7: 2,968,600</w:t>
      </w:r>
    </w:p>
    <w:p>
      <w:pPr>
        <w:spacing w:after="0" w:line="238"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2,968,600</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7.67%</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IN</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101121101</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None</w:t>
      </w:r>
    </w:p>
    <w:p>
      <w:pPr>
        <w:spacing w:after="0" w:line="238" w:lineRule="auto"/>
        <w:rPr>
          <w:sz w:val="20"/>
          <w:szCs w:val="20"/>
          <w:color w:val="auto"/>
        </w:rPr>
      </w:pPr>
      <w:r>
        <w:rPr>
          <w:rFonts w:ascii="Courier New" w:cs="Courier New" w:eastAsia="Courier New" w:hAnsi="Courier New"/>
          <w:sz w:val="18"/>
          <w:szCs w:val="18"/>
          <w:color w:val="auto"/>
        </w:rPr>
        <w:t>Item 6: None</w:t>
      </w:r>
    </w:p>
    <w:p>
      <w:pPr>
        <w:spacing w:after="0"/>
        <w:rPr>
          <w:sz w:val="20"/>
          <w:szCs w:val="20"/>
          <w:color w:val="auto"/>
        </w:rPr>
      </w:pPr>
      <w:r>
        <w:rPr>
          <w:rFonts w:ascii="Courier New" w:cs="Courier New" w:eastAsia="Courier New" w:hAnsi="Courier New"/>
          <w:sz w:val="18"/>
          <w:szCs w:val="18"/>
          <w:color w:val="auto"/>
        </w:rPr>
        <w:t>Item 7: 2,968,600</w:t>
      </w:r>
    </w:p>
    <w:p>
      <w:pPr>
        <w:spacing w:after="0" w:line="237"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2,968,600</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7.67%</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IN</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Boston Properties Incorporated</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Issuer's Principal Executive Offices:</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8 Arlington Street</w:t>
      </w:r>
    </w:p>
    <w:p>
      <w:pPr>
        <w:spacing w:after="0" w:line="16" w:lineRule="exact"/>
        <w:rPr>
          <w:sz w:val="24"/>
          <w:szCs w:val="24"/>
          <w:color w:val="auto"/>
        </w:rPr>
      </w:pP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Boston, MA</w:t>
      </w:r>
      <w:r>
        <w:rPr>
          <w:sz w:val="20"/>
          <w:szCs w:val="20"/>
          <w:color w:val="auto"/>
        </w:rPr>
        <w:tab/>
      </w:r>
      <w:r>
        <w:rPr>
          <w:rFonts w:ascii="Courier New" w:cs="Courier New" w:eastAsia="Courier New" w:hAnsi="Courier New"/>
          <w:sz w:val="16"/>
          <w:szCs w:val="16"/>
          <w:color w:val="auto"/>
        </w:rPr>
        <w:t>02116</w:t>
      </w:r>
    </w:p>
    <w:p>
      <w:pPr>
        <w:sectPr>
          <w:pgSz w:w="11900" w:h="16838" w:orient="portrait"/>
          <w:cols w:equalWidth="0" w:num="1">
            <w:col w:w="10219"/>
          </w:cols>
          <w:pgMar w:left="240" w:top="852"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FMR Corp.</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 Residence:</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82 Devonshire Street, Boston, Massachusetts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02109</w:t>
      </w:r>
    </w:p>
    <w:p>
      <w:pPr>
        <w:spacing w:after="0" w:line="200" w:lineRule="exact"/>
        <w:rPr>
          <w:sz w:val="24"/>
          <w:szCs w:val="24"/>
          <w:color w:val="auto"/>
        </w:rPr>
      </w:pPr>
    </w:p>
    <w:p>
      <w:pPr>
        <w:sectPr>
          <w:pgSz w:w="11900" w:h="16838" w:orient="portrait"/>
          <w:cols w:equalWidth="0" w:num="2">
            <w:col w:w="6220" w:space="220"/>
            <w:col w:w="3779"/>
          </w:cols>
          <w:pgMar w:left="240" w:top="852"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Common Stock</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ectPr>
          <w:pgSz w:w="11900" w:h="16838" w:orient="portrait"/>
          <w:cols w:equalWidth="0" w:num="2">
            <w:col w:w="1060" w:space="640"/>
            <w:col w:w="8519"/>
          </w:cols>
          <w:pgMar w:left="240" w:top="852" w:right="1440" w:bottom="0" w:gutter="0" w:footer="0" w:header="0"/>
          <w:type w:val="continuous"/>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101121101</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left="860" w:right="5779" w:hanging="9"/>
        <w:spacing w:after="0" w:line="235" w:lineRule="auto"/>
        <w:tabs>
          <w:tab w:leader="none" w:pos="170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2,968,600</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sz w:val="20"/>
          <w:szCs w:val="20"/>
          <w:color w:val="auto"/>
        </w:rPr>
      </w:pPr>
      <w:r>
        <w:rPr>
          <w:rFonts w:ascii="Courier New" w:cs="Courier New" w:eastAsia="Courier New" w:hAnsi="Courier New"/>
          <w:sz w:val="18"/>
          <w:szCs w:val="18"/>
          <w:color w:val="auto"/>
        </w:rPr>
        <w:t>7.67%</w:t>
      </w:r>
    </w:p>
    <w:p>
      <w:pPr>
        <w:spacing w:after="0" w:line="202"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181,500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7" w:lineRule="exact"/>
        <w:rPr>
          <w:rFonts w:ascii="Courier New" w:cs="Courier New" w:eastAsia="Courier New" w:hAnsi="Courier New"/>
          <w:sz w:val="18"/>
          <w:szCs w:val="18"/>
          <w:color w:val="auto"/>
        </w:rPr>
      </w:pPr>
    </w:p>
    <w:p>
      <w:pPr>
        <w:ind w:left="860" w:right="2839" w:hanging="9"/>
        <w:spacing w:after="0" w:line="235" w:lineRule="auto"/>
        <w:tabs>
          <w:tab w:leader="none" w:pos="170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2,968,600</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3359" w:firstLine="843"/>
        <w:spacing w:after="0" w:line="268" w:lineRule="auto"/>
        <w:rPr>
          <w:sz w:val="20"/>
          <w:szCs w:val="20"/>
          <w:color w:val="auto"/>
        </w:rPr>
      </w:pPr>
      <w:r>
        <w:rPr>
          <w:rFonts w:ascii="Courier New" w:cs="Courier New" w:eastAsia="Courier New" w:hAnsi="Courier New"/>
          <w:sz w:val="16"/>
          <w:szCs w:val="16"/>
          <w:color w:val="auto"/>
        </w:rPr>
        <w:t>Various persons have the right to receive or the power to direct the receipt of dividends from, or the proceeds from the sale of, the common stock of Boston Properties Incorporated.</w:t>
      </w:r>
    </w:p>
    <w:p>
      <w:pPr>
        <w:spacing w:after="0" w:line="1"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8"/>
          <w:szCs w:val="18"/>
          <w:color w:val="auto"/>
        </w:rPr>
        <w:t>No one person's interest in the common stock of Boston Properties Incorporated is more than five percent of the total outstanding common stock.</w:t>
      </w: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and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w:t>
      </w:r>
    </w:p>
    <w:p>
      <w:pPr>
        <w:ind w:right="3579"/>
        <w:spacing w:after="0" w:line="237" w:lineRule="auto"/>
        <w:rPr>
          <w:sz w:val="20"/>
          <w:szCs w:val="20"/>
          <w:color w:val="auto"/>
        </w:rPr>
      </w:pPr>
      <w:r>
        <w:rPr>
          <w:rFonts w:ascii="Courier New" w:cs="Courier New" w:eastAsia="Courier New" w:hAnsi="Courier New"/>
          <w:sz w:val="18"/>
          <w:szCs w:val="18"/>
          <w:color w:val="auto"/>
        </w:rPr>
        <w:t>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3579"/>
        <w:spacing w:after="0" w:line="279" w:lineRule="auto"/>
        <w:rPr>
          <w:sz w:val="20"/>
          <w:szCs w:val="20"/>
          <w:color w:val="auto"/>
        </w:rPr>
      </w:pPr>
      <w:r>
        <w:rPr>
          <w:rFonts w:ascii="Courier New" w:cs="Courier New" w:eastAsia="Courier New" w:hAnsi="Courier New"/>
          <w:sz w:val="16"/>
          <w:szCs w:val="16"/>
          <w:color w:val="auto"/>
        </w:rPr>
        <w:t>Schedule 13G in connection with FMR Corp.'s beneficial ownership of the common stock of Boston Properties Incorporated at December 31, 1997 is true, complete and correct.</w:t>
      </w:r>
    </w:p>
    <w:p>
      <w:pPr>
        <w:spacing w:after="0" w:line="37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14, 1998</w:t>
      </w:r>
    </w:p>
    <w:p>
      <w:pPr>
        <w:spacing w:after="0" w:line="238" w:lineRule="auto"/>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339" w:right="1440" w:bottom="0"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w:t>
      </w:r>
    </w:p>
    <w:p>
      <w:pPr>
        <w:spacing w:after="0"/>
        <w:rPr>
          <w:sz w:val="20"/>
          <w:szCs w:val="20"/>
          <w:color w:val="auto"/>
        </w:rPr>
      </w:pPr>
      <w:r>
        <w:rPr>
          <w:rFonts w:ascii="Courier New" w:cs="Courier New" w:eastAsia="Courier New" w:hAnsi="Courier New"/>
          <w:sz w:val="18"/>
          <w:szCs w:val="18"/>
          <w:color w:val="auto"/>
        </w:rPr>
        <w:t>Attorney</w:t>
      </w:r>
    </w:p>
    <w:p>
      <w:pPr>
        <w:spacing w:after="0" w:line="237" w:lineRule="auto"/>
        <w:rPr>
          <w:sz w:val="20"/>
          <w:szCs w:val="20"/>
          <w:color w:val="auto"/>
        </w:rPr>
      </w:pPr>
      <w:r>
        <w:rPr>
          <w:rFonts w:ascii="Courier New" w:cs="Courier New" w:eastAsia="Courier New" w:hAnsi="Courier New"/>
          <w:sz w:val="18"/>
          <w:szCs w:val="18"/>
          <w:color w:val="auto"/>
        </w:rPr>
        <w:t>dated December 30, 1997, by</w:t>
      </w:r>
    </w:p>
    <w:p>
      <w:pPr>
        <w:spacing w:after="0" w:line="238" w:lineRule="auto"/>
        <w:rPr>
          <w:sz w:val="20"/>
          <w:szCs w:val="20"/>
          <w:color w:val="auto"/>
        </w:rPr>
      </w:pPr>
      <w:r>
        <w:rPr>
          <w:rFonts w:ascii="Courier New" w:cs="Courier New" w:eastAsia="Courier New" w:hAnsi="Courier New"/>
          <w:sz w:val="18"/>
          <w:szCs w:val="18"/>
          <w:color w:val="auto"/>
        </w:rPr>
        <w:t>and on behalf</w:t>
      </w:r>
    </w:p>
    <w:p>
      <w:pPr>
        <w:spacing w:after="0"/>
        <w:rPr>
          <w:sz w:val="20"/>
          <w:szCs w:val="20"/>
          <w:color w:val="auto"/>
        </w:rPr>
      </w:pPr>
      <w:r>
        <w:rPr>
          <w:rFonts w:ascii="Courier New" w:cs="Courier New" w:eastAsia="Courier New" w:hAnsi="Courier New"/>
          <w:sz w:val="18"/>
          <w:szCs w:val="18"/>
          <w:color w:val="auto"/>
        </w:rPr>
        <w:t>of FMR Corp. and its direct</w:t>
      </w:r>
    </w:p>
    <w:p>
      <w:pPr>
        <w:spacing w:after="0" w:line="237" w:lineRule="auto"/>
        <w:rPr>
          <w:sz w:val="20"/>
          <w:szCs w:val="20"/>
          <w:color w:val="auto"/>
        </w:rPr>
      </w:pPr>
      <w:r>
        <w:rPr>
          <w:rFonts w:ascii="Courier New" w:cs="Courier New" w:eastAsia="Courier New" w:hAnsi="Courier New"/>
          <w:sz w:val="18"/>
          <w:szCs w:val="18"/>
          <w:color w:val="auto"/>
        </w:rPr>
        <w:t>and indirect</w:t>
      </w:r>
    </w:p>
    <w:p>
      <w:pPr>
        <w:spacing w:after="0"/>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2,779,100 shares or 7.18% of the common stock outstanding of Boston Properties Incorporated ("the Company") as a result of acting as investment adviser to various investment companies registered under Section 8 of the Investment Company Act of 1940.</w:t>
      </w:r>
    </w:p>
    <w:p>
      <w:pPr>
        <w:spacing w:after="0" w:line="212" w:lineRule="exact"/>
        <w:rPr>
          <w:sz w:val="20"/>
          <w:szCs w:val="20"/>
          <w:color w:val="auto"/>
        </w:rPr>
      </w:pPr>
    </w:p>
    <w:p>
      <w:pPr>
        <w:ind w:right="167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2,779,100 shares owned by the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189,500 shares or 0.49% of the common stock outstanding of the Company as a result of its serving as investment manager of the institutional account(s).</w:t>
      </w:r>
    </w:p>
    <w:p>
      <w:pPr>
        <w:spacing w:after="0" w:line="210"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each has sole dispositive power over 189,500 shares and sole power to vote or to direct the voting of 181,500 shares, and no power to vote or to direct the voting of 8,000 shares of common stock owned by the institutional account(s) as reported above.</w:t>
      </w:r>
    </w:p>
    <w:p>
      <w:pPr>
        <w:spacing w:after="0" w:line="209"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and trusts for their benefit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6"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1998, agree and consent to the joint filing on their behalf of this Schedule 13G in connection with their beneficial ownership of the common stock of Boston Properties Incorporated at December 31, 1997.</w:t>
      </w:r>
    </w:p>
    <w:p>
      <w:pPr>
        <w:ind w:left="860"/>
        <w:spacing w:after="0"/>
        <w:rPr>
          <w:sz w:val="20"/>
          <w:szCs w:val="20"/>
          <w:color w:val="auto"/>
        </w:rPr>
      </w:pPr>
      <w:r>
        <w:rPr>
          <w:rFonts w:ascii="Courier New" w:cs="Courier New" w:eastAsia="Courier New" w:hAnsi="Courier New"/>
          <w:sz w:val="18"/>
          <w:szCs w:val="18"/>
          <w:color w:val="auto"/>
        </w:rPr>
        <w:t>FMR Corp.</w:t>
      </w:r>
    </w:p>
    <w:p>
      <w:pPr>
        <w:ind w:left="860"/>
        <w:spacing w:after="0" w:line="237"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rPr>
          <w:sz w:val="20"/>
          <w:szCs w:val="20"/>
          <w:color w:val="auto"/>
        </w:rPr>
      </w:pPr>
      <w:r>
        <w:rPr>
          <w:rFonts w:ascii="Courier New" w:cs="Courier New" w:eastAsia="Courier New" w:hAnsi="Courier New"/>
          <w:sz w:val="18"/>
          <w:szCs w:val="18"/>
          <w:color w:val="auto"/>
        </w:rPr>
        <w:t>Eric D. Roiter</w:t>
      </w:r>
    </w:p>
    <w:p>
      <w:pPr>
        <w:spacing w:after="0" w:line="237" w:lineRule="auto"/>
        <w:rPr>
          <w:sz w:val="20"/>
          <w:szCs w:val="20"/>
          <w:color w:val="auto"/>
        </w:rPr>
      </w:pPr>
      <w:r>
        <w:rPr>
          <w:rFonts w:ascii="Courier New" w:cs="Courier New" w:eastAsia="Courier New" w:hAnsi="Courier New"/>
          <w:sz w:val="18"/>
          <w:szCs w:val="18"/>
          <w:color w:val="auto"/>
        </w:rPr>
        <w:t>Duly authorized under of Power</w:t>
      </w:r>
    </w:p>
    <w:p>
      <w:pPr>
        <w:spacing w:after="0" w:line="238" w:lineRule="auto"/>
        <w:rPr>
          <w:sz w:val="20"/>
          <w:szCs w:val="20"/>
          <w:color w:val="auto"/>
        </w:rPr>
      </w:pPr>
      <w:r>
        <w:rPr>
          <w:rFonts w:ascii="Courier New" w:cs="Courier New" w:eastAsia="Courier New" w:hAnsi="Courier New"/>
          <w:sz w:val="18"/>
          <w:szCs w:val="18"/>
          <w:color w:val="auto"/>
        </w:rPr>
        <w:t>of Attorney</w:t>
      </w:r>
    </w:p>
    <w:p>
      <w:pPr>
        <w:sectPr>
          <w:pgSz w:w="11900" w:h="16838" w:orient="portrait"/>
          <w:cols w:equalWidth="0" w:num="1">
            <w:col w:w="10219"/>
          </w:cols>
          <w:pgMar w:left="240" w:top="541"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dated December 30, 1997, by</w:t>
      </w:r>
    </w:p>
    <w:p>
      <w:pPr>
        <w:spacing w:after="0" w:line="238" w:lineRule="auto"/>
        <w:rPr>
          <w:sz w:val="20"/>
          <w:szCs w:val="20"/>
          <w:color w:val="auto"/>
        </w:rPr>
      </w:pPr>
      <w:r>
        <w:rPr>
          <w:rFonts w:ascii="Courier New" w:cs="Courier New" w:eastAsia="Courier New" w:hAnsi="Courier New"/>
          <w:sz w:val="18"/>
          <w:szCs w:val="18"/>
          <w:color w:val="auto"/>
        </w:rPr>
        <w:t>and on behalf</w:t>
      </w:r>
    </w:p>
    <w:p>
      <w:pPr>
        <w:spacing w:after="0"/>
        <w:rPr>
          <w:sz w:val="20"/>
          <w:szCs w:val="20"/>
          <w:color w:val="auto"/>
        </w:rPr>
      </w:pPr>
      <w:r>
        <w:rPr>
          <w:rFonts w:ascii="Courier New" w:cs="Courier New" w:eastAsia="Courier New" w:hAnsi="Courier New"/>
          <w:sz w:val="18"/>
          <w:szCs w:val="18"/>
          <w:color w:val="auto"/>
        </w:rPr>
        <w:t>of FMR Corp. and its direct</w:t>
      </w:r>
    </w:p>
    <w:p>
      <w:pPr>
        <w:spacing w:after="0" w:line="237" w:lineRule="auto"/>
        <w:rPr>
          <w:sz w:val="20"/>
          <w:szCs w:val="20"/>
          <w:color w:val="auto"/>
        </w:rPr>
      </w:pPr>
      <w:r>
        <w:rPr>
          <w:rFonts w:ascii="Courier New" w:cs="Courier New" w:eastAsia="Courier New" w:hAnsi="Courier New"/>
          <w:sz w:val="18"/>
          <w:szCs w:val="18"/>
          <w:color w:val="auto"/>
        </w:rPr>
        <w:t>and indirect subsidiaries</w:t>
      </w:r>
    </w:p>
    <w:p>
      <w:pPr>
        <w:ind w:left="860"/>
        <w:spacing w:after="0" w:line="238" w:lineRule="auto"/>
        <w:rPr>
          <w:sz w:val="20"/>
          <w:szCs w:val="20"/>
          <w:color w:val="auto"/>
        </w:rPr>
      </w:pPr>
      <w:r>
        <w:rPr>
          <w:rFonts w:ascii="Courier New" w:cs="Courier New" w:eastAsia="Courier New" w:hAnsi="Courier New"/>
          <w:sz w:val="18"/>
          <w:szCs w:val="18"/>
          <w:color w:val="auto"/>
        </w:rPr>
        <w:t>Edward C. Johnson 3d</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line="237"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Duly authorized under Power of</w:t>
      </w:r>
    </w:p>
    <w:p>
      <w:pPr>
        <w:spacing w:after="0" w:line="237" w:lineRule="auto"/>
        <w:rPr>
          <w:sz w:val="20"/>
          <w:szCs w:val="20"/>
          <w:color w:val="auto"/>
        </w:rPr>
      </w:pPr>
      <w:r>
        <w:rPr>
          <w:rFonts w:ascii="Courier New" w:cs="Courier New" w:eastAsia="Courier New" w:hAnsi="Courier New"/>
          <w:sz w:val="18"/>
          <w:szCs w:val="18"/>
          <w:color w:val="auto"/>
        </w:rPr>
        <w:t>Attorney</w:t>
      </w:r>
    </w:p>
    <w:p>
      <w:pPr>
        <w:spacing w:after="0"/>
        <w:rPr>
          <w:sz w:val="20"/>
          <w:szCs w:val="20"/>
          <w:color w:val="auto"/>
        </w:rPr>
      </w:pPr>
      <w:r>
        <w:rPr>
          <w:rFonts w:ascii="Courier New" w:cs="Courier New" w:eastAsia="Courier New" w:hAnsi="Courier New"/>
          <w:sz w:val="18"/>
          <w:szCs w:val="18"/>
          <w:color w:val="auto"/>
        </w:rPr>
        <w:t>dated December 30, 1997, by</w:t>
      </w:r>
    </w:p>
    <w:p>
      <w:pPr>
        <w:spacing w:after="0" w:line="237" w:lineRule="auto"/>
        <w:rPr>
          <w:sz w:val="20"/>
          <w:szCs w:val="20"/>
          <w:color w:val="auto"/>
        </w:rPr>
      </w:pPr>
      <w:r>
        <w:rPr>
          <w:rFonts w:ascii="Courier New" w:cs="Courier New" w:eastAsia="Courier New" w:hAnsi="Courier New"/>
          <w:sz w:val="18"/>
          <w:szCs w:val="18"/>
          <w:color w:val="auto"/>
        </w:rPr>
        <w:t>and on behalf</w:t>
      </w:r>
    </w:p>
    <w:p>
      <w:pPr>
        <w:spacing w:after="0" w:line="238" w:lineRule="auto"/>
        <w:rPr>
          <w:sz w:val="20"/>
          <w:szCs w:val="20"/>
          <w:color w:val="auto"/>
        </w:rPr>
      </w:pPr>
      <w:r>
        <w:rPr>
          <w:rFonts w:ascii="Courier New" w:cs="Courier New" w:eastAsia="Courier New" w:hAnsi="Courier New"/>
          <w:sz w:val="18"/>
          <w:szCs w:val="18"/>
          <w:color w:val="auto"/>
        </w:rPr>
        <w:t>of Edward C. Johnson 3d</w:t>
      </w:r>
    </w:p>
    <w:p>
      <w:pPr>
        <w:ind w:left="860"/>
        <w:spacing w:after="0"/>
        <w:rPr>
          <w:sz w:val="20"/>
          <w:szCs w:val="20"/>
          <w:color w:val="auto"/>
        </w:rPr>
      </w:pPr>
      <w:r>
        <w:rPr>
          <w:rFonts w:ascii="Courier New" w:cs="Courier New" w:eastAsia="Courier New" w:hAnsi="Courier New"/>
          <w:sz w:val="18"/>
          <w:szCs w:val="18"/>
          <w:color w:val="auto"/>
        </w:rPr>
        <w:t>Abigail P. Johnson</w:t>
      </w:r>
    </w:p>
    <w:p>
      <w:pPr>
        <w:ind w:left="860"/>
        <w:spacing w:after="0" w:line="237"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rPr>
          <w:sz w:val="20"/>
          <w:szCs w:val="20"/>
          <w:color w:val="auto"/>
        </w:rPr>
      </w:pPr>
      <w:r>
        <w:rPr>
          <w:rFonts w:ascii="Courier New" w:cs="Courier New" w:eastAsia="Courier New" w:hAnsi="Courier New"/>
          <w:sz w:val="18"/>
          <w:szCs w:val="18"/>
          <w:color w:val="auto"/>
        </w:rPr>
        <w:t>Eric D. Roiter</w:t>
      </w:r>
    </w:p>
    <w:p>
      <w:pPr>
        <w:spacing w:after="0" w:line="237" w:lineRule="auto"/>
        <w:rPr>
          <w:sz w:val="20"/>
          <w:szCs w:val="20"/>
          <w:color w:val="auto"/>
        </w:rPr>
      </w:pPr>
      <w:r>
        <w:rPr>
          <w:rFonts w:ascii="Courier New" w:cs="Courier New" w:eastAsia="Courier New" w:hAnsi="Courier New"/>
          <w:sz w:val="18"/>
          <w:szCs w:val="18"/>
          <w:color w:val="auto"/>
        </w:rPr>
        <w:t>Duly authorized under Power of</w:t>
      </w:r>
    </w:p>
    <w:p>
      <w:pPr>
        <w:spacing w:after="0"/>
        <w:rPr>
          <w:sz w:val="20"/>
          <w:szCs w:val="20"/>
          <w:color w:val="auto"/>
        </w:rPr>
      </w:pPr>
      <w:r>
        <w:rPr>
          <w:rFonts w:ascii="Courier New" w:cs="Courier New" w:eastAsia="Courier New" w:hAnsi="Courier New"/>
          <w:sz w:val="18"/>
          <w:szCs w:val="18"/>
          <w:color w:val="auto"/>
        </w:rPr>
        <w:t>Attorney</w:t>
      </w:r>
    </w:p>
    <w:p>
      <w:pPr>
        <w:spacing w:after="0" w:line="237" w:lineRule="auto"/>
        <w:rPr>
          <w:sz w:val="20"/>
          <w:szCs w:val="20"/>
          <w:color w:val="auto"/>
        </w:rPr>
      </w:pPr>
      <w:r>
        <w:rPr>
          <w:rFonts w:ascii="Courier New" w:cs="Courier New" w:eastAsia="Courier New" w:hAnsi="Courier New"/>
          <w:sz w:val="18"/>
          <w:szCs w:val="18"/>
          <w:color w:val="auto"/>
        </w:rPr>
        <w:t>dated December 30, 1997, by</w:t>
      </w:r>
    </w:p>
    <w:p>
      <w:pPr>
        <w:spacing w:after="0" w:line="238" w:lineRule="auto"/>
        <w:rPr>
          <w:sz w:val="20"/>
          <w:szCs w:val="20"/>
          <w:color w:val="auto"/>
        </w:rPr>
      </w:pPr>
      <w:r>
        <w:rPr>
          <w:rFonts w:ascii="Courier New" w:cs="Courier New" w:eastAsia="Courier New" w:hAnsi="Courier New"/>
          <w:sz w:val="18"/>
          <w:szCs w:val="18"/>
          <w:color w:val="auto"/>
        </w:rPr>
        <w:t>and on behalf</w:t>
      </w:r>
    </w:p>
    <w:p>
      <w:pPr>
        <w:spacing w:after="0"/>
        <w:rPr>
          <w:sz w:val="20"/>
          <w:szCs w:val="20"/>
          <w:color w:val="auto"/>
        </w:rPr>
      </w:pPr>
      <w:r>
        <w:rPr>
          <w:rFonts w:ascii="Courier New" w:cs="Courier New" w:eastAsia="Courier New" w:hAnsi="Courier New"/>
          <w:sz w:val="18"/>
          <w:szCs w:val="18"/>
          <w:color w:val="auto"/>
        </w:rPr>
        <w:t>of Abigail P. Johnson</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Fidelity Management &amp; Research Company</w:t>
      </w:r>
    </w:p>
    <w:p>
      <w:pPr>
        <w:spacing w:after="0" w:line="16"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V.P. and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2019-12-14T14:42:19Z</dcterms:created>
  <dcterms:modified xsi:type="dcterms:W3CDTF">2019-12-14T14:42:19Z</dcterms:modified>
</cp:coreProperties>
</file>