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200660</wp:posOffset>
            </wp:positionV>
            <wp:extent cx="30003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43"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74930</wp:posOffset>
            </wp:positionV>
            <wp:extent cx="3000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October 28, 2025</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BXP, INC.</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BOSTON PROPERTIES LIMITED PARTNERSHIP</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Registrants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280" w:type="dxa"/>
        <w:tblCellMar>
          <w:top w:w="0" w:type="dxa"/>
          <w:left w:w="0" w:type="dxa"/>
          <w:bottom w:w="0" w:type="dxa"/>
          <w:right w:w="0" w:type="dxa"/>
        </w:tblCellMar>
      </w:tblPr>
      <w:tr>
        <w:trPr>
          <w:trHeight w:val="275"/>
        </w:trPr>
        <w:tc>
          <w:tcPr>
            <w:tcW w:w="2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7"/>
              </w:rPr>
              <w:t>BXP, Inc.</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2980" w:type="dxa"/>
            <w:vAlign w:val="bottom"/>
          </w:tcPr>
          <w:p>
            <w:pPr>
              <w:jc w:val="center"/>
              <w:ind w:right="75"/>
              <w:spacing w:after="0"/>
              <w:rPr>
                <w:sz w:val="20"/>
                <w:szCs w:val="20"/>
                <w:color w:val="auto"/>
              </w:rPr>
            </w:pPr>
            <w:r>
              <w:rPr>
                <w:rFonts w:ascii="Arial" w:cs="Arial" w:eastAsia="Arial" w:hAnsi="Arial"/>
                <w:sz w:val="18"/>
                <w:szCs w:val="18"/>
                <w:b w:val="1"/>
                <w:bCs w:val="1"/>
                <w:color w:val="auto"/>
                <w:w w:val="99"/>
              </w:rPr>
              <w:t>1-13087</w:t>
            </w:r>
          </w:p>
        </w:tc>
        <w:tc>
          <w:tcPr>
            <w:tcW w:w="1860" w:type="dxa"/>
            <w:vAlign w:val="bottom"/>
          </w:tcPr>
          <w:p>
            <w:pPr>
              <w:jc w:val="center"/>
              <w:ind w:left="536"/>
              <w:spacing w:after="0"/>
              <w:rPr>
                <w:sz w:val="20"/>
                <w:szCs w:val="20"/>
                <w:color w:val="auto"/>
              </w:rPr>
            </w:pPr>
            <w:r>
              <w:rPr>
                <w:rFonts w:ascii="Arial" w:cs="Arial" w:eastAsia="Arial" w:hAnsi="Arial"/>
                <w:sz w:val="18"/>
                <w:szCs w:val="18"/>
                <w:b w:val="1"/>
                <w:bCs w:val="1"/>
                <w:color w:val="auto"/>
                <w:w w:val="99"/>
              </w:rPr>
              <w:t>04-2473675</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2720" w:type="dxa"/>
            <w:vAlign w:val="bottom"/>
          </w:tcPr>
          <w:p>
            <w:pPr>
              <w:jc w:val="center"/>
              <w:spacing w:after="0" w:line="163" w:lineRule="exact"/>
              <w:rPr>
                <w:sz w:val="20"/>
                <w:szCs w:val="20"/>
                <w:color w:val="auto"/>
              </w:rPr>
            </w:pPr>
            <w:r>
              <w:rPr>
                <w:rFonts w:ascii="Arial" w:cs="Arial" w:eastAsia="Arial" w:hAnsi="Arial"/>
                <w:sz w:val="16"/>
                <w:szCs w:val="16"/>
                <w:color w:val="auto"/>
              </w:rPr>
              <w:t>(State or Other Jurisdiction</w:t>
            </w:r>
          </w:p>
        </w:tc>
        <w:tc>
          <w:tcPr>
            <w:tcW w:w="2980" w:type="dxa"/>
            <w:vAlign w:val="bottom"/>
          </w:tcPr>
          <w:p>
            <w:pPr>
              <w:jc w:val="center"/>
              <w:ind w:right="75"/>
              <w:spacing w:after="0" w:line="163" w:lineRule="exact"/>
              <w:rPr>
                <w:sz w:val="20"/>
                <w:szCs w:val="20"/>
                <w:color w:val="auto"/>
              </w:rPr>
            </w:pPr>
            <w:r>
              <w:rPr>
                <w:rFonts w:ascii="Arial" w:cs="Arial" w:eastAsia="Arial" w:hAnsi="Arial"/>
                <w:sz w:val="16"/>
                <w:szCs w:val="16"/>
                <w:color w:val="auto"/>
              </w:rPr>
              <w:t>(Commission File Number)</w:t>
            </w:r>
          </w:p>
        </w:tc>
        <w:tc>
          <w:tcPr>
            <w:tcW w:w="1860" w:type="dxa"/>
            <w:vAlign w:val="bottom"/>
          </w:tcPr>
          <w:p>
            <w:pPr>
              <w:jc w:val="center"/>
              <w:ind w:left="516"/>
              <w:spacing w:after="0" w:line="163"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262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rPr>
              <w:t>Boston Properties Limited</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of Incorporation)</w:t>
            </w:r>
          </w:p>
        </w:tc>
        <w:tc>
          <w:tcPr>
            <w:tcW w:w="2980" w:type="dxa"/>
            <w:vAlign w:val="bottom"/>
          </w:tcPr>
          <w:p>
            <w:pPr>
              <w:spacing w:after="0"/>
              <w:rPr>
                <w:sz w:val="18"/>
                <w:szCs w:val="18"/>
                <w:color w:val="auto"/>
              </w:rPr>
            </w:pPr>
          </w:p>
        </w:tc>
        <w:tc>
          <w:tcPr>
            <w:tcW w:w="1860" w:type="dxa"/>
            <w:vAlign w:val="bottom"/>
          </w:tcPr>
          <w:p>
            <w:pPr>
              <w:jc w:val="center"/>
              <w:ind w:left="516"/>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2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Delaware</w:t>
            </w:r>
          </w:p>
        </w:tc>
        <w:tc>
          <w:tcPr>
            <w:tcW w:w="2980" w:type="dxa"/>
            <w:vAlign w:val="bottom"/>
            <w:vMerge w:val="restart"/>
          </w:tcPr>
          <w:p>
            <w:pPr>
              <w:jc w:val="center"/>
              <w:ind w:right="75"/>
              <w:spacing w:after="0"/>
              <w:rPr>
                <w:sz w:val="20"/>
                <w:szCs w:val="20"/>
                <w:color w:val="auto"/>
              </w:rPr>
            </w:pPr>
            <w:r>
              <w:rPr>
                <w:rFonts w:ascii="Arial" w:cs="Arial" w:eastAsia="Arial" w:hAnsi="Arial"/>
                <w:sz w:val="18"/>
                <w:szCs w:val="18"/>
                <w:b w:val="1"/>
                <w:bCs w:val="1"/>
                <w:color w:val="auto"/>
                <w:w w:val="99"/>
              </w:rPr>
              <w:t>0-50209</w:t>
            </w:r>
          </w:p>
        </w:tc>
        <w:tc>
          <w:tcPr>
            <w:tcW w:w="1860" w:type="dxa"/>
            <w:vAlign w:val="bottom"/>
            <w:vMerge w:val="restart"/>
          </w:tcPr>
          <w:p>
            <w:pPr>
              <w:jc w:val="center"/>
              <w:ind w:left="536"/>
              <w:spacing w:after="0"/>
              <w:rPr>
                <w:sz w:val="20"/>
                <w:szCs w:val="20"/>
                <w:color w:val="auto"/>
              </w:rPr>
            </w:pPr>
            <w:r>
              <w:rPr>
                <w:rFonts w:ascii="Arial" w:cs="Arial" w:eastAsia="Arial" w:hAnsi="Arial"/>
                <w:sz w:val="18"/>
                <w:szCs w:val="18"/>
                <w:b w:val="1"/>
                <w:bCs w:val="1"/>
                <w:color w:val="auto"/>
                <w:w w:val="99"/>
              </w:rPr>
              <w:t>04-3372948</w:t>
            </w:r>
          </w:p>
        </w:tc>
        <w:tc>
          <w:tcPr>
            <w:tcW w:w="0" w:type="dxa"/>
            <w:vAlign w:val="bottom"/>
          </w:tcPr>
          <w:p>
            <w:pPr>
              <w:spacing w:after="0"/>
              <w:rPr>
                <w:sz w:val="1"/>
                <w:szCs w:val="1"/>
                <w:color w:val="auto"/>
              </w:rPr>
            </w:pPr>
          </w:p>
        </w:tc>
      </w:tr>
      <w:tr>
        <w:trPr>
          <w:trHeight w:val="234"/>
        </w:trPr>
        <w:tc>
          <w:tcPr>
            <w:tcW w:w="2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Partnership</w:t>
            </w:r>
          </w:p>
        </w:tc>
        <w:tc>
          <w:tcPr>
            <w:tcW w:w="2720" w:type="dxa"/>
            <w:vAlign w:val="bottom"/>
            <w:vMerge w:val="continue"/>
          </w:tcPr>
          <w:p>
            <w:pPr>
              <w:spacing w:after="0"/>
              <w:rPr>
                <w:sz w:val="20"/>
                <w:szCs w:val="20"/>
                <w:color w:val="auto"/>
              </w:rPr>
            </w:pPr>
          </w:p>
        </w:tc>
        <w:tc>
          <w:tcPr>
            <w:tcW w:w="2980" w:type="dxa"/>
            <w:vAlign w:val="bottom"/>
            <w:vMerge w:val="continue"/>
          </w:tcPr>
          <w:p>
            <w:pPr>
              <w:spacing w:after="0"/>
              <w:rPr>
                <w:sz w:val="20"/>
                <w:szCs w:val="20"/>
                <w:color w:val="auto"/>
              </w:rPr>
            </w:pPr>
          </w:p>
        </w:tc>
        <w:tc>
          <w:tcPr>
            <w:tcW w:w="1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2720" w:type="dxa"/>
            <w:vAlign w:val="bottom"/>
          </w:tcPr>
          <w:p>
            <w:pPr>
              <w:jc w:val="center"/>
              <w:spacing w:after="0" w:line="163" w:lineRule="exact"/>
              <w:rPr>
                <w:sz w:val="20"/>
                <w:szCs w:val="20"/>
                <w:color w:val="auto"/>
              </w:rPr>
            </w:pPr>
            <w:r>
              <w:rPr>
                <w:rFonts w:ascii="Arial" w:cs="Arial" w:eastAsia="Arial" w:hAnsi="Arial"/>
                <w:sz w:val="16"/>
                <w:szCs w:val="16"/>
                <w:color w:val="auto"/>
              </w:rPr>
              <w:t>(State or Other Jurisdiction</w:t>
            </w:r>
          </w:p>
        </w:tc>
        <w:tc>
          <w:tcPr>
            <w:tcW w:w="2980" w:type="dxa"/>
            <w:vAlign w:val="bottom"/>
          </w:tcPr>
          <w:p>
            <w:pPr>
              <w:jc w:val="center"/>
              <w:ind w:right="75"/>
              <w:spacing w:after="0" w:line="163" w:lineRule="exact"/>
              <w:rPr>
                <w:sz w:val="20"/>
                <w:szCs w:val="20"/>
                <w:color w:val="auto"/>
              </w:rPr>
            </w:pPr>
            <w:r>
              <w:rPr>
                <w:rFonts w:ascii="Arial" w:cs="Arial" w:eastAsia="Arial" w:hAnsi="Arial"/>
                <w:sz w:val="16"/>
                <w:szCs w:val="16"/>
                <w:color w:val="auto"/>
              </w:rPr>
              <w:t>(Commission File Number)</w:t>
            </w:r>
          </w:p>
        </w:tc>
        <w:tc>
          <w:tcPr>
            <w:tcW w:w="1860" w:type="dxa"/>
            <w:vAlign w:val="bottom"/>
          </w:tcPr>
          <w:p>
            <w:pPr>
              <w:jc w:val="center"/>
              <w:ind w:left="516"/>
              <w:spacing w:after="0" w:line="163"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of Incorporation)</w:t>
            </w:r>
          </w:p>
        </w:tc>
        <w:tc>
          <w:tcPr>
            <w:tcW w:w="2980" w:type="dxa"/>
            <w:vAlign w:val="bottom"/>
          </w:tcPr>
          <w:p>
            <w:pPr>
              <w:spacing w:after="0"/>
              <w:rPr>
                <w:sz w:val="18"/>
                <w:szCs w:val="18"/>
                <w:color w:val="auto"/>
              </w:rPr>
            </w:pPr>
          </w:p>
        </w:tc>
        <w:tc>
          <w:tcPr>
            <w:tcW w:w="1860" w:type="dxa"/>
            <w:vAlign w:val="bottom"/>
          </w:tcPr>
          <w:p>
            <w:pPr>
              <w:jc w:val="center"/>
              <w:ind w:left="516"/>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bl>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800 Boylston Street, Suite 1900, Boston, Massachusetts 02199</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(617) 236-3300</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391" w:lineRule="exact"/>
        <w:rPr>
          <w:sz w:val="24"/>
          <w:szCs w:val="24"/>
          <w:color w:val="auto"/>
        </w:rPr>
      </w:pPr>
    </w:p>
    <w:p>
      <w:pPr>
        <w:spacing w:after="0" w:line="278"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registrants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4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94"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07"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94"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Registrant</w:t>
            </w:r>
          </w:p>
        </w:tc>
        <w:tc>
          <w:tcPr>
            <w:tcW w:w="80" w:type="dxa"/>
            <w:vAlign w:val="bottom"/>
            <w:vMerge w:val="restart"/>
          </w:tcPr>
          <w:p>
            <w:pPr>
              <w:spacing w:after="0"/>
              <w:rPr>
                <w:sz w:val="16"/>
                <w:szCs w:val="16"/>
                <w:color w:val="auto"/>
              </w:rPr>
            </w:pPr>
          </w:p>
        </w:tc>
        <w:tc>
          <w:tcPr>
            <w:tcW w:w="3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80" w:type="dxa"/>
            <w:vAlign w:val="bottom"/>
            <w:vMerge w:val="restart"/>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Trading Symbol(s)</w:t>
            </w:r>
          </w:p>
        </w:tc>
        <w:tc>
          <w:tcPr>
            <w:tcW w:w="80" w:type="dxa"/>
            <w:vAlign w:val="bottom"/>
            <w:vMerge w:val="restart"/>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99"/>
              </w:rPr>
              <w:t>Name of each</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exchange on which registered</w:t>
            </w:r>
          </w:p>
        </w:tc>
        <w:tc>
          <w:tcPr>
            <w:tcW w:w="0" w:type="dxa"/>
            <w:vAlign w:val="bottom"/>
          </w:tcPr>
          <w:p>
            <w:pPr>
              <w:spacing w:after="0"/>
              <w:rPr>
                <w:sz w:val="1"/>
                <w:szCs w:val="1"/>
                <w:color w:val="auto"/>
              </w:rPr>
            </w:pPr>
          </w:p>
        </w:tc>
      </w:tr>
      <w:tr>
        <w:trPr>
          <w:trHeight w:val="188"/>
        </w:trPr>
        <w:tc>
          <w:tcPr>
            <w:tcW w:w="2620" w:type="dxa"/>
            <w:vAlign w:val="bottom"/>
            <w:gridSpan w:val="2"/>
            <w:vMerge w:val="restart"/>
          </w:tcPr>
          <w:p>
            <w:pPr>
              <w:ind w:left="880"/>
              <w:spacing w:after="0"/>
              <w:rPr>
                <w:sz w:val="20"/>
                <w:szCs w:val="20"/>
                <w:color w:val="auto"/>
              </w:rPr>
            </w:pPr>
            <w:r>
              <w:rPr>
                <w:rFonts w:ascii="Arial" w:cs="Arial" w:eastAsia="Arial" w:hAnsi="Arial"/>
                <w:sz w:val="20"/>
                <w:szCs w:val="20"/>
                <w:color w:val="auto"/>
              </w:rPr>
              <w:t>BXP, Inc.</w:t>
            </w:r>
          </w:p>
        </w:tc>
        <w:tc>
          <w:tcPr>
            <w:tcW w:w="3360" w:type="dxa"/>
            <w:vAlign w:val="bottom"/>
          </w:tcPr>
          <w:p>
            <w:pPr>
              <w:jc w:val="center"/>
              <w:spacing w:after="0" w:line="188" w:lineRule="exact"/>
              <w:rPr>
                <w:sz w:val="20"/>
                <w:szCs w:val="20"/>
                <w:color w:val="auto"/>
              </w:rPr>
            </w:pPr>
            <w:r>
              <w:rPr>
                <w:rFonts w:ascii="Arial" w:cs="Arial" w:eastAsia="Arial" w:hAnsi="Arial"/>
                <w:sz w:val="20"/>
                <w:szCs w:val="20"/>
                <w:color w:val="auto"/>
                <w:w w:val="98"/>
              </w:rPr>
              <w:t>Common Stock, par value $0.01 per</w:t>
            </w:r>
          </w:p>
        </w:tc>
        <w:tc>
          <w:tcPr>
            <w:tcW w:w="80" w:type="dxa"/>
            <w:vAlign w:val="bottom"/>
          </w:tcPr>
          <w:p>
            <w:pPr>
              <w:spacing w:after="0"/>
              <w:rPr>
                <w:sz w:val="16"/>
                <w:szCs w:val="16"/>
                <w:color w:val="auto"/>
              </w:rPr>
            </w:pPr>
          </w:p>
        </w:tc>
        <w:tc>
          <w:tcPr>
            <w:tcW w:w="222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99"/>
              </w:rPr>
              <w:t>BXP</w:t>
            </w:r>
          </w:p>
        </w:tc>
        <w:tc>
          <w:tcPr>
            <w:tcW w:w="2960" w:type="dxa"/>
            <w:vAlign w:val="bottom"/>
            <w:vMerge w:val="restart"/>
          </w:tcPr>
          <w:p>
            <w:pPr>
              <w:jc w:val="center"/>
              <w:spacing w:after="0"/>
              <w:rPr>
                <w:sz w:val="20"/>
                <w:szCs w:val="20"/>
                <w:color w:val="auto"/>
              </w:rPr>
            </w:pPr>
            <w:r>
              <w:rPr>
                <w:rFonts w:ascii="Arial" w:cs="Arial" w:eastAsia="Arial" w:hAnsi="Arial"/>
                <w:sz w:val="20"/>
                <w:szCs w:val="20"/>
                <w:color w:val="auto"/>
                <w:w w:val="97"/>
              </w:rPr>
              <w:t>New York Stock Exchange</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3440" w:type="dxa"/>
            <w:vAlign w:val="bottom"/>
            <w:gridSpan w:val="2"/>
            <w:vMerge w:val="restart"/>
          </w:tcPr>
          <w:p>
            <w:pPr>
              <w:jc w:val="center"/>
              <w:ind w:right="80"/>
              <w:spacing w:after="0"/>
              <w:rPr>
                <w:sz w:val="20"/>
                <w:szCs w:val="20"/>
                <w:color w:val="auto"/>
              </w:rPr>
            </w:pPr>
            <w:r>
              <w:rPr>
                <w:rFonts w:ascii="Arial" w:cs="Arial" w:eastAsia="Arial" w:hAnsi="Arial"/>
                <w:sz w:val="20"/>
                <w:szCs w:val="20"/>
                <w:color w:val="auto"/>
                <w:w w:val="95"/>
              </w:rPr>
              <w:t>share</w:t>
            </w:r>
          </w:p>
        </w:tc>
        <w:tc>
          <w:tcPr>
            <w:tcW w:w="2220" w:type="dxa"/>
            <w:vAlign w:val="bottom"/>
            <w:gridSpan w:val="2"/>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2"/>
            <w:vMerge w:val="continue"/>
          </w:tcPr>
          <w:p>
            <w:pPr>
              <w:spacing w:after="0"/>
              <w:rPr>
                <w:sz w:val="9"/>
                <w:szCs w:val="9"/>
                <w:color w:val="auto"/>
              </w:rPr>
            </w:pPr>
          </w:p>
        </w:tc>
        <w:tc>
          <w:tcPr>
            <w:tcW w:w="2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405"/>
        <w:spacing w:after="0" w:line="255"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BXP, Inc.:</w:t>
      </w:r>
    </w:p>
    <w:p>
      <w:pPr>
        <w:spacing w:after="0" w:line="8" w:lineRule="exact"/>
        <w:rPr>
          <w:sz w:val="20"/>
          <w:szCs w:val="20"/>
          <w:color w:val="auto"/>
        </w:rPr>
      </w:pPr>
    </w:p>
    <w:p>
      <w:pPr>
        <w:ind w:left="42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Boston Properties Limited Partnership:</w:t>
      </w:r>
    </w:p>
    <w:p>
      <w:pPr>
        <w:spacing w:after="0" w:line="26" w:lineRule="exact"/>
        <w:rPr>
          <w:sz w:val="20"/>
          <w:szCs w:val="20"/>
          <w:color w:val="auto"/>
        </w:rPr>
      </w:pPr>
    </w:p>
    <w:p>
      <w:pPr>
        <w:ind w:left="42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9" w:lineRule="exact"/>
        <w:rPr>
          <w:sz w:val="20"/>
          <w:szCs w:val="20"/>
          <w:color w:val="auto"/>
        </w:rPr>
      </w:pPr>
    </w:p>
    <w:p>
      <w:pPr>
        <w:ind w:right="40" w:firstLine="405"/>
        <w:spacing w:after="0" w:line="269" w:lineRule="auto"/>
        <w:rPr>
          <w:sz w:val="20"/>
          <w:szCs w:val="20"/>
          <w:color w:val="auto"/>
        </w:rPr>
      </w:pPr>
      <w:r>
        <w:rPr>
          <w:rFonts w:ascii="Arial" w:cs="Arial" w:eastAsia="Arial" w:hAnsi="Arial"/>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9" w:lineRule="exact"/>
        <w:rPr>
          <w:sz w:val="20"/>
          <w:szCs w:val="20"/>
          <w:color w:val="auto"/>
        </w:rPr>
      </w:pPr>
    </w:p>
    <w:p>
      <w:pPr>
        <w:ind w:left="420"/>
        <w:spacing w:after="0" w:line="230" w:lineRule="exact"/>
        <w:tabs>
          <w:tab w:leader="none" w:pos="1920" w:val="left"/>
        </w:tabs>
        <w:rPr>
          <w:sz w:val="20"/>
          <w:szCs w:val="20"/>
          <w:color w:val="auto"/>
        </w:rPr>
      </w:pPr>
      <w:r>
        <w:rPr>
          <w:rFonts w:ascii="Arial" w:cs="Arial" w:eastAsia="Arial" w:hAnsi="Arial"/>
          <w:sz w:val="20"/>
          <w:szCs w:val="20"/>
          <w:color w:val="auto"/>
        </w:rPr>
        <w:t xml:space="preserve">BXP, Inc. </w:t>
      </w:r>
      <w:r>
        <w:rPr>
          <w:rFonts w:ascii="MS PGothic" w:cs="MS PGothic" w:eastAsia="MS PGothic" w:hAnsi="MS PGothic"/>
          <w:sz w:val="20"/>
          <w:szCs w:val="20"/>
          <w:color w:val="auto"/>
        </w:rPr>
        <w:t>☐</w:t>
      </w:r>
      <w:r>
        <w:rPr>
          <w:sz w:val="20"/>
          <w:szCs w:val="20"/>
          <w:color w:val="auto"/>
        </w:rPr>
        <w:tab/>
      </w:r>
      <w:r>
        <w:rPr>
          <w:rFonts w:ascii="Arial" w:cs="Arial" w:eastAsia="Arial" w:hAnsi="Arial"/>
          <w:sz w:val="19"/>
          <w:szCs w:val="19"/>
          <w:color w:val="auto"/>
        </w:rPr>
        <w:t xml:space="preserve">Boston Properties Limited Partnership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 w:name="page3"/>
    <w:bookmarkEnd w:id="2"/>
    <w:p>
      <w:pPr>
        <w:ind w:left="40"/>
        <w:spacing w:after="0"/>
        <w:tabs>
          <w:tab w:leader="none" w:pos="116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69"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The information in this Item 2.02 - “Results of Operations and Financial Condition” is being furnished. Such information, including Exhibits 99.1 and 99.2 hereto, shall not be deemed “filed” for any purpose, including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regardless of any general incorporation language in such filing.</w:t>
      </w:r>
    </w:p>
    <w:p>
      <w:pPr>
        <w:spacing w:after="0" w:line="217"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auto"/>
        </w:rPr>
        <w:t>On October 28, 2025, BXP, Inc. (the “Company”), the general partner of Boston Properties Limited Partnership, issued a press release announcing its financial results for the third quarter ended 2025. That press release referred to certain supplemental information that is available on the Company’s website. The text of the supplemental information and the press release are attached hereto as Exhibits 99.1 and 99.2, respectively, and are incorporated by reference herein.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60" w:type="dxa"/>
            <w:vAlign w:val="bottom"/>
            <w:gridSpan w:val="4"/>
          </w:tcPr>
          <w:p>
            <w:pPr>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i w:val="1"/>
                <w:iCs w:val="1"/>
                <w:color w:val="auto"/>
              </w:rPr>
              <w:t>Exhibits.</w:t>
            </w:r>
          </w:p>
        </w:tc>
        <w:tc>
          <w:tcPr>
            <w:tcW w:w="9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63"/>
        </w:trPr>
        <w:tc>
          <w:tcPr>
            <w:tcW w:w="3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20"/>
                <w:szCs w:val="20"/>
                <w:color w:val="auto"/>
                <w:w w:val="97"/>
              </w:rPr>
              <w:t>Exhibit No.</w:t>
            </w:r>
          </w:p>
        </w:tc>
        <w:tc>
          <w:tcPr>
            <w:tcW w:w="540" w:type="dxa"/>
            <w:vAlign w:val="bottom"/>
            <w:gridSpan w:val="2"/>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20"/>
                <w:szCs w:val="20"/>
                <w:color w:val="auto"/>
              </w:rPr>
              <w:t>Description</w:t>
            </w:r>
          </w:p>
        </w:tc>
      </w:tr>
      <w:tr>
        <w:trPr>
          <w:trHeight w:val="20"/>
        </w:trPr>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320" w:type="dxa"/>
            <w:vAlign w:val="bottom"/>
            <w:gridSpan w:val="2"/>
          </w:tcPr>
          <w:p>
            <w:pPr>
              <w:ind w:left="360"/>
              <w:spacing w:after="0"/>
              <w:rPr>
                <w:sz w:val="20"/>
                <w:szCs w:val="20"/>
                <w:color w:val="auto"/>
              </w:rPr>
            </w:pPr>
            <w:r>
              <w:rPr>
                <w:rFonts w:ascii="Arial" w:cs="Arial" w:eastAsia="Arial" w:hAnsi="Arial"/>
                <w:sz w:val="20"/>
                <w:szCs w:val="20"/>
                <w:color w:val="auto"/>
              </w:rPr>
              <w:t>*99.1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98"/>
              </w:rPr>
              <w:t>BXP, Inc. Supplemental Operating and Financial Data for the quarter ended September 30, 2025.</w:t>
            </w:r>
          </w:p>
        </w:tc>
        <w:tc>
          <w:tcPr>
            <w:tcW w:w="880" w:type="dxa"/>
            <w:vAlign w:val="bottom"/>
          </w:tcPr>
          <w:p>
            <w:pPr>
              <w:spacing w:after="0"/>
              <w:rPr>
                <w:sz w:val="20"/>
                <w:szCs w:val="20"/>
                <w:color w:val="auto"/>
              </w:rPr>
            </w:pPr>
          </w:p>
        </w:tc>
      </w:tr>
      <w:tr>
        <w:trPr>
          <w:trHeight w:val="236"/>
        </w:trPr>
        <w:tc>
          <w:tcPr>
            <w:tcW w:w="1320" w:type="dxa"/>
            <w:vAlign w:val="bottom"/>
            <w:gridSpan w:val="2"/>
          </w:tcPr>
          <w:p>
            <w:pPr>
              <w:ind w:left="360"/>
              <w:spacing w:after="0"/>
              <w:rPr>
                <w:sz w:val="20"/>
                <w:szCs w:val="20"/>
                <w:color w:val="auto"/>
              </w:rPr>
            </w:pPr>
            <w:r>
              <w:rPr>
                <w:rFonts w:ascii="Arial" w:cs="Arial" w:eastAsia="Arial" w:hAnsi="Arial"/>
                <w:sz w:val="20"/>
                <w:szCs w:val="20"/>
                <w:color w:val="auto"/>
              </w:rPr>
              <w:t>*99.2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8"/>
              </w:rPr>
              <w:t>Press release dated October 28, 2025.</w:t>
            </w:r>
          </w:p>
        </w:tc>
        <w:tc>
          <w:tcPr>
            <w:tcW w:w="5980" w:type="dxa"/>
            <w:vAlign w:val="bottom"/>
            <w:gridSpan w:val="2"/>
          </w:tcPr>
          <w:p>
            <w:pPr>
              <w:spacing w:after="0"/>
              <w:rPr>
                <w:sz w:val="20"/>
                <w:szCs w:val="20"/>
                <w:color w:val="auto"/>
              </w:rPr>
            </w:pPr>
          </w:p>
        </w:tc>
      </w:tr>
      <w:tr>
        <w:trPr>
          <w:trHeight w:val="282"/>
        </w:trPr>
        <w:tc>
          <w:tcPr>
            <w:tcW w:w="360" w:type="dxa"/>
            <w:vAlign w:val="bottom"/>
          </w:tcPr>
          <w:p>
            <w:pPr>
              <w:spacing w:after="0"/>
              <w:rPr>
                <w:sz w:val="24"/>
                <w:szCs w:val="24"/>
                <w:color w:val="auto"/>
              </w:rPr>
            </w:pPr>
          </w:p>
        </w:tc>
        <w:tc>
          <w:tcPr>
            <w:tcW w:w="1500" w:type="dxa"/>
            <w:vAlign w:val="bottom"/>
            <w:gridSpan w:val="3"/>
          </w:tcPr>
          <w:p>
            <w:pPr>
              <w:jc w:val="center"/>
              <w:ind w:right="620"/>
              <w:spacing w:after="0"/>
              <w:rPr>
                <w:sz w:val="20"/>
                <w:szCs w:val="20"/>
                <w:color w:val="auto"/>
              </w:rPr>
            </w:pPr>
            <w:r>
              <w:rPr>
                <w:rFonts w:ascii="Arial" w:cs="Arial" w:eastAsia="Arial" w:hAnsi="Arial"/>
                <w:sz w:val="20"/>
                <w:szCs w:val="20"/>
                <w:color w:val="auto"/>
                <w:w w:val="98"/>
              </w:rPr>
              <w:t>*101.SCH</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257"/>
        </w:trPr>
        <w:tc>
          <w:tcPr>
            <w:tcW w:w="360" w:type="dxa"/>
            <w:vAlign w:val="bottom"/>
          </w:tcPr>
          <w:p>
            <w:pPr>
              <w:spacing w:after="0"/>
              <w:rPr>
                <w:sz w:val="22"/>
                <w:szCs w:val="22"/>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20"/>
                <w:szCs w:val="20"/>
                <w:color w:val="auto"/>
                <w:w w:val="99"/>
              </w:rPr>
              <w:t>*101.LAB</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257"/>
        </w:trPr>
        <w:tc>
          <w:tcPr>
            <w:tcW w:w="360" w:type="dxa"/>
            <w:vAlign w:val="bottom"/>
          </w:tcPr>
          <w:p>
            <w:pPr>
              <w:spacing w:after="0"/>
              <w:rPr>
                <w:sz w:val="22"/>
                <w:szCs w:val="22"/>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20"/>
                <w:szCs w:val="20"/>
                <w:color w:val="auto"/>
                <w:w w:val="97"/>
              </w:rPr>
              <w:t>*101.PRE</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256"/>
        </w:trPr>
        <w:tc>
          <w:tcPr>
            <w:tcW w:w="360" w:type="dxa"/>
            <w:vAlign w:val="bottom"/>
          </w:tcPr>
          <w:p>
            <w:pPr>
              <w:spacing w:after="0"/>
              <w:rPr>
                <w:sz w:val="22"/>
                <w:szCs w:val="22"/>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20"/>
                <w:szCs w:val="20"/>
                <w:color w:val="auto"/>
                <w:w w:val="99"/>
              </w:rPr>
              <w:t>*101.DEF</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203"/>
        </w:trPr>
        <w:tc>
          <w:tcPr>
            <w:tcW w:w="1320" w:type="dxa"/>
            <w:vAlign w:val="bottom"/>
            <w:gridSpan w:val="2"/>
          </w:tcPr>
          <w:p>
            <w:pPr>
              <w:ind w:left="360"/>
              <w:spacing w:after="0" w:line="203" w:lineRule="exact"/>
              <w:rPr>
                <w:sz w:val="20"/>
                <w:szCs w:val="20"/>
                <w:color w:val="auto"/>
              </w:rPr>
            </w:pPr>
            <w:r>
              <w:rPr>
                <w:rFonts w:ascii="Arial" w:cs="Arial" w:eastAsia="Arial" w:hAnsi="Arial"/>
                <w:sz w:val="20"/>
                <w:szCs w:val="20"/>
                <w:color w:val="auto"/>
              </w:rPr>
              <w:t>*104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gridSpan w:val="4"/>
          </w:tcPr>
          <w:p>
            <w:pPr>
              <w:spacing w:after="0" w:line="203" w:lineRule="exact"/>
              <w:rPr>
                <w:sz w:val="20"/>
                <w:szCs w:val="20"/>
                <w:color w:val="auto"/>
              </w:rPr>
            </w:pPr>
            <w:r>
              <w:rPr>
                <w:rFonts w:ascii="Arial" w:cs="Arial" w:eastAsia="Arial" w:hAnsi="Arial"/>
                <w:sz w:val="20"/>
                <w:szCs w:val="20"/>
                <w:color w:val="auto"/>
              </w:rPr>
              <w:t>Cover Page Interactive Data File (formatted as Inline XBRL with applicable taxonomy extension</w:t>
            </w:r>
          </w:p>
        </w:tc>
      </w:tr>
      <w:tr>
        <w:trPr>
          <w:trHeight w:val="261"/>
        </w:trPr>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380" w:type="dxa"/>
            <w:vAlign w:val="bottom"/>
            <w:gridSpan w:val="4"/>
          </w:tcPr>
          <w:p>
            <w:pPr>
              <w:spacing w:after="0"/>
              <w:rPr>
                <w:sz w:val="20"/>
                <w:szCs w:val="20"/>
                <w:color w:val="auto"/>
              </w:rPr>
            </w:pPr>
            <w:r>
              <w:rPr>
                <w:rFonts w:ascii="Arial" w:cs="Arial" w:eastAsia="Arial" w:hAnsi="Arial"/>
                <w:sz w:val="20"/>
                <w:szCs w:val="20"/>
                <w:color w:val="auto"/>
              </w:rPr>
              <w:t>information contained in Exhibits 101.*).</w:t>
            </w:r>
          </w:p>
        </w:tc>
      </w:tr>
      <w:tr>
        <w:trPr>
          <w:trHeight w:val="327"/>
        </w:trPr>
        <w:tc>
          <w:tcPr>
            <w:tcW w:w="1860" w:type="dxa"/>
            <w:vAlign w:val="bottom"/>
            <w:gridSpan w:val="4"/>
          </w:tcPr>
          <w:p>
            <w:pPr>
              <w:jc w:val="center"/>
              <w:ind w:right="320"/>
              <w:spacing w:after="0"/>
              <w:rPr>
                <w:sz w:val="20"/>
                <w:szCs w:val="20"/>
                <w:color w:val="auto"/>
              </w:rPr>
            </w:pPr>
            <w:r>
              <w:rPr>
                <w:rFonts w:ascii="Arial" w:cs="Arial" w:eastAsia="Arial" w:hAnsi="Arial"/>
                <w:sz w:val="20"/>
                <w:szCs w:val="20"/>
                <w:color w:val="auto"/>
                <w:w w:val="98"/>
              </w:rPr>
              <w:t>______________</w:t>
            </w: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8"/>
        </w:trPr>
        <w:tc>
          <w:tcPr>
            <w:tcW w:w="154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99"/>
              </w:rPr>
              <w:t>* Filed herewith.</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57"/>
        </w:trPr>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ind w:firstLine="648"/>
        <w:spacing w:after="0" w:line="271" w:lineRule="auto"/>
        <w:rPr>
          <w:sz w:val="20"/>
          <w:szCs w:val="20"/>
          <w:color w:val="auto"/>
        </w:rPr>
      </w:pPr>
      <w:r>
        <w:rPr>
          <w:rFonts w:ascii="Arial" w:cs="Arial" w:eastAsia="Arial" w:hAnsi="Arial"/>
          <w:sz w:val="20"/>
          <w:szCs w:val="20"/>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29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BXP, INC.</w:t>
      </w:r>
    </w:p>
    <w:p>
      <w:pPr>
        <w:spacing w:after="0" w:line="310" w:lineRule="exact"/>
        <w:rPr>
          <w:sz w:val="20"/>
          <w:szCs w:val="20"/>
          <w:color w:val="auto"/>
        </w:rPr>
      </w:pPr>
    </w:p>
    <w:p>
      <w:pPr>
        <w:ind w:left="1380"/>
        <w:spacing w:after="0"/>
        <w:tabs>
          <w:tab w:leader="none" w:pos="1980" w:val="left"/>
          <w:tab w:leader="none" w:pos="2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w:t>
      </w:r>
      <w:r>
        <w:rPr>
          <w:sz w:val="20"/>
          <w:szCs w:val="20"/>
          <w:color w:val="auto"/>
        </w:rPr>
        <w:tab/>
      </w:r>
      <w:r>
        <w:rPr>
          <w:rFonts w:ascii="Arial" w:cs="Arial" w:eastAsia="Arial" w:hAnsi="Arial"/>
          <w:sz w:val="19"/>
          <w:szCs w:val="19"/>
          <w:color w:val="auto"/>
        </w:rPr>
        <w:t>MICHAEL E.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22225</wp:posOffset>
            </wp:positionV>
            <wp:extent cx="366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Michael E. LaBelle</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Executive Vice President, Chief Financial Officer</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BOSTON PROPERTIES LIMITED PARTNERSHIP</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 BXP, Inc., its General Partner</w:t>
      </w:r>
    </w:p>
    <w:p>
      <w:pPr>
        <w:spacing w:after="0" w:line="310" w:lineRule="exact"/>
        <w:rPr>
          <w:sz w:val="20"/>
          <w:szCs w:val="20"/>
          <w:color w:val="auto"/>
        </w:rPr>
      </w:pPr>
    </w:p>
    <w:p>
      <w:pPr>
        <w:ind w:left="1380"/>
        <w:spacing w:after="0"/>
        <w:tabs>
          <w:tab w:leader="none" w:pos="1980" w:val="left"/>
          <w:tab w:leader="none" w:pos="2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w:t>
      </w:r>
      <w:r>
        <w:rPr>
          <w:sz w:val="20"/>
          <w:szCs w:val="20"/>
          <w:color w:val="auto"/>
        </w:rPr>
        <w:tab/>
      </w:r>
      <w:r>
        <w:rPr>
          <w:rFonts w:ascii="Arial" w:cs="Arial" w:eastAsia="Arial" w:hAnsi="Arial"/>
          <w:sz w:val="19"/>
          <w:szCs w:val="19"/>
          <w:color w:val="auto"/>
        </w:rPr>
        <w:t>MICHAEL E.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22225</wp:posOffset>
            </wp:positionV>
            <wp:extent cx="3660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Michael E. LaBelle</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Executive Vice President, Chief Financial Officer</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and Treasurer</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October 28, 2025</w:t>
      </w:r>
    </w:p>
    <w:p>
      <w:pPr>
        <w:sectPr>
          <w:pgSz w:w="11900" w:h="16838" w:orient="portrait"/>
          <w:cols w:equalWidth="0" w:num="1">
            <w:col w:w="11060"/>
          </w:cols>
          <w:pgMar w:left="320" w:top="1223"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574675</wp:posOffset>
            </wp:positionV>
            <wp:extent cx="6231890" cy="4714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1890" cy="471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760" w:right="2820" w:hanging="55"/>
        <w:spacing w:after="0" w:line="345" w:lineRule="auto"/>
        <w:rPr>
          <w:sz w:val="20"/>
          <w:szCs w:val="20"/>
          <w:color w:val="auto"/>
        </w:rPr>
      </w:pPr>
      <w:r>
        <w:rPr>
          <w:rFonts w:ascii="Arial" w:cs="Arial" w:eastAsia="Arial" w:hAnsi="Arial"/>
          <w:sz w:val="28"/>
          <w:szCs w:val="28"/>
          <w:color w:val="424242"/>
        </w:rPr>
        <w:t>Supplemental Operating and Financial Data for the Quarter Ended September 30, 2025</w:t>
      </w:r>
    </w:p>
    <w:p>
      <w:pPr>
        <w:sectPr>
          <w:pgSz w:w="11900" w:h="16838" w:orient="portrait"/>
          <w:cols w:equalWidth="0" w:num="1">
            <w:col w:w="10120"/>
          </w:cols>
          <w:pgMar w:left="1440" w:top="101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BXP, Inc. (NYSE: BXP) (“BXP” or the “Company”) is the largest publicly traded developer, owner, and manager of premier workplaces in the United States, concentrated in six dynamic gateway markets - Boston, Los Angeles, New York, San Francisco, Seattle, and Washington, DC. BXP has delivered places that power progress for our clients and communities for more than 55 years. BXP is a fully integrated real estate company, organized as a real estate investment trust (REIT). As of September 30, 2025, including properties owned by joint ventures, BXP’s portfolio totals 54.6 million square feet and 187 properties, including 8 properties under construction/redevelopment. BXP’s properties include 163 office properties, 14 retail properties (including one retail property under construction), nine residential properties (including three residential properties under construction) and one hotel. BXP is well-known for its in-house building management expertise and responsiveness to clients’ needs. BXP holds a superior track record of developing premium Central Business District (CBD) office buildings, successful mixed-use complexes, suburban office centers and build-to-suit projects for a diverse array of creditworthy clients. BXP actively works to promote its growth and operations in a sustainable and responsible manner. BXP has earned a thirteenth consecutive GRESB “Green Star” recognition and the highest GRESB 5-star Rating and was named one of the world’s most sustainable companies by TIME Magazine. BXP, an S&amp;P 500 company, was founded in 1970 by Mortimer B. Zuckerman and Edward H. Linde and became a public company in 1997.</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right="180"/>
        <w:spacing w:after="0" w:line="241" w:lineRule="auto"/>
        <w:rPr>
          <w:sz w:val="20"/>
          <w:szCs w:val="20"/>
          <w:color w:val="auto"/>
        </w:rPr>
      </w:pPr>
      <w:r>
        <w:rPr>
          <w:rFonts w:ascii="Arial" w:cs="Arial" w:eastAsia="Arial" w:hAnsi="Arial"/>
          <w:sz w:val="14"/>
          <w:szCs w:val="14"/>
          <w:color w:val="auto"/>
        </w:rPr>
        <w:t>This Supplemental package contains “forward-looking statements” as defined in the Private Securities Litigation Reform Act of 1995. You can identify these statements by our use of the words “anticipates,” “believes,” “budgeted,” “could,” “estimates,” “expects,” “guidance,” “intends,” “may,” “might,” “plans,” “projects,” “should,” “will,” and similar</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expressions that do not relate to historical matters. These statements are based on our current plans, expectations, projections and assumptions about future events. You should exercise caution in interpreting and relying on forward-looking statements because they involve known and unknown risks, uncertainties and other factors which are, in some cases, beyond BXP’s control. If our underlying assumptions prove inaccurate, or known or unknown risks or uncertainties materialize, actual results could differ materially from those expressed or implied by the forward-looking statements. These factors include, without limitation, the risks and uncertainties related to adverse changes in general economic and capital market conditions, including continued inflation, elevated interest rates, supply chain disruptions, dislocation and volatility in capital markets, potential longer-term changes in consumer and client behavior resulting from the severity and duration of any downturn in the U.S. or global economy, general risks affecting the real estate industry (including, without limitation, the inability to enter into or renew leases on favorable terms, sustained changes in client preferences and space utilization, dependence on clients’ financial condition, and competition from other developers, owners and operators of real estate), the impact of adverse political conditions, including policy changes by the presidential administration, such as the direct and indirect negative impacts that new and increased tariffs may have on (1) our current and prospective clients and their demand for office space and (2) the costs and availability of construction materials and the economic returns on our construction and development activities, and prolonged government shutdowns or disruptions, the impact of geopolitical conflicts, the uncertainties of investing in new markets, the costs and availability of financing, the effectiveness of our hedging contracts, the ability of our joint venture partners to satisfy their obligations, the effects of local, national and international economic and market conditions, the effects of acquisitions, dispositions and possible impairment charges on our operating results, the impact of newly adopted accounting principles on the Company’s accounting policies and on period-to-period comparisons of financial results, the uncertainties of costs to comply with regulatory changes and other risks and</w:t>
      </w:r>
    </w:p>
    <w:p>
      <w:pPr>
        <w:spacing w:after="0" w:line="5"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uncertainties detailed from time to time in the Company’s filings with the Securities and Exchange Commission. These forward-looking statements speak only as of the date of issuance of this report and are not guarantees of future results, performance or achievements. BXP does not undertake a duty to update or revise any forward-looking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statement, whether as a result of new information, future events or otherwise, except as otherwise required by law.</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This Supplemental package includes non-GAAP financial measures, which are accompanied by what the Company considers the most directly comparable financial measures calculated and presented in accordance with GAAP. Quantitative reconciliations of the differences between the most directly comparable GAAP financial measures and the non-GAAP financial measures presented are provided within this Supplemental package. Definitions of these non-GAAP financial measures and statements of the reasons why management believes the non-GAAP measures provide useful information to investors about the Company’s financial condition and results of operations, and, if applicable, the other purposes for which management uses the measures, can be found in the Definitions section of this Supplemental starting on page 56.</w:t>
      </w: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Company also presents “</w:t>
      </w:r>
      <w:r>
        <w:rPr>
          <w:rFonts w:ascii="Arial" w:cs="Arial" w:eastAsia="Arial" w:hAnsi="Arial"/>
          <w:sz w:val="14"/>
          <w:szCs w:val="14"/>
          <w:b w:val="1"/>
          <w:bCs w:val="1"/>
          <w:color w:val="auto"/>
        </w:rPr>
        <w:t>BXP’s Share</w:t>
      </w:r>
      <w:r>
        <w:rPr>
          <w:rFonts w:ascii="Arial" w:cs="Arial" w:eastAsia="Arial" w:hAnsi="Arial"/>
          <w:sz w:val="14"/>
          <w:szCs w:val="14"/>
          <w:color w:val="auto"/>
        </w:rPr>
        <w:t>” of certain of these measures, which are non-GAAP financial measures that are calculated as the consolidated amount calculated in accordance with GAAP, plus the Company’s share of the amount from the Company’s unconsolidated joint ventures (calculated based upon the Company’s percentage ownership interest and, in some cases, after priority allocations), minus the Company’s partners’ share of the amount from the Company’s consolidated joint ventures (calculated based upon the partners’ percentage ownership interests and, in some cases, after income allocation to private REIT shareholders and their share of fees due to the Company). Management believes that presenting “BXP’s Share” of these measures provides useful information to investors regarding the Company’s financial condition and/or results of operations because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management believes that presenting BXP’s Share of various financial measures in this manner can help investors better understand the Company’s financial condition and/or results of operations after taking into account its true economic interest in these joint ventures. The Company cautions investors that the ownership percentages used in calculating “BXP’s Share” of these measures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routine and major decisions), distributions, transferability of interests, financings and guarantees, liquidations and other matters. As a result, presentations of “BXP’s Share” of a financial measure should not be considered a substitute for, and should only be considered together with and as a supplement to, the Company’s financial information presented in accordance with GAAP. Unless noted otherwise, reconciliations of “BXP’s Share” of these financial measures can be found in the Reconciliations section of this Supplemental package starting on page 60.</w:t>
      </w:r>
    </w:p>
    <w:p>
      <w:pPr>
        <w:sectPr>
          <w:pgSz w:w="11900" w:h="16838" w:orient="portrait"/>
          <w:cols w:equalWidth="0" w:num="1">
            <w:col w:w="11220"/>
          </w:cols>
          <w:pgMar w:left="320" w:top="659"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i w:val="1"/>
          <w:i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960" w:type="dxa"/>
            <w:vAlign w:val="bottom"/>
          </w:tcPr>
          <w:p>
            <w:pPr>
              <w:spacing w:after="0"/>
              <w:rPr>
                <w:sz w:val="20"/>
                <w:szCs w:val="20"/>
                <w:color w:val="auto"/>
              </w:rPr>
            </w:pPr>
            <w:r>
              <w:rPr>
                <w:rFonts w:ascii="Arial" w:cs="Arial" w:eastAsia="Arial" w:hAnsi="Arial"/>
                <w:sz w:val="14"/>
                <w:szCs w:val="14"/>
                <w:b w:val="1"/>
                <w:bCs w:val="1"/>
                <w:color w:val="auto"/>
              </w:rPr>
              <w:t>Corporate Headquarters</w:t>
            </w:r>
          </w:p>
        </w:tc>
        <w:tc>
          <w:tcPr>
            <w:tcW w:w="2240" w:type="dxa"/>
            <w:vAlign w:val="bottom"/>
          </w:tcPr>
          <w:p>
            <w:pPr>
              <w:ind w:left="280"/>
              <w:spacing w:after="0"/>
              <w:rPr>
                <w:sz w:val="20"/>
                <w:szCs w:val="20"/>
                <w:color w:val="auto"/>
              </w:rPr>
            </w:pPr>
            <w:r>
              <w:rPr>
                <w:rFonts w:ascii="Arial" w:cs="Arial" w:eastAsia="Arial" w:hAnsi="Arial"/>
                <w:sz w:val="14"/>
                <w:szCs w:val="14"/>
                <w:b w:val="1"/>
                <w:bCs w:val="1"/>
                <w:color w:val="auto"/>
              </w:rPr>
              <w:t>Trading Symbol</w:t>
            </w:r>
          </w:p>
        </w:tc>
        <w:tc>
          <w:tcPr>
            <w:tcW w:w="2640" w:type="dxa"/>
            <w:vAlign w:val="bottom"/>
          </w:tcPr>
          <w:p>
            <w:pPr>
              <w:ind w:left="280"/>
              <w:spacing w:after="0"/>
              <w:rPr>
                <w:sz w:val="20"/>
                <w:szCs w:val="20"/>
                <w:color w:val="auto"/>
              </w:rPr>
            </w:pPr>
            <w:r>
              <w:rPr>
                <w:rFonts w:ascii="Arial" w:cs="Arial" w:eastAsia="Arial" w:hAnsi="Arial"/>
                <w:sz w:val="14"/>
                <w:szCs w:val="14"/>
                <w:b w:val="1"/>
                <w:bCs w:val="1"/>
                <w:color w:val="auto"/>
              </w:rPr>
              <w:t>Investor Relations</w:t>
            </w:r>
          </w:p>
        </w:tc>
        <w:tc>
          <w:tcPr>
            <w:tcW w:w="3420" w:type="dxa"/>
            <w:vAlign w:val="bottom"/>
          </w:tcPr>
          <w:p>
            <w:pPr>
              <w:ind w:left="340"/>
              <w:spacing w:after="0"/>
              <w:rPr>
                <w:sz w:val="20"/>
                <w:szCs w:val="20"/>
                <w:color w:val="auto"/>
              </w:rPr>
            </w:pPr>
            <w:r>
              <w:rPr>
                <w:rFonts w:ascii="Arial" w:cs="Arial" w:eastAsia="Arial" w:hAnsi="Arial"/>
                <w:sz w:val="14"/>
                <w:szCs w:val="14"/>
                <w:b w:val="1"/>
                <w:bCs w:val="1"/>
                <w:color w:val="auto"/>
              </w:rPr>
              <w:t>Inquiries</w:t>
            </w:r>
          </w:p>
        </w:tc>
      </w:tr>
      <w:tr>
        <w:trPr>
          <w:trHeight w:val="197"/>
        </w:trPr>
        <w:tc>
          <w:tcPr>
            <w:tcW w:w="1960" w:type="dxa"/>
            <w:vAlign w:val="bottom"/>
          </w:tcPr>
          <w:p>
            <w:pPr>
              <w:spacing w:after="0"/>
              <w:rPr>
                <w:sz w:val="20"/>
                <w:szCs w:val="20"/>
                <w:color w:val="auto"/>
              </w:rPr>
            </w:pPr>
            <w:r>
              <w:rPr>
                <w:rFonts w:ascii="Arial" w:cs="Arial" w:eastAsia="Arial" w:hAnsi="Arial"/>
                <w:sz w:val="14"/>
                <w:szCs w:val="14"/>
                <w:color w:val="auto"/>
              </w:rPr>
              <w:t>800 Boylston Street</w:t>
            </w:r>
          </w:p>
        </w:tc>
        <w:tc>
          <w:tcPr>
            <w:tcW w:w="2240" w:type="dxa"/>
            <w:vAlign w:val="bottom"/>
          </w:tcPr>
          <w:p>
            <w:pPr>
              <w:ind w:left="280"/>
              <w:spacing w:after="0"/>
              <w:rPr>
                <w:sz w:val="20"/>
                <w:szCs w:val="20"/>
                <w:color w:val="auto"/>
              </w:rPr>
            </w:pPr>
            <w:r>
              <w:rPr>
                <w:rFonts w:ascii="Arial" w:cs="Arial" w:eastAsia="Arial" w:hAnsi="Arial"/>
                <w:sz w:val="14"/>
                <w:szCs w:val="14"/>
                <w:color w:val="auto"/>
              </w:rPr>
              <w:t>BXP</w:t>
            </w:r>
          </w:p>
        </w:tc>
        <w:tc>
          <w:tcPr>
            <w:tcW w:w="2640" w:type="dxa"/>
            <w:vAlign w:val="bottom"/>
          </w:tcPr>
          <w:p>
            <w:pPr>
              <w:ind w:left="280"/>
              <w:spacing w:after="0"/>
              <w:rPr>
                <w:sz w:val="20"/>
                <w:szCs w:val="20"/>
                <w:color w:val="auto"/>
              </w:rPr>
            </w:pPr>
            <w:r>
              <w:rPr>
                <w:rFonts w:ascii="Arial" w:cs="Arial" w:eastAsia="Arial" w:hAnsi="Arial"/>
                <w:sz w:val="14"/>
                <w:szCs w:val="14"/>
                <w:color w:val="auto"/>
              </w:rPr>
              <w:t>BXP, Inc.</w:t>
            </w:r>
          </w:p>
        </w:tc>
        <w:tc>
          <w:tcPr>
            <w:tcW w:w="3420" w:type="dxa"/>
            <w:vAlign w:val="bottom"/>
          </w:tcPr>
          <w:p>
            <w:pPr>
              <w:ind w:left="340"/>
              <w:spacing w:after="0"/>
              <w:rPr>
                <w:sz w:val="20"/>
                <w:szCs w:val="20"/>
                <w:color w:val="auto"/>
              </w:rPr>
            </w:pPr>
            <w:r>
              <w:rPr>
                <w:rFonts w:ascii="Arial" w:cs="Arial" w:eastAsia="Arial" w:hAnsi="Arial"/>
                <w:sz w:val="14"/>
                <w:szCs w:val="14"/>
                <w:color w:val="auto"/>
              </w:rPr>
              <w:t>Inquiries should be directed to</w:t>
            </w:r>
          </w:p>
        </w:tc>
      </w:tr>
      <w:tr>
        <w:trPr>
          <w:trHeight w:val="203"/>
        </w:trPr>
        <w:tc>
          <w:tcPr>
            <w:tcW w:w="1960" w:type="dxa"/>
            <w:vAlign w:val="bottom"/>
          </w:tcPr>
          <w:p>
            <w:pPr>
              <w:spacing w:after="0"/>
              <w:rPr>
                <w:sz w:val="20"/>
                <w:szCs w:val="20"/>
                <w:color w:val="auto"/>
              </w:rPr>
            </w:pPr>
            <w:r>
              <w:rPr>
                <w:rFonts w:ascii="Arial" w:cs="Arial" w:eastAsia="Arial" w:hAnsi="Arial"/>
                <w:sz w:val="14"/>
                <w:szCs w:val="14"/>
                <w:color w:val="auto"/>
              </w:rPr>
              <w:t>Suite 1900</w:t>
            </w:r>
          </w:p>
        </w:tc>
        <w:tc>
          <w:tcPr>
            <w:tcW w:w="2240" w:type="dxa"/>
            <w:vAlign w:val="bottom"/>
          </w:tcPr>
          <w:p>
            <w:pPr>
              <w:spacing w:after="0"/>
              <w:rPr>
                <w:sz w:val="17"/>
                <w:szCs w:val="17"/>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800 Boylston Street, Suite 1900</w:t>
            </w:r>
          </w:p>
        </w:tc>
        <w:tc>
          <w:tcPr>
            <w:tcW w:w="3420" w:type="dxa"/>
            <w:vAlign w:val="bottom"/>
          </w:tcPr>
          <w:p>
            <w:pPr>
              <w:ind w:left="340"/>
              <w:spacing w:after="0"/>
              <w:rPr>
                <w:sz w:val="20"/>
                <w:szCs w:val="20"/>
                <w:color w:val="auto"/>
              </w:rPr>
            </w:pPr>
            <w:r>
              <w:rPr>
                <w:rFonts w:ascii="Arial" w:cs="Arial" w:eastAsia="Arial" w:hAnsi="Arial"/>
                <w:sz w:val="14"/>
                <w:szCs w:val="14"/>
                <w:color w:val="auto"/>
              </w:rPr>
              <w:t>Helen Han</w:t>
            </w:r>
          </w:p>
        </w:tc>
      </w:tr>
      <w:tr>
        <w:trPr>
          <w:trHeight w:val="208"/>
        </w:trPr>
        <w:tc>
          <w:tcPr>
            <w:tcW w:w="1960" w:type="dxa"/>
            <w:vAlign w:val="bottom"/>
          </w:tcPr>
          <w:p>
            <w:pPr>
              <w:spacing w:after="0"/>
              <w:rPr>
                <w:sz w:val="20"/>
                <w:szCs w:val="20"/>
                <w:color w:val="auto"/>
              </w:rPr>
            </w:pPr>
            <w:r>
              <w:rPr>
                <w:rFonts w:ascii="Arial" w:cs="Arial" w:eastAsia="Arial" w:hAnsi="Arial"/>
                <w:sz w:val="14"/>
                <w:szCs w:val="14"/>
                <w:color w:val="auto"/>
              </w:rPr>
              <w:t>Boston, MA 02199</w:t>
            </w:r>
          </w:p>
        </w:tc>
        <w:tc>
          <w:tcPr>
            <w:tcW w:w="2240" w:type="dxa"/>
            <w:vAlign w:val="bottom"/>
          </w:tcPr>
          <w:p>
            <w:pPr>
              <w:ind w:left="280"/>
              <w:spacing w:after="0"/>
              <w:rPr>
                <w:sz w:val="20"/>
                <w:szCs w:val="20"/>
                <w:color w:val="auto"/>
              </w:rPr>
            </w:pPr>
            <w:r>
              <w:rPr>
                <w:rFonts w:ascii="Arial" w:cs="Arial" w:eastAsia="Arial" w:hAnsi="Arial"/>
                <w:sz w:val="14"/>
                <w:szCs w:val="14"/>
                <w:b w:val="1"/>
                <w:bCs w:val="1"/>
                <w:color w:val="auto"/>
              </w:rPr>
              <w:t>Stock Exchange Listing</w:t>
            </w:r>
          </w:p>
        </w:tc>
        <w:tc>
          <w:tcPr>
            <w:tcW w:w="2640" w:type="dxa"/>
            <w:vAlign w:val="bottom"/>
          </w:tcPr>
          <w:p>
            <w:pPr>
              <w:ind w:left="280"/>
              <w:spacing w:after="0"/>
              <w:rPr>
                <w:sz w:val="20"/>
                <w:szCs w:val="20"/>
                <w:color w:val="auto"/>
              </w:rPr>
            </w:pPr>
            <w:r>
              <w:rPr>
                <w:rFonts w:ascii="Arial" w:cs="Arial" w:eastAsia="Arial" w:hAnsi="Arial"/>
                <w:sz w:val="14"/>
                <w:szCs w:val="14"/>
                <w:color w:val="auto"/>
              </w:rPr>
              <w:t>Boston, MA 02199</w:t>
            </w:r>
          </w:p>
        </w:tc>
        <w:tc>
          <w:tcPr>
            <w:tcW w:w="3420" w:type="dxa"/>
            <w:vAlign w:val="bottom"/>
          </w:tcPr>
          <w:p>
            <w:pPr>
              <w:ind w:left="340"/>
              <w:spacing w:after="0"/>
              <w:rPr>
                <w:sz w:val="20"/>
                <w:szCs w:val="20"/>
                <w:color w:val="auto"/>
              </w:rPr>
            </w:pPr>
            <w:r>
              <w:rPr>
                <w:rFonts w:ascii="Arial" w:cs="Arial" w:eastAsia="Arial" w:hAnsi="Arial"/>
                <w:sz w:val="14"/>
                <w:szCs w:val="14"/>
                <w:color w:val="auto"/>
              </w:rPr>
              <w:t>Vice President, Investor Relations</w:t>
            </w:r>
          </w:p>
        </w:tc>
      </w:tr>
      <w:tr>
        <w:trPr>
          <w:trHeight w:val="197"/>
        </w:trPr>
        <w:tc>
          <w:tcPr>
            <w:tcW w:w="1960" w:type="dxa"/>
            <w:vAlign w:val="bottom"/>
          </w:tcPr>
          <w:p>
            <w:pPr>
              <w:spacing w:after="0"/>
              <w:rPr>
                <w:sz w:val="20"/>
                <w:szCs w:val="20"/>
                <w:color w:val="auto"/>
              </w:rPr>
            </w:pPr>
            <w:r>
              <w:rPr>
                <w:rFonts w:ascii="Arial" w:cs="Arial" w:eastAsia="Arial" w:hAnsi="Arial"/>
                <w:sz w:val="14"/>
                <w:szCs w:val="14"/>
                <w:color w:val="auto"/>
              </w:rPr>
              <w:t>www.bxp.com</w:t>
            </w:r>
          </w:p>
        </w:tc>
        <w:tc>
          <w:tcPr>
            <w:tcW w:w="2240" w:type="dxa"/>
            <w:vAlign w:val="bottom"/>
          </w:tcPr>
          <w:p>
            <w:pPr>
              <w:ind w:left="280"/>
              <w:spacing w:after="0"/>
              <w:rPr>
                <w:sz w:val="20"/>
                <w:szCs w:val="20"/>
                <w:color w:val="auto"/>
              </w:rPr>
            </w:pPr>
            <w:r>
              <w:rPr>
                <w:rFonts w:ascii="Arial" w:cs="Arial" w:eastAsia="Arial" w:hAnsi="Arial"/>
                <w:sz w:val="14"/>
                <w:szCs w:val="14"/>
                <w:color w:val="auto"/>
              </w:rPr>
              <w:t>New York Stock Exchange</w:t>
            </w:r>
          </w:p>
        </w:tc>
        <w:tc>
          <w:tcPr>
            <w:tcW w:w="2640" w:type="dxa"/>
            <w:vAlign w:val="bottom"/>
          </w:tcPr>
          <w:p>
            <w:pPr>
              <w:ind w:left="280"/>
              <w:spacing w:after="0"/>
              <w:rPr>
                <w:sz w:val="20"/>
                <w:szCs w:val="20"/>
                <w:color w:val="auto"/>
              </w:rPr>
            </w:pPr>
            <w:r>
              <w:rPr>
                <w:rFonts w:ascii="Arial" w:cs="Arial" w:eastAsia="Arial" w:hAnsi="Arial"/>
                <w:sz w:val="14"/>
                <w:szCs w:val="14"/>
                <w:color w:val="auto"/>
              </w:rPr>
              <w:t>investors.bxp.com</w:t>
            </w:r>
          </w:p>
        </w:tc>
        <w:tc>
          <w:tcPr>
            <w:tcW w:w="3420" w:type="dxa"/>
            <w:vAlign w:val="bottom"/>
          </w:tcPr>
          <w:p>
            <w:pPr>
              <w:ind w:left="340"/>
              <w:spacing w:after="0"/>
              <w:rPr>
                <w:sz w:val="20"/>
                <w:szCs w:val="20"/>
                <w:color w:val="auto"/>
              </w:rPr>
            </w:pPr>
            <w:r>
              <w:rPr>
                <w:rFonts w:ascii="Arial" w:cs="Arial" w:eastAsia="Arial" w:hAnsi="Arial"/>
                <w:sz w:val="14"/>
                <w:szCs w:val="14"/>
                <w:color w:val="auto"/>
              </w:rPr>
              <w:t>at 617.236.3429 or</w:t>
            </w:r>
          </w:p>
        </w:tc>
      </w:tr>
      <w:tr>
        <w:trPr>
          <w:trHeight w:val="203"/>
        </w:trPr>
        <w:tc>
          <w:tcPr>
            <w:tcW w:w="1960" w:type="dxa"/>
            <w:vAlign w:val="bottom"/>
          </w:tcPr>
          <w:p>
            <w:pPr>
              <w:spacing w:after="0"/>
              <w:rPr>
                <w:sz w:val="20"/>
                <w:szCs w:val="20"/>
                <w:color w:val="auto"/>
              </w:rPr>
            </w:pPr>
            <w:r>
              <w:rPr>
                <w:rFonts w:ascii="Arial" w:cs="Arial" w:eastAsia="Arial" w:hAnsi="Arial"/>
                <w:sz w:val="14"/>
                <w:szCs w:val="14"/>
                <w:color w:val="auto"/>
              </w:rPr>
              <w:t>(t) 617.236.3300</w:t>
            </w:r>
          </w:p>
        </w:tc>
        <w:tc>
          <w:tcPr>
            <w:tcW w:w="2240" w:type="dxa"/>
            <w:vAlign w:val="bottom"/>
          </w:tcPr>
          <w:p>
            <w:pPr>
              <w:spacing w:after="0"/>
              <w:rPr>
                <w:sz w:val="17"/>
                <w:szCs w:val="17"/>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investorrelations@bxp.com</w:t>
            </w:r>
          </w:p>
        </w:tc>
        <w:tc>
          <w:tcPr>
            <w:tcW w:w="3420" w:type="dxa"/>
            <w:vAlign w:val="bottom"/>
          </w:tcPr>
          <w:p>
            <w:pPr>
              <w:ind w:left="340"/>
              <w:spacing w:after="0"/>
              <w:rPr>
                <w:sz w:val="20"/>
                <w:szCs w:val="20"/>
                <w:color w:val="auto"/>
              </w:rPr>
            </w:pPr>
            <w:r>
              <w:rPr>
                <w:rFonts w:ascii="Arial" w:cs="Arial" w:eastAsia="Arial" w:hAnsi="Arial"/>
                <w:sz w:val="14"/>
                <w:szCs w:val="14"/>
                <w:color w:val="auto"/>
              </w:rPr>
              <w:t>hhan@bxp.com</w:t>
            </w: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(t) 617.236.3429</w:t>
            </w:r>
          </w:p>
        </w:tc>
        <w:tc>
          <w:tcPr>
            <w:tcW w:w="34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Michael E. LaBelle</w:t>
            </w: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Executive Vice President, Chief Financial Officer</w:t>
            </w: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at 617.236.3352 or</w:t>
            </w:r>
          </w:p>
        </w:tc>
      </w:tr>
      <w:tr>
        <w:trPr>
          <w:trHeight w:val="203"/>
        </w:trPr>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mlabelle@bxp.com</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(Cover photo: Rendering of 343 Madison Avenue, New York, NY)</w:t>
      </w:r>
    </w:p>
    <w:p>
      <w:pPr>
        <w:sectPr>
          <w:pgSz w:w="11900" w:h="16838" w:orient="portrait"/>
          <w:cols w:equalWidth="0" w:num="1">
            <w:col w:w="10280"/>
          </w:cols>
          <w:pgMar w:left="320" w:top="551" w:right="1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20"/>
              <w:spacing w:after="0"/>
              <w:rPr>
                <w:sz w:val="20"/>
                <w:szCs w:val="20"/>
                <w:color w:val="auto"/>
              </w:rPr>
            </w:pPr>
            <w:r>
              <w:rPr>
                <w:rFonts w:ascii="Arial" w:cs="Arial" w:eastAsia="Arial" w:hAnsi="Arial"/>
                <w:sz w:val="14"/>
                <w:szCs w:val="14"/>
                <w:color w:val="auto"/>
              </w:rPr>
              <w:t>Q3 2025</w:t>
            </w:r>
          </w:p>
        </w:tc>
      </w:tr>
      <w:tr>
        <w:trPr>
          <w:trHeight w:val="231"/>
        </w:trPr>
        <w:tc>
          <w:tcPr>
            <w:tcW w:w="77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006EBF"/>
              </w:rPr>
              <w:t>Table of contents</w:t>
            </w:r>
          </w:p>
        </w:tc>
      </w:tr>
      <w:tr>
        <w:trPr>
          <w:trHeight w:val="303"/>
        </w:trPr>
        <w:tc>
          <w:tcPr>
            <w:tcW w:w="7740" w:type="dxa"/>
            <w:vAlign w:val="bottom"/>
          </w:tcPr>
          <w:p>
            <w:pPr>
              <w:spacing w:after="0"/>
              <w:rPr>
                <w:sz w:val="24"/>
                <w:szCs w:val="24"/>
                <w:color w:val="auto"/>
              </w:rPr>
            </w:pPr>
          </w:p>
        </w:tc>
        <w:tc>
          <w:tcPr>
            <w:tcW w:w="3500" w:type="dxa"/>
            <w:vAlign w:val="bottom"/>
            <w:gridSpan w:val="5"/>
          </w:tcPr>
          <w:p>
            <w:pPr>
              <w:jc w:val="right"/>
              <w:ind w:right="20"/>
              <w:spacing w:after="0"/>
              <w:rPr>
                <w:sz w:val="20"/>
                <w:szCs w:val="20"/>
                <w:color w:val="auto"/>
              </w:rPr>
            </w:pPr>
            <w:r>
              <w:rPr>
                <w:rFonts w:ascii="Arial" w:cs="Arial" w:eastAsia="Arial" w:hAnsi="Arial"/>
                <w:sz w:val="14"/>
                <w:szCs w:val="14"/>
                <w:color w:val="auto"/>
              </w:rPr>
              <w:t>Page</w:t>
            </w:r>
          </w:p>
        </w:tc>
      </w:tr>
      <w:tr>
        <w:trPr>
          <w:trHeight w:val="242"/>
        </w:trPr>
        <w:tc>
          <w:tcPr>
            <w:tcW w:w="7740" w:type="dxa"/>
            <w:vAlign w:val="bottom"/>
          </w:tcPr>
          <w:p>
            <w:pPr>
              <w:ind w:left="20"/>
              <w:spacing w:after="0"/>
              <w:rPr>
                <w:sz w:val="20"/>
                <w:szCs w:val="20"/>
                <w:color w:val="auto"/>
              </w:rPr>
            </w:pPr>
            <w:r>
              <w:rPr>
                <w:rFonts w:ascii="Arial" w:cs="Arial" w:eastAsia="Arial" w:hAnsi="Arial"/>
                <w:sz w:val="18"/>
                <w:szCs w:val="18"/>
                <w:color w:val="006EBF"/>
              </w:rPr>
              <w:t>OVERVIEW</w:t>
            </w:r>
          </w:p>
        </w:tc>
        <w:tc>
          <w:tcPr>
            <w:tcW w:w="3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Company Profile</w:t>
            </w:r>
          </w:p>
        </w:tc>
        <w:tc>
          <w:tcPr>
            <w:tcW w:w="3400" w:type="dxa"/>
            <w:vAlign w:val="bottom"/>
            <w:gridSpan w:val="3"/>
          </w:tcPr>
          <w:p>
            <w:pPr>
              <w:spacing w:after="0"/>
              <w:rPr>
                <w:sz w:val="13"/>
                <w:szCs w:val="13"/>
                <w:color w:val="auto"/>
              </w:rPr>
            </w:pPr>
          </w:p>
        </w:tc>
        <w:tc>
          <w:tcPr>
            <w:tcW w:w="80" w:type="dxa"/>
            <w:vAlign w:val="bottom"/>
            <w:tcBorders>
              <w:bottom w:val="single" w:sz="8" w:color="0000FF"/>
            </w:tcBorders>
          </w:tcPr>
          <w:p>
            <w:pPr>
              <w:jc w:val="right"/>
              <w:spacing w:after="0" w:line="158" w:lineRule="exact"/>
              <w:rPr>
                <w:sz w:val="20"/>
                <w:szCs w:val="20"/>
                <w:color w:val="auto"/>
              </w:rPr>
            </w:pPr>
            <w:r>
              <w:rPr>
                <w:rFonts w:ascii="Arial" w:cs="Arial" w:eastAsia="Arial" w:hAnsi="Arial"/>
                <w:sz w:val="14"/>
                <w:szCs w:val="14"/>
                <w:color w:val="0000FF"/>
                <w:w w:val="76"/>
              </w:rPr>
              <w:t>1</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Guidance and assumptions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2</w:t>
            </w:r>
          </w:p>
        </w:tc>
        <w:tc>
          <w:tcPr>
            <w:tcW w:w="20" w:type="dxa"/>
            <w:vAlign w:val="bottom"/>
          </w:tcPr>
          <w:p>
            <w:pPr>
              <w:spacing w:after="0"/>
              <w:rPr>
                <w:sz w:val="15"/>
                <w:szCs w:val="15"/>
                <w:color w:val="auto"/>
              </w:rPr>
            </w:pPr>
          </w:p>
        </w:tc>
      </w:tr>
      <w:tr>
        <w:trPr>
          <w:trHeight w:val="457"/>
        </w:trPr>
        <w:tc>
          <w:tcPr>
            <w:tcW w:w="7740" w:type="dxa"/>
            <w:vAlign w:val="bottom"/>
          </w:tcPr>
          <w:p>
            <w:pPr>
              <w:ind w:left="20"/>
              <w:spacing w:after="0"/>
              <w:rPr>
                <w:sz w:val="20"/>
                <w:szCs w:val="20"/>
                <w:color w:val="auto"/>
              </w:rPr>
            </w:pPr>
            <w:r>
              <w:rPr>
                <w:rFonts w:ascii="Arial" w:cs="Arial" w:eastAsia="Arial" w:hAnsi="Arial"/>
                <w:sz w:val="18"/>
                <w:szCs w:val="18"/>
                <w:color w:val="006EBF"/>
              </w:rPr>
              <w:t>FINANCIAL INFORMATION</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Financial Highlights</w:t>
            </w:r>
          </w:p>
        </w:tc>
        <w:tc>
          <w:tcPr>
            <w:tcW w:w="3400" w:type="dxa"/>
            <w:vAlign w:val="bottom"/>
            <w:gridSpan w:val="3"/>
          </w:tcPr>
          <w:p>
            <w:pPr>
              <w:spacing w:after="0"/>
              <w:rPr>
                <w:sz w:val="13"/>
                <w:szCs w:val="13"/>
                <w:color w:val="auto"/>
              </w:rPr>
            </w:pPr>
          </w:p>
        </w:tc>
        <w:tc>
          <w:tcPr>
            <w:tcW w:w="80" w:type="dxa"/>
            <w:vAlign w:val="bottom"/>
            <w:tcBorders>
              <w:bottom w:val="single" w:sz="8" w:color="0000FF"/>
            </w:tcBorders>
          </w:tcPr>
          <w:p>
            <w:pPr>
              <w:jc w:val="right"/>
              <w:spacing w:after="0" w:line="158" w:lineRule="exact"/>
              <w:rPr>
                <w:sz w:val="20"/>
                <w:szCs w:val="20"/>
                <w:color w:val="auto"/>
              </w:rPr>
            </w:pPr>
            <w:r>
              <w:rPr>
                <w:rFonts w:ascii="Arial" w:cs="Arial" w:eastAsia="Arial" w:hAnsi="Arial"/>
                <w:sz w:val="14"/>
                <w:szCs w:val="14"/>
                <w:color w:val="0000FF"/>
                <w:w w:val="76"/>
              </w:rPr>
              <w:t>3</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Balance Sheets</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Income Statements</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6</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Funds From Operations (FFO)</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7</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Funds Available for Distribution (FAD)</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8</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3400" w:type="dxa"/>
            <w:vAlign w:val="bottom"/>
            <w:gridSpan w:val="3"/>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9</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Same Property Net Operating Income (NOI) by Reportable Segment</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11</w:t>
            </w:r>
          </w:p>
        </w:tc>
        <w:tc>
          <w:tcPr>
            <w:tcW w:w="2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Capital Expenditures, Tenant Improvement Costs and Leasing Commissions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13</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Acquisitions and Dispositions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14</w:t>
            </w:r>
          </w:p>
        </w:tc>
        <w:tc>
          <w:tcPr>
            <w:tcW w:w="20" w:type="dxa"/>
            <w:vAlign w:val="bottom"/>
          </w:tcPr>
          <w:p>
            <w:pPr>
              <w:spacing w:after="0"/>
              <w:rPr>
                <w:sz w:val="15"/>
                <w:szCs w:val="15"/>
                <w:color w:val="auto"/>
              </w:rPr>
            </w:pPr>
          </w:p>
        </w:tc>
      </w:tr>
      <w:tr>
        <w:trPr>
          <w:trHeight w:val="457"/>
        </w:trPr>
        <w:tc>
          <w:tcPr>
            <w:tcW w:w="7740" w:type="dxa"/>
            <w:vAlign w:val="bottom"/>
          </w:tcPr>
          <w:p>
            <w:pPr>
              <w:ind w:left="20"/>
              <w:spacing w:after="0"/>
              <w:rPr>
                <w:sz w:val="20"/>
                <w:szCs w:val="20"/>
                <w:color w:val="auto"/>
              </w:rPr>
            </w:pPr>
            <w:r>
              <w:rPr>
                <w:rFonts w:ascii="Arial" w:cs="Arial" w:eastAsia="Arial" w:hAnsi="Arial"/>
                <w:sz w:val="18"/>
                <w:szCs w:val="18"/>
                <w:color w:val="006EBF"/>
              </w:rPr>
              <w:t>DEVELOPMENT ACTIVITY</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Construction in Progress</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15</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Land Parcels and Purchase Options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17</w:t>
            </w:r>
          </w:p>
        </w:tc>
        <w:tc>
          <w:tcPr>
            <w:tcW w:w="20" w:type="dxa"/>
            <w:vAlign w:val="bottom"/>
          </w:tcPr>
          <w:p>
            <w:pPr>
              <w:spacing w:after="0"/>
              <w:rPr>
                <w:sz w:val="15"/>
                <w:szCs w:val="15"/>
                <w:color w:val="auto"/>
              </w:rPr>
            </w:pPr>
          </w:p>
        </w:tc>
      </w:tr>
      <w:tr>
        <w:trPr>
          <w:trHeight w:val="457"/>
        </w:trPr>
        <w:tc>
          <w:tcPr>
            <w:tcW w:w="7740" w:type="dxa"/>
            <w:vAlign w:val="bottom"/>
          </w:tcPr>
          <w:p>
            <w:pPr>
              <w:ind w:left="20"/>
              <w:spacing w:after="0"/>
              <w:rPr>
                <w:sz w:val="20"/>
                <w:szCs w:val="20"/>
                <w:color w:val="auto"/>
              </w:rPr>
            </w:pPr>
            <w:r>
              <w:rPr>
                <w:rFonts w:ascii="Arial" w:cs="Arial" w:eastAsia="Arial" w:hAnsi="Arial"/>
                <w:sz w:val="18"/>
                <w:szCs w:val="18"/>
                <w:color w:val="006EBF"/>
              </w:rPr>
              <w:t>LEASING ACTIVITY</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Leasing Activity</w:t>
            </w:r>
          </w:p>
        </w:tc>
        <w:tc>
          <w:tcPr>
            <w:tcW w:w="3480" w:type="dxa"/>
            <w:vAlign w:val="bottom"/>
            <w:gridSpan w:val="4"/>
          </w:tcPr>
          <w:p>
            <w:pPr>
              <w:jc w:val="right"/>
              <w:spacing w:after="0" w:line="158" w:lineRule="exact"/>
              <w:rPr>
                <w:sz w:val="20"/>
                <w:szCs w:val="20"/>
                <w:color w:val="auto"/>
              </w:rPr>
            </w:pPr>
            <w:r>
              <w:rPr>
                <w:rFonts w:ascii="Arial" w:cs="Arial" w:eastAsia="Arial" w:hAnsi="Arial"/>
                <w:sz w:val="14"/>
                <w:szCs w:val="14"/>
                <w:color w:val="0000FF"/>
              </w:rPr>
              <w:t>18</w:t>
            </w:r>
          </w:p>
        </w:tc>
        <w:tc>
          <w:tcPr>
            <w:tcW w:w="20" w:type="dxa"/>
            <w:vAlign w:val="bottom"/>
          </w:tcPr>
          <w:p>
            <w:pPr>
              <w:spacing w:after="0"/>
              <w:rPr>
                <w:sz w:val="13"/>
                <w:szCs w:val="13"/>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PROPERTY STATISTICS</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Portfolio Overview</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19</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Residential and Hotel Performance</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20</w:t>
            </w:r>
          </w:p>
        </w:tc>
        <w:tc>
          <w:tcPr>
            <w:tcW w:w="20" w:type="dxa"/>
            <w:vAlign w:val="bottom"/>
          </w:tcPr>
          <w:p>
            <w:pPr>
              <w:spacing w:after="0"/>
              <w:rPr>
                <w:sz w:val="15"/>
                <w:szCs w:val="15"/>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In-Service Property Listing</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21</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Top 20 Clients Listing and Portfolio Client Diversification</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25</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Occupancy by Location</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26</w:t>
            </w:r>
          </w:p>
        </w:tc>
        <w:tc>
          <w:tcPr>
            <w:tcW w:w="20" w:type="dxa"/>
            <w:vAlign w:val="bottom"/>
          </w:tcPr>
          <w:p>
            <w:pPr>
              <w:spacing w:after="0"/>
              <w:rPr>
                <w:sz w:val="15"/>
                <w:szCs w:val="15"/>
                <w:color w:val="auto"/>
              </w:rPr>
            </w:pPr>
          </w:p>
        </w:tc>
      </w:tr>
      <w:tr>
        <w:trPr>
          <w:trHeight w:val="456"/>
        </w:trPr>
        <w:tc>
          <w:tcPr>
            <w:tcW w:w="7740" w:type="dxa"/>
            <w:vAlign w:val="bottom"/>
          </w:tcPr>
          <w:p>
            <w:pPr>
              <w:ind w:left="20"/>
              <w:spacing w:after="0"/>
              <w:rPr>
                <w:sz w:val="20"/>
                <w:szCs w:val="20"/>
                <w:color w:val="auto"/>
              </w:rPr>
            </w:pPr>
            <w:r>
              <w:rPr>
                <w:rFonts w:ascii="Arial" w:cs="Arial" w:eastAsia="Arial" w:hAnsi="Arial"/>
                <w:sz w:val="18"/>
                <w:szCs w:val="18"/>
                <w:color w:val="006EBF"/>
              </w:rPr>
              <w:t>DEBT AND CAPITALIZATION</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Capital Structure</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27</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Debt Analysis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29</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Senior Unsecured Debt Covenant Compliance Ratios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30</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Net Debt to EBITDA</w:t>
            </w:r>
            <w:r>
              <w:rPr>
                <w:rFonts w:ascii="Arial" w:cs="Arial" w:eastAsia="Arial" w:hAnsi="Arial"/>
                <w:sz w:val="14"/>
                <w:szCs w:val="14"/>
                <w:i w:val="1"/>
                <w:iCs w:val="1"/>
                <w:color w:val="auto"/>
              </w:rPr>
              <w:t>re</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31</w:t>
            </w:r>
          </w:p>
        </w:tc>
        <w:tc>
          <w:tcPr>
            <w:tcW w:w="20" w:type="dxa"/>
            <w:vAlign w:val="bottom"/>
          </w:tcPr>
          <w:p>
            <w:pPr>
              <w:spacing w:after="0"/>
              <w:rPr>
                <w:sz w:val="15"/>
                <w:szCs w:val="15"/>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Debt Ratios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32</w:t>
            </w:r>
          </w:p>
        </w:tc>
        <w:tc>
          <w:tcPr>
            <w:tcW w:w="20" w:type="dxa"/>
            <w:vAlign w:val="bottom"/>
          </w:tcPr>
          <w:p>
            <w:pPr>
              <w:spacing w:after="0"/>
              <w:rPr>
                <w:sz w:val="15"/>
                <w:szCs w:val="15"/>
                <w:color w:val="auto"/>
              </w:rPr>
            </w:pPr>
          </w:p>
        </w:tc>
      </w:tr>
      <w:tr>
        <w:trPr>
          <w:trHeight w:val="457"/>
        </w:trPr>
        <w:tc>
          <w:tcPr>
            <w:tcW w:w="7740" w:type="dxa"/>
            <w:vAlign w:val="bottom"/>
          </w:tcPr>
          <w:p>
            <w:pPr>
              <w:ind w:left="20"/>
              <w:spacing w:after="0"/>
              <w:rPr>
                <w:sz w:val="20"/>
                <w:szCs w:val="20"/>
                <w:color w:val="auto"/>
              </w:rPr>
            </w:pPr>
            <w:r>
              <w:rPr>
                <w:rFonts w:ascii="Arial" w:cs="Arial" w:eastAsia="Arial" w:hAnsi="Arial"/>
                <w:sz w:val="18"/>
                <w:szCs w:val="18"/>
                <w:color w:val="006EBF"/>
              </w:rPr>
              <w:t>JOINT VENTURES</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Consolidated Joint Ventures</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33</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Unconsolidated Joint Ventures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35</w:t>
            </w:r>
          </w:p>
        </w:tc>
        <w:tc>
          <w:tcPr>
            <w:tcW w:w="20" w:type="dxa"/>
            <w:vAlign w:val="bottom"/>
          </w:tcPr>
          <w:p>
            <w:pPr>
              <w:spacing w:after="0"/>
              <w:rPr>
                <w:sz w:val="15"/>
                <w:szCs w:val="15"/>
                <w:color w:val="auto"/>
              </w:rPr>
            </w:pPr>
          </w:p>
        </w:tc>
      </w:tr>
      <w:tr>
        <w:trPr>
          <w:trHeight w:val="456"/>
        </w:trPr>
        <w:tc>
          <w:tcPr>
            <w:tcW w:w="7740" w:type="dxa"/>
            <w:vAlign w:val="bottom"/>
          </w:tcPr>
          <w:p>
            <w:pPr>
              <w:ind w:left="20"/>
              <w:spacing w:after="0"/>
              <w:rPr>
                <w:sz w:val="20"/>
                <w:szCs w:val="20"/>
                <w:color w:val="auto"/>
              </w:rPr>
            </w:pPr>
            <w:r>
              <w:rPr>
                <w:rFonts w:ascii="Arial" w:cs="Arial" w:eastAsia="Arial" w:hAnsi="Arial"/>
                <w:sz w:val="18"/>
                <w:szCs w:val="18"/>
                <w:color w:val="006EBF"/>
              </w:rPr>
              <w:t>LEASE EXPIRATION ROLL-OUT</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Total In-Service Properties</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38</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Boston</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39</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41</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New York</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43</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45</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Seattle</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47</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Washington, DC</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49</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CBD</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51</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Suburban</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53</w:t>
            </w:r>
          </w:p>
        </w:tc>
        <w:tc>
          <w:tcPr>
            <w:tcW w:w="20" w:type="dxa"/>
            <w:vAlign w:val="bottom"/>
          </w:tcPr>
          <w:p>
            <w:pPr>
              <w:spacing w:after="0"/>
              <w:rPr>
                <w:sz w:val="15"/>
                <w:szCs w:val="15"/>
                <w:color w:val="auto"/>
              </w:rPr>
            </w:pPr>
          </w:p>
        </w:tc>
      </w:tr>
      <w:tr>
        <w:trPr>
          <w:trHeight w:val="456"/>
        </w:trPr>
        <w:tc>
          <w:tcPr>
            <w:tcW w:w="7740" w:type="dxa"/>
            <w:vAlign w:val="bottom"/>
          </w:tcPr>
          <w:p>
            <w:pPr>
              <w:ind w:left="20"/>
              <w:spacing w:after="0"/>
              <w:rPr>
                <w:sz w:val="20"/>
                <w:szCs w:val="20"/>
                <w:color w:val="auto"/>
              </w:rPr>
            </w:pPr>
            <w:r>
              <w:rPr>
                <w:rFonts w:ascii="Arial" w:cs="Arial" w:eastAsia="Arial" w:hAnsi="Arial"/>
                <w:sz w:val="18"/>
                <w:szCs w:val="18"/>
                <w:color w:val="006EBF"/>
              </w:rPr>
              <w:t>RESEARCH COVERAGE, DEFINITIONS AND RECONCILIATIONS</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7740" w:type="dxa"/>
            <w:vAlign w:val="bottom"/>
          </w:tcPr>
          <w:p>
            <w:pPr>
              <w:ind w:left="20"/>
              <w:spacing w:after="0" w:line="158" w:lineRule="exact"/>
              <w:rPr>
                <w:sz w:val="20"/>
                <w:szCs w:val="20"/>
                <w:color w:val="auto"/>
              </w:rPr>
            </w:pPr>
            <w:r>
              <w:rPr>
                <w:rFonts w:ascii="Arial" w:cs="Arial" w:eastAsia="Arial" w:hAnsi="Arial"/>
                <w:sz w:val="14"/>
                <w:szCs w:val="14"/>
                <w:color w:val="auto"/>
              </w:rPr>
              <w:t>Research Coverage</w:t>
            </w:r>
          </w:p>
        </w:tc>
        <w:tc>
          <w:tcPr>
            <w:tcW w:w="3320" w:type="dxa"/>
            <w:vAlign w:val="bottom"/>
          </w:tcPr>
          <w:p>
            <w:pPr>
              <w:spacing w:after="0"/>
              <w:rPr>
                <w:sz w:val="13"/>
                <w:szCs w:val="13"/>
                <w:color w:val="auto"/>
              </w:rPr>
            </w:pPr>
          </w:p>
        </w:tc>
        <w:tc>
          <w:tcPr>
            <w:tcW w:w="160" w:type="dxa"/>
            <w:vAlign w:val="bottom"/>
            <w:tcBorders>
              <w:bottom w:val="single" w:sz="8" w:color="0000FF"/>
            </w:tcBorders>
            <w:gridSpan w:val="3"/>
          </w:tcPr>
          <w:p>
            <w:pPr>
              <w:jc w:val="right"/>
              <w:spacing w:after="0" w:line="158" w:lineRule="exact"/>
              <w:rPr>
                <w:sz w:val="20"/>
                <w:szCs w:val="20"/>
                <w:color w:val="auto"/>
              </w:rPr>
            </w:pPr>
            <w:r>
              <w:rPr>
                <w:rFonts w:ascii="Arial" w:cs="Arial" w:eastAsia="Arial" w:hAnsi="Arial"/>
                <w:sz w:val="14"/>
                <w:szCs w:val="14"/>
                <w:color w:val="0000FF"/>
                <w:w w:val="89"/>
              </w:rPr>
              <w:t>55</w:t>
            </w:r>
          </w:p>
        </w:tc>
        <w:tc>
          <w:tcPr>
            <w:tcW w:w="20" w:type="dxa"/>
            <w:vAlign w:val="bottom"/>
          </w:tcPr>
          <w:p>
            <w:pPr>
              <w:spacing w:after="0"/>
              <w:rPr>
                <w:sz w:val="13"/>
                <w:szCs w:val="13"/>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Definitions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56</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Reconciliations</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60</w:t>
            </w:r>
          </w:p>
        </w:tc>
        <w:tc>
          <w:tcPr>
            <w:tcW w:w="20" w:type="dxa"/>
            <w:vAlign w:val="bottom"/>
          </w:tcPr>
          <w:p>
            <w:pPr>
              <w:spacing w:after="0"/>
              <w:rPr>
                <w:sz w:val="15"/>
                <w:szCs w:val="15"/>
                <w:color w:val="auto"/>
              </w:rPr>
            </w:pPr>
          </w:p>
        </w:tc>
      </w:tr>
      <w:tr>
        <w:trPr>
          <w:trHeight w:val="183"/>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Income Statement - Prior Year</w:t>
            </w:r>
          </w:p>
        </w:tc>
        <w:tc>
          <w:tcPr>
            <w:tcW w:w="3320" w:type="dxa"/>
            <w:vAlign w:val="bottom"/>
          </w:tcPr>
          <w:p>
            <w:pPr>
              <w:spacing w:after="0"/>
              <w:rPr>
                <w:sz w:val="15"/>
                <w:szCs w:val="15"/>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68</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-7792085</wp:posOffset>
            </wp:positionV>
            <wp:extent cx="2571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20"/>
                <w:szCs w:val="20"/>
                <w:color w:val="auto"/>
              </w:rPr>
            </w:pPr>
            <w:r>
              <w:rPr>
                <w:rFonts w:ascii="Arial" w:cs="Arial" w:eastAsia="Arial" w:hAnsi="Arial"/>
                <w:sz w:val="14"/>
                <w:szCs w:val="14"/>
                <w:color w:val="auto"/>
              </w:rPr>
              <w:t>(as of September 30, 2025)</w:t>
            </w:r>
          </w:p>
        </w:tc>
        <w:tc>
          <w:tcPr>
            <w:tcW w:w="1980" w:type="dxa"/>
            <w:vAlign w:val="bottom"/>
          </w:tcPr>
          <w:p>
            <w:pPr>
              <w:spacing w:after="0"/>
              <w:rPr>
                <w:sz w:val="16"/>
                <w:szCs w:val="16"/>
                <w:color w:val="auto"/>
              </w:rPr>
            </w:pPr>
          </w:p>
        </w:tc>
      </w:tr>
      <w:tr>
        <w:trPr>
          <w:trHeight w:val="311"/>
        </w:trPr>
        <w:tc>
          <w:tcPr>
            <w:tcW w:w="8280" w:type="dxa"/>
            <w:vAlign w:val="bottom"/>
          </w:tcPr>
          <w:p>
            <w:pPr>
              <w:ind w:left="20"/>
              <w:spacing w:after="0"/>
              <w:rPr>
                <w:sz w:val="20"/>
                <w:szCs w:val="20"/>
                <w:color w:val="auto"/>
              </w:rPr>
            </w:pPr>
            <w:r>
              <w:rPr>
                <w:rFonts w:ascii="Arial" w:cs="Arial" w:eastAsia="Arial" w:hAnsi="Arial"/>
                <w:sz w:val="14"/>
                <w:szCs w:val="14"/>
                <w:color w:val="auto"/>
              </w:rPr>
              <w:t>Fiscal Year-End</w:t>
            </w:r>
          </w:p>
        </w:tc>
        <w:tc>
          <w:tcPr>
            <w:tcW w:w="1980" w:type="dxa"/>
            <w:vAlign w:val="bottom"/>
          </w:tcPr>
          <w:p>
            <w:pPr>
              <w:ind w:left="180"/>
              <w:spacing w:after="0"/>
              <w:rPr>
                <w:sz w:val="20"/>
                <w:szCs w:val="20"/>
                <w:color w:val="auto"/>
              </w:rPr>
            </w:pPr>
            <w:r>
              <w:rPr>
                <w:rFonts w:ascii="Arial" w:cs="Arial" w:eastAsia="Arial" w:hAnsi="Arial"/>
                <w:sz w:val="14"/>
                <w:szCs w:val="14"/>
                <w:color w:val="auto"/>
              </w:rPr>
              <w:t>December 31</w:t>
            </w:r>
          </w:p>
        </w:tc>
      </w:tr>
      <w:tr>
        <w:trPr>
          <w:trHeight w:val="203"/>
        </w:trPr>
        <w:tc>
          <w:tcPr>
            <w:tcW w:w="8280" w:type="dxa"/>
            <w:vAlign w:val="bottom"/>
          </w:tcPr>
          <w:p>
            <w:pPr>
              <w:ind w:left="20"/>
              <w:spacing w:after="0"/>
              <w:rPr>
                <w:sz w:val="20"/>
                <w:szCs w:val="20"/>
                <w:color w:val="auto"/>
              </w:rPr>
            </w:pPr>
            <w:r>
              <w:rPr>
                <w:rFonts w:ascii="Arial" w:cs="Arial" w:eastAsia="Arial" w:hAnsi="Arial"/>
                <w:sz w:val="14"/>
                <w:szCs w:val="14"/>
                <w:color w:val="auto"/>
              </w:rPr>
              <w:t>Total Properties (includes unconsolidated joint ventures and properties under development/redevelopment)</w:t>
            </w:r>
          </w:p>
        </w:tc>
        <w:tc>
          <w:tcPr>
            <w:tcW w:w="1980" w:type="dxa"/>
            <w:vAlign w:val="bottom"/>
          </w:tcPr>
          <w:p>
            <w:pPr>
              <w:ind w:left="180"/>
              <w:spacing w:after="0"/>
              <w:rPr>
                <w:sz w:val="20"/>
                <w:szCs w:val="20"/>
                <w:color w:val="auto"/>
              </w:rPr>
            </w:pPr>
            <w:r>
              <w:rPr>
                <w:rFonts w:ascii="Arial" w:cs="Arial" w:eastAsia="Arial" w:hAnsi="Arial"/>
                <w:sz w:val="14"/>
                <w:szCs w:val="14"/>
                <w:color w:val="auto"/>
              </w:rPr>
              <w:t>187</w:t>
            </w:r>
          </w:p>
        </w:tc>
      </w:tr>
      <w:tr>
        <w:trPr>
          <w:trHeight w:val="203"/>
        </w:trPr>
        <w:tc>
          <w:tcPr>
            <w:tcW w:w="8280" w:type="dxa"/>
            <w:vAlign w:val="bottom"/>
          </w:tcPr>
          <w:p>
            <w:pPr>
              <w:ind w:left="20"/>
              <w:spacing w:after="0"/>
              <w:rPr>
                <w:sz w:val="20"/>
                <w:szCs w:val="20"/>
                <w:color w:val="auto"/>
              </w:rPr>
            </w:pPr>
            <w:r>
              <w:rPr>
                <w:rFonts w:ascii="Arial" w:cs="Arial" w:eastAsia="Arial" w:hAnsi="Arial"/>
                <w:sz w:val="14"/>
                <w:szCs w:val="14"/>
                <w:color w:val="auto"/>
              </w:rPr>
              <w:t>Total Square Feet (includes unconsolidated joint ventures and properties under development/redevelopment)</w:t>
            </w:r>
          </w:p>
        </w:tc>
        <w:tc>
          <w:tcPr>
            <w:tcW w:w="1980" w:type="dxa"/>
            <w:vAlign w:val="bottom"/>
          </w:tcPr>
          <w:p>
            <w:pPr>
              <w:ind w:left="180"/>
              <w:spacing w:after="0"/>
              <w:rPr>
                <w:sz w:val="20"/>
                <w:szCs w:val="20"/>
                <w:color w:val="auto"/>
              </w:rPr>
            </w:pPr>
            <w:r>
              <w:rPr>
                <w:rFonts w:ascii="Arial" w:cs="Arial" w:eastAsia="Arial" w:hAnsi="Arial"/>
                <w:sz w:val="14"/>
                <w:szCs w:val="14"/>
                <w:color w:val="auto"/>
              </w:rPr>
              <w:t>54.6 million</w:t>
            </w:r>
          </w:p>
        </w:tc>
      </w:tr>
      <w:tr>
        <w:trPr>
          <w:trHeight w:val="185"/>
        </w:trPr>
        <w:tc>
          <w:tcPr>
            <w:tcW w:w="8280" w:type="dxa"/>
            <w:vAlign w:val="bottom"/>
          </w:tcPr>
          <w:p>
            <w:pPr>
              <w:ind w:left="20"/>
              <w:spacing w:after="0"/>
              <w:rPr>
                <w:sz w:val="20"/>
                <w:szCs w:val="20"/>
                <w:color w:val="auto"/>
              </w:rPr>
            </w:pPr>
            <w:r>
              <w:rPr>
                <w:rFonts w:ascii="Arial" w:cs="Arial" w:eastAsia="Arial" w:hAnsi="Arial"/>
                <w:sz w:val="14"/>
                <w:szCs w:val="14"/>
                <w:color w:val="auto"/>
              </w:rPr>
              <w:t>Common shares outstanding, plus common units and LTIP units (other than unearned Multi-Year Long-Term Incentive Program</w:t>
            </w:r>
          </w:p>
        </w:tc>
        <w:tc>
          <w:tcPr>
            <w:tcW w:w="1980" w:type="dxa"/>
            <w:vAlign w:val="bottom"/>
          </w:tcPr>
          <w:p>
            <w:pPr>
              <w:spacing w:after="0"/>
              <w:rPr>
                <w:sz w:val="16"/>
                <w:szCs w:val="16"/>
                <w:color w:val="auto"/>
              </w:rPr>
            </w:pPr>
          </w:p>
        </w:tc>
      </w:tr>
      <w:tr>
        <w:trPr>
          <w:trHeight w:val="218"/>
        </w:trPr>
        <w:tc>
          <w:tcPr>
            <w:tcW w:w="8280" w:type="dxa"/>
            <w:vAlign w:val="bottom"/>
          </w:tcPr>
          <w:p>
            <w:pPr>
              <w:ind w:left="180"/>
              <w:spacing w:after="0"/>
              <w:rPr>
                <w:sz w:val="20"/>
                <w:szCs w:val="20"/>
                <w:color w:val="auto"/>
              </w:rPr>
            </w:pPr>
            <w:r>
              <w:rPr>
                <w:rFonts w:ascii="Arial" w:cs="Arial" w:eastAsia="Arial" w:hAnsi="Arial"/>
                <w:sz w:val="14"/>
                <w:szCs w:val="14"/>
                <w:color w:val="auto"/>
              </w:rPr>
              <w:t xml:space="preserve">(MYLTIP) Units) on an as-converted basis </w:t>
            </w:r>
            <w:r>
              <w:rPr>
                <w:rFonts w:ascii="Arial" w:cs="Arial" w:eastAsia="Arial" w:hAnsi="Arial"/>
                <w:sz w:val="18"/>
                <w:szCs w:val="18"/>
                <w:color w:val="auto"/>
                <w:vertAlign w:val="superscript"/>
              </w:rPr>
              <w:t>1, 2</w:t>
            </w:r>
          </w:p>
        </w:tc>
        <w:tc>
          <w:tcPr>
            <w:tcW w:w="1980" w:type="dxa"/>
            <w:vAlign w:val="bottom"/>
          </w:tcPr>
          <w:p>
            <w:pPr>
              <w:ind w:left="180"/>
              <w:spacing w:after="0"/>
              <w:rPr>
                <w:sz w:val="20"/>
                <w:szCs w:val="20"/>
                <w:color w:val="auto"/>
              </w:rPr>
            </w:pPr>
            <w:r>
              <w:rPr>
                <w:rFonts w:ascii="Arial" w:cs="Arial" w:eastAsia="Arial" w:hAnsi="Arial"/>
                <w:sz w:val="14"/>
                <w:szCs w:val="14"/>
                <w:color w:val="auto"/>
              </w:rPr>
              <w:t>176.8 million</w:t>
            </w: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Closing Price, at the end of the quarter</w:t>
            </w:r>
          </w:p>
        </w:tc>
        <w:tc>
          <w:tcPr>
            <w:tcW w:w="1980" w:type="dxa"/>
            <w:vAlign w:val="bottom"/>
          </w:tcPr>
          <w:p>
            <w:pPr>
              <w:ind w:left="180"/>
              <w:spacing w:after="0"/>
              <w:rPr>
                <w:sz w:val="20"/>
                <w:szCs w:val="20"/>
                <w:color w:val="auto"/>
              </w:rPr>
            </w:pPr>
            <w:r>
              <w:rPr>
                <w:rFonts w:ascii="Arial" w:cs="Arial" w:eastAsia="Arial" w:hAnsi="Arial"/>
                <w:sz w:val="14"/>
                <w:szCs w:val="14"/>
                <w:color w:val="auto"/>
              </w:rPr>
              <w:t>$74.34 per share</w:t>
            </w:r>
          </w:p>
        </w:tc>
      </w:tr>
      <w:tr>
        <w:trPr>
          <w:trHeight w:val="203"/>
        </w:trPr>
        <w:tc>
          <w:tcPr>
            <w:tcW w:w="8280" w:type="dxa"/>
            <w:vAlign w:val="bottom"/>
          </w:tcPr>
          <w:p>
            <w:pPr>
              <w:ind w:left="20"/>
              <w:spacing w:after="0"/>
              <w:rPr>
                <w:sz w:val="20"/>
                <w:szCs w:val="20"/>
                <w:color w:val="auto"/>
              </w:rPr>
            </w:pPr>
            <w:r>
              <w:rPr>
                <w:rFonts w:ascii="Arial" w:cs="Arial" w:eastAsia="Arial" w:hAnsi="Arial"/>
                <w:sz w:val="14"/>
                <w:szCs w:val="14"/>
                <w:color w:val="auto"/>
              </w:rPr>
              <w:t>Dividend - Quarter/Annualized</w:t>
            </w:r>
          </w:p>
        </w:tc>
        <w:tc>
          <w:tcPr>
            <w:tcW w:w="1980" w:type="dxa"/>
            <w:vAlign w:val="bottom"/>
          </w:tcPr>
          <w:p>
            <w:pPr>
              <w:ind w:left="180"/>
              <w:spacing w:after="0"/>
              <w:rPr>
                <w:sz w:val="20"/>
                <w:szCs w:val="20"/>
                <w:color w:val="auto"/>
              </w:rPr>
            </w:pPr>
            <w:r>
              <w:rPr>
                <w:rFonts w:ascii="Arial" w:cs="Arial" w:eastAsia="Arial" w:hAnsi="Arial"/>
                <w:sz w:val="14"/>
                <w:szCs w:val="14"/>
                <w:color w:val="auto"/>
              </w:rPr>
              <w:t>$0.70/$2.80 per share</w:t>
            </w:r>
          </w:p>
        </w:tc>
      </w:tr>
      <w:tr>
        <w:trPr>
          <w:trHeight w:val="203"/>
        </w:trPr>
        <w:tc>
          <w:tcPr>
            <w:tcW w:w="828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980" w:type="dxa"/>
            <w:vAlign w:val="bottom"/>
          </w:tcPr>
          <w:p>
            <w:pPr>
              <w:ind w:left="180"/>
              <w:spacing w:after="0"/>
              <w:rPr>
                <w:sz w:val="20"/>
                <w:szCs w:val="20"/>
                <w:color w:val="auto"/>
              </w:rPr>
            </w:pPr>
            <w:r>
              <w:rPr>
                <w:rFonts w:ascii="Arial" w:cs="Arial" w:eastAsia="Arial" w:hAnsi="Arial"/>
                <w:sz w:val="14"/>
                <w:szCs w:val="14"/>
                <w:color w:val="auto"/>
              </w:rPr>
              <w:t>3.8%</w:t>
            </w:r>
          </w:p>
        </w:tc>
      </w:tr>
      <w:tr>
        <w:trPr>
          <w:trHeight w:val="212"/>
        </w:trPr>
        <w:tc>
          <w:tcPr>
            <w:tcW w:w="8280" w:type="dxa"/>
            <w:vAlign w:val="bottom"/>
          </w:tcPr>
          <w:p>
            <w:pPr>
              <w:ind w:left="20"/>
              <w:spacing w:after="0"/>
              <w:rPr>
                <w:sz w:val="20"/>
                <w:szCs w:val="20"/>
                <w:color w:val="auto"/>
              </w:rPr>
            </w:pPr>
            <w:r>
              <w:rPr>
                <w:rFonts w:ascii="Arial" w:cs="Arial" w:eastAsia="Arial" w:hAnsi="Arial"/>
                <w:sz w:val="14"/>
                <w:szCs w:val="14"/>
                <w:color w:val="auto"/>
              </w:rPr>
              <w:t xml:space="preserve">Consolidated Market Capitalization </w:t>
            </w:r>
            <w:r>
              <w:rPr>
                <w:rFonts w:ascii="Arial" w:cs="Arial" w:eastAsia="Arial" w:hAnsi="Arial"/>
                <w:sz w:val="18"/>
                <w:szCs w:val="18"/>
                <w:color w:val="auto"/>
                <w:vertAlign w:val="superscript"/>
              </w:rPr>
              <w:t>2</w:t>
            </w:r>
          </w:p>
        </w:tc>
        <w:tc>
          <w:tcPr>
            <w:tcW w:w="1980" w:type="dxa"/>
            <w:vAlign w:val="bottom"/>
          </w:tcPr>
          <w:p>
            <w:pPr>
              <w:ind w:left="180"/>
              <w:spacing w:after="0"/>
              <w:rPr>
                <w:sz w:val="20"/>
                <w:szCs w:val="20"/>
                <w:color w:val="auto"/>
              </w:rPr>
            </w:pPr>
            <w:r>
              <w:rPr>
                <w:rFonts w:ascii="Arial" w:cs="Arial" w:eastAsia="Arial" w:hAnsi="Arial"/>
                <w:sz w:val="14"/>
                <w:szCs w:val="14"/>
                <w:color w:val="auto"/>
              </w:rPr>
              <w:t>$29.7 billion</w:t>
            </w:r>
          </w:p>
        </w:tc>
      </w:tr>
      <w:tr>
        <w:trPr>
          <w:trHeight w:val="205"/>
        </w:trPr>
        <w:tc>
          <w:tcPr>
            <w:tcW w:w="8280" w:type="dxa"/>
            <w:vAlign w:val="bottom"/>
          </w:tcPr>
          <w:p>
            <w:pPr>
              <w:ind w:left="20"/>
              <w:spacing w:after="0" w:line="205" w:lineRule="exact"/>
              <w:rPr>
                <w:sz w:val="20"/>
                <w:szCs w:val="20"/>
                <w:color w:val="auto"/>
              </w:rPr>
            </w:pPr>
            <w:r>
              <w:rPr>
                <w:rFonts w:ascii="Arial" w:cs="Arial" w:eastAsia="Arial" w:hAnsi="Arial"/>
                <w:sz w:val="14"/>
                <w:szCs w:val="14"/>
                <w:color w:val="auto"/>
              </w:rPr>
              <w:t xml:space="preserve">BXP’s Share of Market Capitalization </w:t>
            </w:r>
            <w:r>
              <w:rPr>
                <w:rFonts w:ascii="Arial" w:cs="Arial" w:eastAsia="Arial" w:hAnsi="Arial"/>
                <w:sz w:val="18"/>
                <w:szCs w:val="18"/>
                <w:color w:val="auto"/>
                <w:vertAlign w:val="superscript"/>
              </w:rPr>
              <w:t>2, 3</w:t>
            </w:r>
          </w:p>
        </w:tc>
        <w:tc>
          <w:tcPr>
            <w:tcW w:w="1980" w:type="dxa"/>
            <w:vAlign w:val="bottom"/>
          </w:tcPr>
          <w:p>
            <w:pPr>
              <w:ind w:left="180"/>
              <w:spacing w:after="0"/>
              <w:rPr>
                <w:sz w:val="20"/>
                <w:szCs w:val="20"/>
                <w:color w:val="auto"/>
              </w:rPr>
            </w:pPr>
            <w:r>
              <w:rPr>
                <w:rFonts w:ascii="Arial" w:cs="Arial" w:eastAsia="Arial" w:hAnsi="Arial"/>
                <w:sz w:val="14"/>
                <w:szCs w:val="14"/>
                <w:color w:val="auto"/>
              </w:rPr>
              <w:t>$29.8 billion</w:t>
            </w: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Unsecured Senior Debt Ratings</w:t>
            </w:r>
          </w:p>
        </w:tc>
        <w:tc>
          <w:tcPr>
            <w:tcW w:w="1980" w:type="dxa"/>
            <w:vAlign w:val="bottom"/>
          </w:tcPr>
          <w:p>
            <w:pPr>
              <w:ind w:left="180"/>
              <w:spacing w:after="0"/>
              <w:rPr>
                <w:sz w:val="20"/>
                <w:szCs w:val="20"/>
                <w:color w:val="auto"/>
              </w:rPr>
            </w:pPr>
            <w:r>
              <w:rPr>
                <w:rFonts w:ascii="Arial" w:cs="Arial" w:eastAsia="Arial" w:hAnsi="Arial"/>
                <w:sz w:val="14"/>
                <w:szCs w:val="14"/>
                <w:color w:val="auto"/>
              </w:rPr>
              <w:t>BBB (S&amp;P); Baa2 (Moody’s)</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BXP’s primary business objective is to maximize return on investment in an effort to provide its investors with the greatest possible total return in all points of the economic cycle.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To achieve this objective, the key tenets of our business strategy are to:</w:t>
      </w:r>
    </w:p>
    <w:p>
      <w:pPr>
        <w:spacing w:after="0" w:line="41" w:lineRule="exact"/>
        <w:rPr>
          <w:sz w:val="20"/>
          <w:szCs w:val="20"/>
          <w:color w:val="auto"/>
        </w:rPr>
      </w:pPr>
    </w:p>
    <w:p>
      <w:pPr>
        <w:ind w:left="660" w:right="220" w:hanging="328"/>
        <w:spacing w:after="0" w:line="301"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continue to embrace our leadership position in the premier workplace segment and leverage our strength in portfolio quality, client relationships, development skills, market penetration, and sustainability to profitably build market share;</w:t>
      </w:r>
    </w:p>
    <w:p>
      <w:pPr>
        <w:spacing w:after="0" w:line="1" w:lineRule="exact"/>
        <w:rPr>
          <w:rFonts w:ascii="Arial" w:cs="Arial" w:eastAsia="Arial" w:hAnsi="Arial"/>
          <w:sz w:val="14"/>
          <w:szCs w:val="14"/>
          <w:color w:val="auto"/>
        </w:rPr>
      </w:pPr>
    </w:p>
    <w:p>
      <w:pPr>
        <w:ind w:left="660" w:right="40" w:hanging="328"/>
        <w:spacing w:after="0" w:line="301"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a keen focus on select dynamic gateway markets that exhibit the strongest economic growth and investment characteristics over time - currently Boston, Los Angeles, New York, San Francisco, Seattle, and Washington, DC;</w:t>
      </w:r>
    </w:p>
    <w:p>
      <w:pPr>
        <w:spacing w:after="0" w:line="1" w:lineRule="exact"/>
        <w:rPr>
          <w:rFonts w:ascii="Arial" w:cs="Arial" w:eastAsia="Arial" w:hAnsi="Arial"/>
          <w:sz w:val="14"/>
          <w:szCs w:val="14"/>
          <w:color w:val="auto"/>
        </w:rPr>
      </w:pPr>
    </w:p>
    <w:p>
      <w:pPr>
        <w:ind w:left="660" w:right="80" w:hanging="328"/>
        <w:spacing w:after="0" w:line="285"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invest in the highest quality buildings (primarily premier workplaces) with unique amenities and desirable locations that are able to maintain high occupancy rates and achieve premium rental rates through economic cycles;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scale and a full-service real estate capability (leasing, development, construction, marketing, legal, and property management) in our markets to ensure we</w:t>
      </w:r>
    </w:p>
    <w:p>
      <w:pPr>
        <w:spacing w:after="0" w:line="28" w:lineRule="exact"/>
        <w:rPr>
          <w:rFonts w:ascii="Arial" w:cs="Arial" w:eastAsia="Arial" w:hAnsi="Arial"/>
          <w:sz w:val="14"/>
          <w:szCs w:val="14"/>
          <w:color w:val="auto"/>
        </w:rPr>
      </w:pPr>
    </w:p>
    <w:p>
      <w:pPr>
        <w:ind w:left="660" w:right="40"/>
        <w:spacing w:after="0" w:line="272" w:lineRule="auto"/>
        <w:rPr>
          <w:rFonts w:ascii="Arial" w:cs="Arial" w:eastAsia="Arial" w:hAnsi="Arial"/>
          <w:sz w:val="14"/>
          <w:szCs w:val="14"/>
          <w:color w:val="auto"/>
        </w:rPr>
      </w:pPr>
      <w:r>
        <w:rPr>
          <w:rFonts w:ascii="Arial" w:cs="Arial" w:eastAsia="Arial" w:hAnsi="Arial"/>
          <w:sz w:val="14"/>
          <w:szCs w:val="14"/>
          <w:color w:val="auto"/>
        </w:rPr>
        <w:t>(1) see all relevant investment deal flow, (2) maintain an ability to execute on all types of real estate opportunities, such as acquisitions, dispositions, repositioning and development, throughout the real estate investment cycle, (3) provide superior service to our clients and (4) develop and manage our assets in the most sustainable manner possible;</w:t>
      </w:r>
    </w:p>
    <w:p>
      <w:pPr>
        <w:spacing w:after="0" w:line="5"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ensure a strong balance sheet to maintain consistent access to capital and the ability to make new investments at opportune times;</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pursue attractive asset class adjacencies where we have a track record of success, such as life sciences and residential development;</w:t>
      </w:r>
    </w:p>
    <w:p>
      <w:pPr>
        <w:spacing w:after="0" w:line="68" w:lineRule="exact"/>
        <w:rPr>
          <w:rFonts w:ascii="Arial" w:cs="Arial" w:eastAsia="Arial" w:hAnsi="Arial"/>
          <w:sz w:val="14"/>
          <w:szCs w:val="14"/>
          <w:color w:val="auto"/>
        </w:rPr>
      </w:pPr>
    </w:p>
    <w:p>
      <w:pPr>
        <w:ind w:left="660" w:right="20" w:hanging="328"/>
        <w:spacing w:after="0" w:line="301"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recycle capital for future investment through disposing of assets that no longer meet our investment profile or provide an opportunity for an attractive sale price relative to reinvestment;</w:t>
      </w:r>
    </w:p>
    <w:p>
      <w:pPr>
        <w:spacing w:after="0" w:line="1" w:lineRule="exact"/>
        <w:rPr>
          <w:rFonts w:ascii="Arial" w:cs="Arial" w:eastAsia="Arial" w:hAnsi="Arial"/>
          <w:sz w:val="14"/>
          <w:szCs w:val="14"/>
          <w:color w:val="auto"/>
        </w:rPr>
      </w:pPr>
    </w:p>
    <w:p>
      <w:pPr>
        <w:ind w:left="660" w:right="580" w:hanging="328"/>
        <w:spacing w:after="0" w:line="285"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a leadership position in sustainability innovation to minimize emissions from BXP’s development and in-service portfolio, as well as to provide clients sustainable solutions for their space use needs; and</w:t>
      </w:r>
    </w:p>
    <w:p>
      <w:pPr>
        <w:spacing w:after="0" w:line="9" w:lineRule="exact"/>
        <w:rPr>
          <w:rFonts w:ascii="Arial" w:cs="Arial" w:eastAsia="Arial" w:hAnsi="Arial"/>
          <w:sz w:val="14"/>
          <w:szCs w:val="14"/>
          <w:color w:val="auto"/>
        </w:rPr>
      </w:pPr>
    </w:p>
    <w:p>
      <w:pPr>
        <w:ind w:left="660" w:right="240" w:hanging="328"/>
        <w:spacing w:after="0" w:line="305"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foster a culture and reputation of integrity, excellence and purposefulness, making us the employer of choice for talented real estate professionals, the landlord and developer of choice for our clients, as well as the counterparty of choice for real estate industry participants.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Board of Directors</w:t>
            </w:r>
          </w:p>
        </w:tc>
        <w:tc>
          <w:tcPr>
            <w:tcW w:w="2920" w:type="dxa"/>
            <w:vAlign w:val="bottom"/>
            <w:tcBorders>
              <w:bottom w:val="single" w:sz="8" w:color="828282"/>
            </w:tcBorders>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Borders>
              <w:bottom w:val="single" w:sz="8" w:color="828282"/>
            </w:tcBorders>
          </w:tcPr>
          <w:p>
            <w:pPr>
              <w:spacing w:after="0"/>
              <w:rPr>
                <w:sz w:val="17"/>
                <w:szCs w:val="17"/>
                <w:color w:val="auto"/>
              </w:rPr>
            </w:pPr>
          </w:p>
        </w:tc>
        <w:tc>
          <w:tcPr>
            <w:tcW w:w="4860" w:type="dxa"/>
            <w:vAlign w:val="bottom"/>
            <w:tcBorders>
              <w:bottom w:val="single" w:sz="8" w:color="828282"/>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600" w:type="dxa"/>
            <w:vAlign w:val="bottom"/>
          </w:tcPr>
          <w:p>
            <w:pPr>
              <w:ind w:left="20"/>
              <w:spacing w:after="0"/>
              <w:rPr>
                <w:sz w:val="20"/>
                <w:szCs w:val="20"/>
                <w:color w:val="auto"/>
              </w:rPr>
            </w:pPr>
            <w:r>
              <w:rPr>
                <w:rFonts w:ascii="Arial" w:cs="Arial" w:eastAsia="Arial" w:hAnsi="Arial"/>
                <w:sz w:val="14"/>
                <w:szCs w:val="14"/>
                <w:color w:val="auto"/>
              </w:rPr>
              <w:t>Owen D. Thomas</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Chairman of the Board</w:t>
            </w:r>
          </w:p>
        </w:tc>
        <w:tc>
          <w:tcPr>
            <w:tcW w:w="1560" w:type="dxa"/>
            <w:vAlign w:val="bottom"/>
          </w:tcPr>
          <w:p>
            <w:pPr>
              <w:ind w:left="20"/>
              <w:spacing w:after="0"/>
              <w:rPr>
                <w:sz w:val="20"/>
                <w:szCs w:val="20"/>
                <w:color w:val="auto"/>
              </w:rPr>
            </w:pPr>
            <w:r>
              <w:rPr>
                <w:rFonts w:ascii="Arial" w:cs="Arial" w:eastAsia="Arial" w:hAnsi="Arial"/>
                <w:sz w:val="14"/>
                <w:szCs w:val="14"/>
                <w:color w:val="auto"/>
              </w:rPr>
              <w:t>Owen D. Thomas</w:t>
            </w:r>
          </w:p>
        </w:tc>
        <w:tc>
          <w:tcPr>
            <w:tcW w:w="4860" w:type="dxa"/>
            <w:vAlign w:val="bottom"/>
          </w:tcPr>
          <w:p>
            <w:pPr>
              <w:ind w:left="200"/>
              <w:spacing w:after="0"/>
              <w:rPr>
                <w:sz w:val="20"/>
                <w:szCs w:val="20"/>
                <w:color w:val="auto"/>
              </w:rPr>
            </w:pPr>
            <w:r>
              <w:rPr>
                <w:rFonts w:ascii="Arial" w:cs="Arial" w:eastAsia="Arial" w:hAnsi="Arial"/>
                <w:sz w:val="14"/>
                <w:szCs w:val="14"/>
                <w:color w:val="auto"/>
              </w:rPr>
              <w:t>Chief Executive Officer</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4"/>
                <w:szCs w:val="14"/>
                <w:color w:val="auto"/>
              </w:rPr>
              <w:t>Douglas T. Linde</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Douglas T. Linde</w:t>
            </w:r>
          </w:p>
        </w:tc>
        <w:tc>
          <w:tcPr>
            <w:tcW w:w="4860" w:type="dxa"/>
            <w:vAlign w:val="bottom"/>
          </w:tcPr>
          <w:p>
            <w:pPr>
              <w:ind w:left="20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Joel I. Klein</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Lead Independent Director</w:t>
            </w:r>
          </w:p>
        </w:tc>
        <w:tc>
          <w:tcPr>
            <w:tcW w:w="1560" w:type="dxa"/>
            <w:vAlign w:val="bottom"/>
          </w:tcPr>
          <w:p>
            <w:pPr>
              <w:ind w:left="20"/>
              <w:spacing w:after="0"/>
              <w:rPr>
                <w:sz w:val="20"/>
                <w:szCs w:val="20"/>
                <w:color w:val="auto"/>
              </w:rPr>
            </w:pPr>
            <w:r>
              <w:rPr>
                <w:rFonts w:ascii="Arial" w:cs="Arial" w:eastAsia="Arial" w:hAnsi="Arial"/>
                <w:sz w:val="14"/>
                <w:szCs w:val="14"/>
                <w:color w:val="auto"/>
              </w:rPr>
              <w:t>Raymond A. Ritchey</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Executive Vice President</w:t>
            </w: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Bruce W. Duncan</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Audit Committee</w:t>
            </w:r>
          </w:p>
        </w:tc>
        <w:tc>
          <w:tcPr>
            <w:tcW w:w="1560" w:type="dxa"/>
            <w:vAlign w:val="bottom"/>
          </w:tcPr>
          <w:p>
            <w:pPr>
              <w:ind w:left="20"/>
              <w:spacing w:after="0"/>
              <w:rPr>
                <w:sz w:val="20"/>
                <w:szCs w:val="20"/>
                <w:color w:val="auto"/>
              </w:rPr>
            </w:pPr>
            <w:r>
              <w:rPr>
                <w:rFonts w:ascii="Arial" w:cs="Arial" w:eastAsia="Arial" w:hAnsi="Arial"/>
                <w:sz w:val="14"/>
                <w:szCs w:val="14"/>
                <w:color w:val="auto"/>
              </w:rPr>
              <w:t>Michael E. LaBelle</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Chief Financial Officer and Treasurer</w:t>
            </w: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Diane J. Hoskins</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Sustainability Committee</w:t>
            </w:r>
          </w:p>
        </w:tc>
        <w:tc>
          <w:tcPr>
            <w:tcW w:w="1560" w:type="dxa"/>
            <w:vAlign w:val="bottom"/>
          </w:tcPr>
          <w:p>
            <w:pPr>
              <w:ind w:left="20"/>
              <w:spacing w:after="0"/>
              <w:rPr>
                <w:sz w:val="20"/>
                <w:szCs w:val="20"/>
                <w:color w:val="auto"/>
              </w:rPr>
            </w:pPr>
            <w:r>
              <w:rPr>
                <w:rFonts w:ascii="Arial" w:cs="Arial" w:eastAsia="Arial" w:hAnsi="Arial"/>
                <w:sz w:val="14"/>
                <w:szCs w:val="14"/>
                <w:color w:val="auto"/>
              </w:rPr>
              <w:t>Rodney C. Diehl</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West Coast Regions</w:t>
            </w:r>
          </w:p>
        </w:tc>
        <w:tc>
          <w:tcPr>
            <w:tcW w:w="0" w:type="dxa"/>
            <w:vAlign w:val="bottom"/>
          </w:tcPr>
          <w:p>
            <w:pPr>
              <w:spacing w:after="0"/>
              <w:rPr>
                <w:sz w:val="1"/>
                <w:szCs w:val="1"/>
                <w:color w:val="auto"/>
              </w:rPr>
            </w:pPr>
          </w:p>
        </w:tc>
      </w:tr>
      <w:tr>
        <w:trPr>
          <w:trHeight w:val="364"/>
        </w:trPr>
        <w:tc>
          <w:tcPr>
            <w:tcW w:w="1600" w:type="dxa"/>
            <w:vAlign w:val="bottom"/>
          </w:tcPr>
          <w:p>
            <w:pPr>
              <w:ind w:left="20"/>
              <w:spacing w:after="0"/>
              <w:rPr>
                <w:sz w:val="20"/>
                <w:szCs w:val="20"/>
                <w:color w:val="auto"/>
              </w:rPr>
            </w:pPr>
            <w:r>
              <w:rPr>
                <w:rFonts w:ascii="Arial" w:cs="Arial" w:eastAsia="Arial" w:hAnsi="Arial"/>
                <w:sz w:val="14"/>
                <w:szCs w:val="14"/>
                <w:color w:val="auto"/>
              </w:rPr>
              <w:t>Mary E. Kipp</w:t>
            </w: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Donna D. Garesche</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Chief Human Resources Officer</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4"/>
                <w:szCs w:val="14"/>
                <w:color w:val="auto"/>
              </w:rPr>
              <w:t>Matthew J. Lustig</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Nominating &amp; Corporate</w:t>
            </w:r>
          </w:p>
        </w:tc>
        <w:tc>
          <w:tcPr>
            <w:tcW w:w="1560" w:type="dxa"/>
            <w:vAlign w:val="bottom"/>
          </w:tcPr>
          <w:p>
            <w:pPr>
              <w:ind w:left="20"/>
              <w:spacing w:after="0"/>
              <w:rPr>
                <w:sz w:val="20"/>
                <w:szCs w:val="20"/>
                <w:color w:val="auto"/>
              </w:rPr>
            </w:pPr>
            <w:r>
              <w:rPr>
                <w:rFonts w:ascii="Arial" w:cs="Arial" w:eastAsia="Arial" w:hAnsi="Arial"/>
                <w:sz w:val="14"/>
                <w:szCs w:val="14"/>
                <w:color w:val="auto"/>
              </w:rPr>
              <w:t>Bryan J. Koop</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Boston Region</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Governance Committee</w:t>
            </w:r>
          </w:p>
        </w:tc>
        <w:tc>
          <w:tcPr>
            <w:tcW w:w="1560" w:type="dxa"/>
            <w:vAlign w:val="bottom"/>
          </w:tcPr>
          <w:p>
            <w:pPr>
              <w:ind w:left="20"/>
              <w:spacing w:after="0"/>
              <w:rPr>
                <w:sz w:val="20"/>
                <w:szCs w:val="20"/>
                <w:color w:val="auto"/>
              </w:rPr>
            </w:pPr>
            <w:r>
              <w:rPr>
                <w:rFonts w:ascii="Arial" w:cs="Arial" w:eastAsia="Arial" w:hAnsi="Arial"/>
                <w:sz w:val="14"/>
                <w:szCs w:val="14"/>
                <w:color w:val="auto"/>
              </w:rPr>
              <w:t>Peter V. Otteni</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Co-Head of the Washington, DC</w:t>
            </w:r>
          </w:p>
        </w:tc>
        <w:tc>
          <w:tcPr>
            <w:tcW w:w="0" w:type="dxa"/>
            <w:vAlign w:val="bottom"/>
          </w:tcPr>
          <w:p>
            <w:pPr>
              <w:spacing w:after="0"/>
              <w:rPr>
                <w:sz w:val="1"/>
                <w:szCs w:val="1"/>
                <w:color w:val="auto"/>
              </w:rPr>
            </w:pPr>
          </w:p>
        </w:tc>
      </w:tr>
      <w:tr>
        <w:trPr>
          <w:trHeight w:val="203"/>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Timothy J. Naughton</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Compensation Committee</w:t>
            </w:r>
          </w:p>
        </w:tc>
        <w:tc>
          <w:tcPr>
            <w:tcW w:w="156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Arial" w:cs="Arial" w:eastAsia="Arial" w:hAnsi="Arial"/>
                <w:sz w:val="14"/>
                <w:szCs w:val="14"/>
                <w:color w:val="auto"/>
              </w:rPr>
              <w:t>Region</w:t>
            </w: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Julie G. Richardson</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Hilary J. Spann</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New York Region</w:t>
            </w: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William H. Walton, III</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John J. Stroman</w:t>
            </w:r>
          </w:p>
        </w:tc>
        <w:tc>
          <w:tcPr>
            <w:tcW w:w="4860" w:type="dxa"/>
            <w:vAlign w:val="bottom"/>
          </w:tcPr>
          <w:p>
            <w:pPr>
              <w:ind w:left="200"/>
              <w:spacing w:after="0"/>
              <w:rPr>
                <w:sz w:val="20"/>
                <w:szCs w:val="20"/>
                <w:color w:val="auto"/>
              </w:rPr>
            </w:pPr>
            <w:r>
              <w:rPr>
                <w:rFonts w:ascii="Arial" w:cs="Arial" w:eastAsia="Arial" w:hAnsi="Arial"/>
                <w:sz w:val="14"/>
                <w:szCs w:val="14"/>
                <w:color w:val="auto"/>
              </w:rPr>
              <w:t>Executive Vice President, Co-Head of the Washington, DC</w:t>
            </w: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Derek A. (Tony) West</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60" w:type="dxa"/>
            <w:vAlign w:val="bottom"/>
          </w:tcPr>
          <w:p>
            <w:pPr>
              <w:ind w:left="200"/>
              <w:spacing w:after="0"/>
              <w:rPr>
                <w:sz w:val="20"/>
                <w:szCs w:val="20"/>
                <w:color w:val="auto"/>
              </w:rPr>
            </w:pPr>
            <w:r>
              <w:rPr>
                <w:rFonts w:ascii="Arial" w:cs="Arial" w:eastAsia="Arial" w:hAnsi="Arial"/>
                <w:sz w:val="14"/>
                <w:szCs w:val="14"/>
                <w:color w:val="auto"/>
              </w:rPr>
              <w:t>Region</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Colin D. Joynt</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Vice President, Chief Information Officer</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Eric G. Kevorkian</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Vice President, Chief Legal Officer and Secretary</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Michael R. Walsh</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Vice President, Chief Accounting Officer</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James J. Whalen</w:t>
            </w:r>
          </w:p>
        </w:tc>
        <w:tc>
          <w:tcPr>
            <w:tcW w:w="4860" w:type="dxa"/>
            <w:vAlign w:val="bottom"/>
          </w:tcPr>
          <w:p>
            <w:pPr>
              <w:ind w:left="200"/>
              <w:spacing w:after="0"/>
              <w:rPr>
                <w:sz w:val="20"/>
                <w:szCs w:val="20"/>
                <w:color w:val="auto"/>
              </w:rPr>
            </w:pPr>
            <w:r>
              <w:rPr>
                <w:rFonts w:ascii="Arial" w:cs="Arial" w:eastAsia="Arial" w:hAnsi="Arial"/>
                <w:sz w:val="14"/>
                <w:szCs w:val="14"/>
                <w:color w:val="auto"/>
              </w:rPr>
              <w:t>Senior Vice President, Chief Technology Officer</w:t>
            </w: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0"/>
                <w:szCs w:val="20"/>
                <w:color w:val="auto"/>
              </w:rPr>
            </w:pPr>
            <w:r>
              <w:rPr>
                <w:rFonts w:ascii="Arial" w:cs="Arial" w:eastAsia="Arial" w:hAnsi="Arial"/>
                <w:sz w:val="13"/>
                <w:szCs w:val="13"/>
                <w:color w:val="auto"/>
              </w:rPr>
              <w:t>___________________</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Common units and LTIP units are units of limited partnership interest in Boston Properties Limited Partnership, the entity through which the Company conducts substantially all</w:t>
      </w:r>
    </w:p>
    <w:p>
      <w:pPr>
        <w:ind w:left="80"/>
        <w:spacing w:after="0"/>
        <w:rPr>
          <w:sz w:val="20"/>
          <w:szCs w:val="20"/>
          <w:color w:val="auto"/>
        </w:rPr>
      </w:pPr>
      <w:r>
        <w:rPr>
          <w:rFonts w:ascii="Arial" w:cs="Arial" w:eastAsia="Arial" w:hAnsi="Arial"/>
          <w:sz w:val="14"/>
          <w:szCs w:val="14"/>
          <w:color w:val="auto"/>
        </w:rPr>
        <w:t>of its business.</w:t>
      </w:r>
    </w:p>
    <w:p>
      <w:pPr>
        <w:spacing w:after="0" w:line="1"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For additional detail, see page 28.</w:t>
      </w:r>
    </w:p>
    <w:p>
      <w:pPr>
        <w:spacing w:after="0" w:line="13" w:lineRule="exact"/>
        <w:rPr>
          <w:sz w:val="20"/>
          <w:szCs w:val="20"/>
          <w:color w:val="auto"/>
        </w:rPr>
      </w:pPr>
    </w:p>
    <w:p>
      <w:pPr>
        <w:ind w:left="80" w:hanging="72"/>
        <w:spacing w:after="0"/>
        <w:tabs>
          <w:tab w:leader="none" w:pos="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and Reconciliations sections of this Supplemental package starting on page 56.</w:t>
      </w:r>
    </w:p>
    <w:p>
      <w:pPr>
        <w:sectPr>
          <w:pgSz w:w="11900" w:h="16838" w:orient="portrait"/>
          <w:cols w:equalWidth="0" w:num="1">
            <w:col w:w="11240"/>
          </w:cols>
          <w:pgMar w:left="320" w:top="279" w:right="339" w:bottom="1440" w:gutter="0" w:footer="0" w:header="0"/>
        </w:sectPr>
      </w:pPr>
    </w:p>
    <w:p>
      <w:pPr>
        <w:spacing w:after="0" w:line="120"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279" w:right="339" w:bottom="1440" w:gutter="0" w:footer="0" w:header="0"/>
          <w:type w:val="continuous"/>
        </w:sectPr>
      </w:pPr>
    </w:p>
    <w:bookmarkStart w:id="9" w:name="page10"/>
    <w:bookmarkEnd w:id="9"/>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Guidance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BXP’s guidance for full year 2025 for diluted earnings per common share attributable to BXP, Inc. (EPS) and diluted funds from operations (FFO) per common share attributable to BXP, Inc. is set forth and reconciled below. Except as described below, the estimates reflect management’s view of current and future market conditions, including assumptions with respect to rental rates, occupancy levels, interest rates, the timing of the lease-up of available space, the timing of development cost outlays and development deliveries, and the earnings impact of the events referenced in the Company’s earnings release issued on October 28, 2025 and those referenced during the related conference call. The estimates do not include (1) possible future gains or losses or the impact on operating results from other possible future property acquisitions or dispositions not under contract as of the date hereof, (2) the impacts of any other capital markets activity, (3) future write-offs or reinstatements of accounts receivable and accrued rent balances, or</w:t>
      </w:r>
    </w:p>
    <w:p>
      <w:pPr>
        <w:spacing w:after="0" w:line="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future impairment charges. EPS estimates may fluctuate as a result of several factors, including changes in the recognition of depreciation and amortization expense,</w:t>
      </w:r>
    </w:p>
    <w:p>
      <w:pPr>
        <w:spacing w:after="0" w:line="14" w:lineRule="exact"/>
        <w:rPr>
          <w:rFonts w:ascii="Arial" w:cs="Arial" w:eastAsia="Arial" w:hAnsi="Arial"/>
          <w:sz w:val="14"/>
          <w:szCs w:val="14"/>
          <w:color w:val="auto"/>
        </w:rPr>
      </w:pPr>
    </w:p>
    <w:p>
      <w:pPr>
        <w:ind w:right="60"/>
        <w:spacing w:after="0" w:line="262" w:lineRule="auto"/>
        <w:rPr>
          <w:rFonts w:ascii="Arial" w:cs="Arial" w:eastAsia="Arial" w:hAnsi="Arial"/>
          <w:sz w:val="14"/>
          <w:szCs w:val="14"/>
          <w:color w:val="auto"/>
        </w:rPr>
      </w:pPr>
      <w:r>
        <w:rPr>
          <w:rFonts w:ascii="Arial" w:cs="Arial" w:eastAsia="Arial" w:hAnsi="Arial"/>
          <w:sz w:val="14"/>
          <w:szCs w:val="14"/>
          <w:color w:val="auto"/>
        </w:rPr>
        <w:t>impairment losses on depreciable real estate, and any gains or losses associated with disposition activity. BXP is not able to assess at this time the potential impact of these factors on projected EPS. By definition, FFO does not include real estate-related depreciation and amortization, impairment losses on depreciable real estate, or gains or losses associated with disposition activities. For a complete definition of FFO and statements of the reasons why management believes it provides useful information to investors, see page 58. There can be no assurance that BXP’s actual results will not differ materially from the estimates set forth below.</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8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Full Year 2025</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8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4"/>
        </w:trPr>
        <w:tc>
          <w:tcPr>
            <w:tcW w:w="8880" w:type="dxa"/>
            <w:vAlign w:val="bottom"/>
          </w:tcPr>
          <w:p>
            <w:pPr>
              <w:spacing w:after="0"/>
              <w:rPr>
                <w:sz w:val="20"/>
                <w:szCs w:val="20"/>
                <w:color w:val="auto"/>
              </w:rPr>
            </w:pPr>
            <w:r>
              <w:rPr>
                <w:rFonts w:ascii="Arial" w:cs="Arial" w:eastAsia="Arial" w:hAnsi="Arial"/>
                <w:sz w:val="14"/>
                <w:szCs w:val="14"/>
                <w:color w:val="auto"/>
              </w:rPr>
              <w:t>Projected EPS (diluted)</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380" w:type="dxa"/>
            <w:vAlign w:val="bottom"/>
          </w:tcPr>
          <w:p>
            <w:pPr>
              <w:ind w:left="20"/>
              <w:spacing w:after="0"/>
              <w:rPr>
                <w:sz w:val="20"/>
                <w:szCs w:val="20"/>
                <w:color w:val="auto"/>
              </w:rPr>
            </w:pPr>
            <w:r>
              <w:rPr>
                <w:rFonts w:ascii="Arial" w:cs="Arial" w:eastAsia="Arial" w:hAnsi="Arial"/>
                <w:sz w:val="14"/>
                <w:szCs w:val="14"/>
                <w:color w:val="auto"/>
              </w:rPr>
              <w:t>0.99</w:t>
            </w:r>
          </w:p>
        </w:tc>
        <w:tc>
          <w:tcPr>
            <w:tcW w:w="2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3"/>
        </w:trPr>
        <w:tc>
          <w:tcPr>
            <w:tcW w:w="8880" w:type="dxa"/>
            <w:vAlign w:val="bottom"/>
          </w:tcPr>
          <w:p>
            <w:pPr>
              <w:ind w:left="300"/>
              <w:spacing w:after="0"/>
              <w:rPr>
                <w:sz w:val="20"/>
                <w:szCs w:val="20"/>
                <w:color w:val="auto"/>
              </w:rPr>
            </w:pPr>
            <w:r>
              <w:rPr>
                <w:rFonts w:ascii="Arial" w:cs="Arial" w:eastAsia="Arial" w:hAnsi="Arial"/>
                <w:sz w:val="14"/>
                <w:szCs w:val="14"/>
                <w:color w:val="auto"/>
              </w:rPr>
              <w:t>Add:</w:t>
            </w: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80" w:type="dxa"/>
            <w:vAlign w:val="bottom"/>
          </w:tcPr>
          <w:p>
            <w:pPr>
              <w:ind w:left="820"/>
              <w:spacing w:after="0"/>
              <w:rPr>
                <w:sz w:val="20"/>
                <w:szCs w:val="20"/>
                <w:color w:val="auto"/>
              </w:rPr>
            </w:pPr>
            <w:r>
              <w:rPr>
                <w:rFonts w:ascii="Arial" w:cs="Arial" w:eastAsia="Arial" w:hAnsi="Arial"/>
                <w:sz w:val="14"/>
                <w:szCs w:val="14"/>
                <w:color w:val="auto"/>
              </w:rPr>
              <w:t>Projected Company share of real estate depreciation and amortization</w:t>
            </w:r>
          </w:p>
        </w:tc>
        <w:tc>
          <w:tcPr>
            <w:tcW w:w="66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5.15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61"/>
        </w:trPr>
        <w:tc>
          <w:tcPr>
            <w:tcW w:w="8880" w:type="dxa"/>
            <w:vAlign w:val="bottom"/>
          </w:tcPr>
          <w:p>
            <w:pPr>
              <w:ind w:left="820"/>
              <w:spacing w:after="0"/>
              <w:rPr>
                <w:sz w:val="20"/>
                <w:szCs w:val="20"/>
                <w:color w:val="auto"/>
              </w:rPr>
            </w:pPr>
            <w:r>
              <w:rPr>
                <w:rFonts w:ascii="Arial" w:cs="Arial" w:eastAsia="Arial" w:hAnsi="Arial"/>
                <w:sz w:val="14"/>
                <w:szCs w:val="14"/>
                <w:color w:val="auto"/>
              </w:rPr>
              <w:t>Projected Company share of (gains)/losses on sales of real estate, gain on investment from unconsolidated joint venture</w:t>
            </w:r>
          </w:p>
        </w:tc>
        <w:tc>
          <w:tcPr>
            <w:tcW w:w="660" w:type="dxa"/>
            <w:vAlign w:val="bottom"/>
          </w:tcPr>
          <w:p>
            <w:pPr>
              <w:spacing w:after="0"/>
              <w:rPr>
                <w:sz w:val="13"/>
                <w:szCs w:val="13"/>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color w:val="auto"/>
              </w:rPr>
              <w:t>0.75</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85"/>
        </w:trPr>
        <w:tc>
          <w:tcPr>
            <w:tcW w:w="8880" w:type="dxa"/>
            <w:vAlign w:val="bottom"/>
          </w:tcPr>
          <w:p>
            <w:pPr>
              <w:ind w:left="1000"/>
              <w:spacing w:after="0"/>
              <w:rPr>
                <w:sz w:val="20"/>
                <w:szCs w:val="20"/>
                <w:color w:val="auto"/>
              </w:rPr>
            </w:pPr>
            <w:r>
              <w:rPr>
                <w:rFonts w:ascii="Arial" w:cs="Arial" w:eastAsia="Arial" w:hAnsi="Arial"/>
                <w:sz w:val="14"/>
                <w:szCs w:val="14"/>
                <w:color w:val="auto"/>
              </w:rPr>
              <w:t>and impairments</w:t>
            </w: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80" w:type="dxa"/>
            <w:vAlign w:val="bottom"/>
          </w:tcPr>
          <w:p>
            <w:pPr>
              <w:spacing w:after="0"/>
              <w:rPr>
                <w:sz w:val="20"/>
                <w:szCs w:val="20"/>
                <w:color w:val="auto"/>
              </w:rPr>
            </w:pPr>
            <w:r>
              <w:rPr>
                <w:rFonts w:ascii="Arial" w:cs="Arial" w:eastAsia="Arial" w:hAnsi="Arial"/>
                <w:sz w:val="14"/>
                <w:szCs w:val="14"/>
                <w:color w:val="auto"/>
              </w:rPr>
              <w:t>Projected FFO per share (diluted)</w:t>
            </w: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6.89</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21"/>
        </w:trPr>
        <w:tc>
          <w:tcPr>
            <w:tcW w:w="8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Full Year 2025</w:t>
            </w:r>
          </w:p>
        </w:tc>
        <w:tc>
          <w:tcPr>
            <w:tcW w:w="780" w:type="dxa"/>
            <w:vAlign w:val="bottom"/>
            <w:tcBorders>
              <w:bottom w:val="single" w:sz="8" w:color="auto"/>
            </w:tcBorders>
          </w:tcPr>
          <w:p>
            <w:pPr>
              <w:spacing w:after="0"/>
              <w:rPr>
                <w:sz w:val="17"/>
                <w:szCs w:val="17"/>
                <w:color w:val="auto"/>
              </w:rPr>
            </w:pPr>
          </w:p>
        </w:tc>
      </w:tr>
      <w:tr>
        <w:trPr>
          <w:trHeight w:val="190"/>
        </w:trPr>
        <w:tc>
          <w:tcPr>
            <w:tcW w:w="8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360" w:type="dxa"/>
            <w:vAlign w:val="bottom"/>
          </w:tcPr>
          <w:p>
            <w:pPr>
              <w:spacing w:after="0"/>
              <w:rPr>
                <w:sz w:val="16"/>
                <w:szCs w:val="16"/>
                <w:color w:val="auto"/>
              </w:rPr>
            </w:pPr>
          </w:p>
        </w:tc>
        <w:tc>
          <w:tcPr>
            <w:tcW w:w="780" w:type="dxa"/>
            <w:vAlign w:val="bottom"/>
          </w:tcPr>
          <w:p>
            <w:pPr>
              <w:jc w:val="right"/>
              <w:ind w:right="348"/>
              <w:spacing w:after="0"/>
              <w:rPr>
                <w:sz w:val="20"/>
                <w:szCs w:val="20"/>
                <w:color w:val="auto"/>
              </w:rPr>
            </w:pPr>
            <w:r>
              <w:rPr>
                <w:rFonts w:ascii="Arial" w:cs="Arial" w:eastAsia="Arial" w:hAnsi="Arial"/>
                <w:sz w:val="14"/>
                <w:szCs w:val="14"/>
                <w:color w:val="auto"/>
              </w:rPr>
              <w:t>High</w:t>
            </w:r>
          </w:p>
        </w:tc>
      </w:tr>
      <w:tr>
        <w:trPr>
          <w:trHeight w:val="187"/>
        </w:trPr>
        <w:tc>
          <w:tcPr>
            <w:tcW w:w="8640" w:type="dxa"/>
            <w:vAlign w:val="bottom"/>
          </w:tcPr>
          <w:p>
            <w:pPr>
              <w:spacing w:after="0"/>
              <w:rPr>
                <w:sz w:val="20"/>
                <w:szCs w:val="20"/>
                <w:color w:val="auto"/>
              </w:rPr>
            </w:pPr>
            <w:r>
              <w:rPr>
                <w:rFonts w:ascii="Arial" w:cs="Arial" w:eastAsia="Arial" w:hAnsi="Arial"/>
                <w:sz w:val="14"/>
                <w:szCs w:val="14"/>
                <w:b w:val="1"/>
                <w:bCs w:val="1"/>
                <w:color w:val="auto"/>
              </w:rPr>
              <w:t>Operating property activity:</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9"/>
        </w:trPr>
        <w:tc>
          <w:tcPr>
            <w:tcW w:w="8640" w:type="dxa"/>
            <w:vAlign w:val="bottom"/>
          </w:tcPr>
          <w:p>
            <w:pPr>
              <w:ind w:left="400"/>
              <w:spacing w:after="0"/>
              <w:rPr>
                <w:sz w:val="20"/>
                <w:szCs w:val="20"/>
                <w:color w:val="auto"/>
              </w:rPr>
            </w:pPr>
            <w:r>
              <w:rPr>
                <w:rFonts w:ascii="Arial" w:cs="Arial" w:eastAsia="Arial" w:hAnsi="Arial"/>
                <w:sz w:val="14"/>
                <w:szCs w:val="14"/>
                <w:color w:val="auto"/>
              </w:rPr>
              <w:t xml:space="preserve">Average In-service portfolio occupancy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86.50 %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87.50 %</w:t>
            </w:r>
          </w:p>
        </w:tc>
      </w:tr>
      <w:tr>
        <w:trPr>
          <w:trHeight w:val="190"/>
        </w:trPr>
        <w:tc>
          <w:tcPr>
            <w:tcW w:w="8640" w:type="dxa"/>
            <w:vAlign w:val="bottom"/>
          </w:tcPr>
          <w:p>
            <w:pPr>
              <w:ind w:left="400"/>
              <w:spacing w:after="0"/>
              <w:rPr>
                <w:sz w:val="20"/>
                <w:szCs w:val="20"/>
                <w:color w:val="auto"/>
              </w:rPr>
            </w:pPr>
            <w:r>
              <w:rPr>
                <w:rFonts w:ascii="Arial" w:cs="Arial" w:eastAsia="Arial" w:hAnsi="Arial"/>
                <w:sz w:val="14"/>
                <w:szCs w:val="14"/>
                <w:color w:val="auto"/>
              </w:rPr>
              <w:t>Change in BXP’s Share of Same Property net operating income (excluding termination income)</w:t>
            </w:r>
          </w:p>
        </w:tc>
        <w:tc>
          <w:tcPr>
            <w:tcW w:w="240" w:type="dxa"/>
            <w:vAlign w:val="bottom"/>
          </w:tcPr>
          <w:p>
            <w:pPr>
              <w:spacing w:after="0"/>
              <w:rPr>
                <w:sz w:val="16"/>
                <w:szCs w:val="16"/>
                <w:color w:val="auto"/>
              </w:rPr>
            </w:pPr>
          </w:p>
        </w:tc>
        <w:tc>
          <w:tcPr>
            <w:tcW w:w="1200" w:type="dxa"/>
            <w:vAlign w:val="bottom"/>
            <w:gridSpan w:val="2"/>
          </w:tcPr>
          <w:p>
            <w:pPr>
              <w:ind w:left="580"/>
              <w:spacing w:after="0"/>
              <w:rPr>
                <w:sz w:val="20"/>
                <w:szCs w:val="20"/>
                <w:color w:val="auto"/>
              </w:rPr>
            </w:pPr>
            <w:r>
              <w:rPr>
                <w:rFonts w:ascii="Arial" w:cs="Arial" w:eastAsia="Arial" w:hAnsi="Arial"/>
                <w:sz w:val="14"/>
                <w:szCs w:val="14"/>
                <w:color w:val="auto"/>
              </w:rPr>
              <w:t>— %</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0.50 %</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Change in BXP’s Share of Same Property net operating income - cash (excluding termination income)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1.00 %</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1.50 %</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Non Same Properties’ incremental contribution to net operating income over prior year (excluding asset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22,000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24,000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Taking Buildings Out-of-Service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(16,000)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incremental net operating income related to asset sales over prior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(2,000)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straight-line rent and fair value lease revenue (non-cash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105,000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120,000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8,000</w:t>
            </w:r>
          </w:p>
        </w:tc>
      </w:tr>
      <w:tr>
        <w:trPr>
          <w:trHeight w:val="479"/>
        </w:trPr>
        <w:tc>
          <w:tcPr>
            <w:tcW w:w="8640" w:type="dxa"/>
            <w:vAlign w:val="bottom"/>
          </w:tcPr>
          <w:p>
            <w:pPr>
              <w:spacing w:after="0"/>
              <w:rPr>
                <w:sz w:val="20"/>
                <w:szCs w:val="20"/>
                <w:color w:val="auto"/>
              </w:rPr>
            </w:pPr>
            <w:r>
              <w:rPr>
                <w:rFonts w:ascii="Arial" w:cs="Arial" w:eastAsia="Arial" w:hAnsi="Arial"/>
                <w:sz w:val="14"/>
                <w:szCs w:val="14"/>
                <w:b w:val="1"/>
                <w:bCs w:val="1"/>
                <w:color w:val="auto"/>
              </w:rPr>
              <w:t>Other revenue (expense):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640" w:type="dxa"/>
            <w:vAlign w:val="bottom"/>
          </w:tcPr>
          <w:p>
            <w:pPr>
              <w:ind w:left="400"/>
              <w:spacing w:after="0"/>
              <w:rPr>
                <w:sz w:val="20"/>
                <w:szCs w:val="20"/>
                <w:color w:val="auto"/>
              </w:rPr>
            </w:pPr>
            <w:r>
              <w:rPr>
                <w:rFonts w:ascii="Arial" w:cs="Arial" w:eastAsia="Arial" w:hAnsi="Arial"/>
                <w:sz w:val="14"/>
                <w:szCs w:val="14"/>
                <w:color w:val="auto"/>
              </w:rPr>
              <w:t>Development, management services and other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35,000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37,000</w:t>
            </w:r>
          </w:p>
        </w:tc>
      </w:tr>
      <w:tr>
        <w:trPr>
          <w:trHeight w:val="215"/>
        </w:trPr>
        <w:tc>
          <w:tcPr>
            <w:tcW w:w="8640" w:type="dxa"/>
            <w:vAlign w:val="bottom"/>
          </w:tcPr>
          <w:p>
            <w:pPr>
              <w:ind w:left="400"/>
              <w:spacing w:after="0"/>
              <w:rPr>
                <w:sz w:val="20"/>
                <w:szCs w:val="20"/>
                <w:color w:val="auto"/>
              </w:rPr>
            </w:pPr>
            <w:r>
              <w:rPr>
                <w:rFonts w:ascii="Arial" w:cs="Arial" w:eastAsia="Arial" w:hAnsi="Arial"/>
                <w:sz w:val="14"/>
                <w:szCs w:val="14"/>
                <w:color w:val="auto"/>
              </w:rPr>
              <w:t xml:space="preserve">General and administrative expense </w:t>
            </w:r>
            <w:r>
              <w:rPr>
                <w:rFonts w:ascii="Arial" w:cs="Arial" w:eastAsia="Arial" w:hAnsi="Arial"/>
                <w:sz w:val="18"/>
                <w:szCs w:val="18"/>
                <w:color w:val="auto"/>
                <w:vertAlign w:val="superscript"/>
              </w:rPr>
              <w:t>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(161,000)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(158,000)</w:t>
            </w:r>
          </w:p>
        </w:tc>
      </w:tr>
      <w:tr>
        <w:trPr>
          <w:trHeight w:val="190"/>
        </w:trPr>
        <w:tc>
          <w:tcPr>
            <w:tcW w:w="8640" w:type="dxa"/>
            <w:vAlign w:val="bottom"/>
          </w:tcPr>
          <w:p>
            <w:pPr>
              <w:ind w:left="400"/>
              <w:spacing w:after="0"/>
              <w:rPr>
                <w:sz w:val="20"/>
                <w:szCs w:val="20"/>
                <w:color w:val="auto"/>
              </w:rPr>
            </w:pPr>
            <w:r>
              <w:rPr>
                <w:rFonts w:ascii="Arial" w:cs="Arial" w:eastAsia="Arial" w:hAnsi="Arial"/>
                <w:sz w:val="14"/>
                <w:szCs w:val="14"/>
                <w:color w:val="auto"/>
              </w:rPr>
              <w:t>Consolidated net interest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(621,000)</w:t>
            </w:r>
          </w:p>
        </w:tc>
        <w:tc>
          <w:tcPr>
            <w:tcW w:w="3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(617,000)</w:t>
            </w:r>
          </w:p>
        </w:tc>
      </w:tr>
      <w:tr>
        <w:trPr>
          <w:trHeight w:val="203"/>
        </w:trPr>
        <w:tc>
          <w:tcPr>
            <w:tcW w:w="8640" w:type="dxa"/>
            <w:vAlign w:val="bottom"/>
          </w:tcPr>
          <w:p>
            <w:pPr>
              <w:ind w:left="400"/>
              <w:spacing w:after="0"/>
              <w:rPr>
                <w:sz w:val="20"/>
                <w:szCs w:val="20"/>
                <w:color w:val="auto"/>
              </w:rPr>
            </w:pPr>
            <w:r>
              <w:rPr>
                <w:rFonts w:ascii="Arial" w:cs="Arial" w:eastAsia="Arial" w:hAnsi="Arial"/>
                <w:sz w:val="14"/>
                <w:szCs w:val="14"/>
                <w:color w:val="auto"/>
              </w:rPr>
              <w:t>Unconsolidated joint venture interest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(73,000)</w:t>
            </w:r>
          </w:p>
        </w:tc>
      </w:tr>
      <w:tr>
        <w:trPr>
          <w:trHeight w:val="425"/>
        </w:trPr>
        <w:tc>
          <w:tcPr>
            <w:tcW w:w="8640" w:type="dxa"/>
            <w:vAlign w:val="bottom"/>
          </w:tcPr>
          <w:p>
            <w:pPr>
              <w:spacing w:after="0"/>
              <w:rPr>
                <w:sz w:val="20"/>
                <w:szCs w:val="20"/>
                <w:color w:val="auto"/>
              </w:rPr>
            </w:pPr>
            <w:r>
              <w:rPr>
                <w:rFonts w:ascii="Arial" w:cs="Arial" w:eastAsia="Arial" w:hAnsi="Arial"/>
                <w:sz w:val="14"/>
                <w:szCs w:val="14"/>
                <w:b w:val="1"/>
                <w:bCs w:val="1"/>
                <w:color w:val="auto"/>
              </w:rPr>
              <w:t>Noncontrolling interest: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640" w:type="dxa"/>
            <w:vAlign w:val="bottom"/>
          </w:tcPr>
          <w:p>
            <w:pPr>
              <w:ind w:left="400"/>
              <w:spacing w:after="0"/>
              <w:rPr>
                <w:sz w:val="20"/>
                <w:szCs w:val="20"/>
                <w:color w:val="auto"/>
              </w:rPr>
            </w:pPr>
            <w:r>
              <w:rPr>
                <w:rFonts w:ascii="Arial" w:cs="Arial" w:eastAsia="Arial" w:hAnsi="Arial"/>
                <w:sz w:val="14"/>
                <w:szCs w:val="14"/>
                <w:color w:val="auto"/>
              </w:rPr>
              <w:t>Noncontrolling interest in property partnerships’ share of FFO</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(166,000)</w:t>
            </w:r>
          </w:p>
        </w:tc>
        <w:tc>
          <w:tcPr>
            <w:tcW w:w="3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(162,000)</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spacing w:after="0" w:line="8" w:lineRule="exact"/>
        <w:rPr>
          <w:sz w:val="20"/>
          <w:szCs w:val="20"/>
          <w:color w:val="auto"/>
        </w:rPr>
      </w:pPr>
    </w:p>
    <w:p>
      <w:pPr>
        <w:ind w:left="160" w:hanging="71"/>
        <w:spacing w:after="0"/>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Excludes development properties placed into service in Q3 2025.</w:t>
      </w:r>
    </w:p>
    <w:p>
      <w:pPr>
        <w:ind w:left="160" w:hanging="71"/>
        <w:spacing w:after="0" w:line="222" w:lineRule="auto"/>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Excludes estimated changes in the market value of the Company’s deferred compensation plan and gains (losses) from investments in securities.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279" w:right="339" w:bottom="1440" w:gutter="0" w:footer="0" w:header="0"/>
        </w:sectPr>
      </w:pPr>
    </w:p>
    <w:bookmarkStart w:id="10" w:name="page11"/>
    <w:bookmarkEnd w:id="10"/>
    <w:tbl>
      <w:tblPr>
        <w:tblLayout w:type="fixed"/>
        <w:tblInd w:w="73"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Q3 2025</w:t>
            </w:r>
          </w:p>
        </w:tc>
      </w:tr>
      <w:tr>
        <w:trPr>
          <w:trHeight w:val="231"/>
        </w:trPr>
        <w:tc>
          <w:tcPr>
            <w:tcW w:w="8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00497F"/>
              </w:rPr>
              <w:t>Financial highlights</w:t>
            </w:r>
          </w:p>
        </w:tc>
      </w:tr>
      <w:tr>
        <w:trPr>
          <w:trHeight w:val="599"/>
        </w:trPr>
        <w:tc>
          <w:tcPr>
            <w:tcW w:w="8360" w:type="dxa"/>
            <w:vAlign w:val="bottom"/>
          </w:tcPr>
          <w:p>
            <w:pPr>
              <w:spacing w:after="0"/>
              <w:rPr>
                <w:sz w:val="20"/>
                <w:szCs w:val="20"/>
                <w:color w:val="auto"/>
              </w:rPr>
            </w:pPr>
            <w:r>
              <w:rPr>
                <w:rFonts w:ascii="Arial" w:cs="Arial" w:eastAsia="Arial" w:hAnsi="Arial"/>
                <w:sz w:val="14"/>
                <w:szCs w:val="14"/>
                <w:color w:val="auto"/>
              </w:rPr>
              <w:t>(unaudited and in thousands, except ratios and per share amounts)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30-Sep-25</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30-Jun-25</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(121,712)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88,977</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Net income (loss) attributable to BXP, Inc. per share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(0.77)</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0.56</w:t>
            </w:r>
          </w:p>
        </w:tc>
      </w:tr>
      <w:tr>
        <w:trPr>
          <w:trHeight w:val="21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FFO attributable to BXP, Inc. </w:t>
            </w:r>
            <w:r>
              <w:rPr>
                <w:rFonts w:ascii="Arial" w:cs="Arial" w:eastAsia="Arial" w:hAnsi="Arial"/>
                <w:sz w:val="18"/>
                <w:szCs w:val="18"/>
                <w:color w:val="auto"/>
                <w:vertAlign w:val="superscript"/>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276,674</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271,652</w:t>
            </w:r>
          </w:p>
        </w:tc>
      </w:tr>
      <w:tr>
        <w:trPr>
          <w:trHeight w:val="205"/>
        </w:trPr>
        <w:tc>
          <w:tcPr>
            <w:tcW w:w="8360" w:type="dxa"/>
            <w:vAlign w:val="bottom"/>
          </w:tcPr>
          <w:p>
            <w:pPr>
              <w:ind w:left="20"/>
              <w:spacing w:after="0" w:line="205" w:lineRule="exact"/>
              <w:rPr>
                <w:sz w:val="20"/>
                <w:szCs w:val="20"/>
                <w:color w:val="auto"/>
              </w:rPr>
            </w:pPr>
            <w:r>
              <w:rPr>
                <w:rFonts w:ascii="Arial" w:cs="Arial" w:eastAsia="Arial" w:hAnsi="Arial"/>
                <w:sz w:val="14"/>
                <w:szCs w:val="14"/>
                <w:color w:val="auto"/>
              </w:rPr>
              <w:t xml:space="preserve">Diluted FFO per share </w:t>
            </w:r>
            <w:r>
              <w:rPr>
                <w:rFonts w:ascii="Arial" w:cs="Arial" w:eastAsia="Arial" w:hAnsi="Arial"/>
                <w:sz w:val="18"/>
                <w:szCs w:val="18"/>
                <w:color w:val="auto"/>
                <w:vertAlign w:val="superscript"/>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1.74</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1.71</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Dividends per common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0.70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0.98</w:t>
            </w:r>
          </w:p>
        </w:tc>
      </w:tr>
      <w:tr>
        <w:trPr>
          <w:trHeight w:val="26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Funds available for distribution to common shareholders and common unitholders (FAD) </w:t>
            </w:r>
            <w:r>
              <w:rPr>
                <w:rFonts w:ascii="Arial" w:cs="Arial" w:eastAsia="Arial" w:hAnsi="Arial"/>
                <w:sz w:val="18"/>
                <w:szCs w:val="18"/>
                <w:color w:val="auto"/>
                <w:vertAlign w:val="superscript"/>
              </w:rPr>
              <w:t>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201,772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203,592</w:t>
            </w:r>
          </w:p>
        </w:tc>
      </w:tr>
      <w:tr>
        <w:trPr>
          <w:trHeight w:val="259"/>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Selected items: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97"/>
        </w:trPr>
        <w:tc>
          <w:tcPr>
            <w:tcW w:w="8360" w:type="dxa"/>
            <w:vAlign w:val="bottom"/>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871,510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868,457</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Recoveries from clients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146,082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141,725</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Service income from clients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2,786</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2,848</w:t>
            </w:r>
          </w:p>
        </w:tc>
      </w:tr>
      <w:tr>
        <w:trPr>
          <w:trHeight w:val="21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revenue </w:t>
            </w:r>
            <w:r>
              <w:rPr>
                <w:rFonts w:ascii="Arial" w:cs="Arial" w:eastAsia="Arial" w:hAnsi="Arial"/>
                <w:sz w:val="18"/>
                <w:szCs w:val="18"/>
                <w:color w:val="auto"/>
                <w:vertAlign w:val="superscript"/>
              </w:rPr>
              <w:t>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839,345</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835,667</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BXP’s Share of straight-line rent </w:t>
            </w:r>
            <w:r>
              <w:rPr>
                <w:rFonts w:ascii="Arial" w:cs="Arial" w:eastAsia="Arial" w:hAnsi="Arial"/>
                <w:sz w:val="18"/>
                <w:szCs w:val="18"/>
                <w:color w:val="auto"/>
                <w:vertAlign w:val="superscript"/>
              </w:rPr>
              <w:t>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23,859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20,535</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18"/>
                <w:szCs w:val="18"/>
                <w:color w:val="auto"/>
                <w:vertAlign w:val="superscript"/>
              </w:rPr>
              <w:t>3, 4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3,019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3,029</w:t>
            </w:r>
          </w:p>
        </w:tc>
      </w:tr>
      <w:tr>
        <w:trPr>
          <w:trHeight w:val="205"/>
        </w:trPr>
        <w:tc>
          <w:tcPr>
            <w:tcW w:w="8360" w:type="dxa"/>
            <w:vAlign w:val="bottom"/>
          </w:tcPr>
          <w:p>
            <w:pPr>
              <w:ind w:left="20"/>
              <w:spacing w:after="0" w:line="205" w:lineRule="exact"/>
              <w:rPr>
                <w:sz w:val="20"/>
                <w:szCs w:val="20"/>
                <w:color w:val="auto"/>
              </w:rPr>
            </w:pPr>
            <w:r>
              <w:rPr>
                <w:rFonts w:ascii="Arial" w:cs="Arial" w:eastAsia="Arial" w:hAnsi="Arial"/>
                <w:sz w:val="14"/>
                <w:szCs w:val="14"/>
                <w:color w:val="auto"/>
              </w:rPr>
              <w:t xml:space="preserve">BXP’s Share of termination income </w:t>
            </w:r>
            <w:r>
              <w:rPr>
                <w:rFonts w:ascii="Arial" w:cs="Arial" w:eastAsia="Arial" w:hAnsi="Arial"/>
                <w:sz w:val="18"/>
                <w:szCs w:val="18"/>
                <w:color w:val="auto"/>
                <w:vertAlign w:val="superscript"/>
              </w:rPr>
              <w:t>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1,382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763</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Ground rent expense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3,777</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3,612</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Capitalized interest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13,491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12,148</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Capitalized wages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3,657</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4,733</w:t>
            </w:r>
          </w:p>
        </w:tc>
      </w:tr>
      <w:tr>
        <w:trPr>
          <w:trHeight w:val="21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Loss from unconsolidated joint ventures </w:t>
            </w:r>
            <w:r>
              <w:rPr>
                <w:rFonts w:ascii="Arial" w:cs="Arial" w:eastAsia="Arial" w:hAnsi="Arial"/>
                <w:sz w:val="18"/>
                <w:szCs w:val="18"/>
                <w:color w:val="auto"/>
                <w:vertAlign w:val="superscript"/>
              </w:rPr>
              <w:t>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(148,329)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(3,324)</w:t>
            </w:r>
          </w:p>
        </w:tc>
      </w:tr>
      <w:tr>
        <w:trPr>
          <w:trHeight w:val="205"/>
        </w:trPr>
        <w:tc>
          <w:tcPr>
            <w:tcW w:w="8360" w:type="dxa"/>
            <w:vAlign w:val="bottom"/>
          </w:tcPr>
          <w:p>
            <w:pPr>
              <w:ind w:left="20"/>
              <w:spacing w:after="0" w:line="205" w:lineRule="exact"/>
              <w:rPr>
                <w:sz w:val="20"/>
                <w:szCs w:val="20"/>
                <w:color w:val="auto"/>
              </w:rPr>
            </w:pPr>
            <w:r>
              <w:rPr>
                <w:rFonts w:ascii="Arial" w:cs="Arial" w:eastAsia="Arial" w:hAnsi="Arial"/>
                <w:sz w:val="14"/>
                <w:szCs w:val="14"/>
                <w:color w:val="auto"/>
              </w:rPr>
              <w:t xml:space="preserve">BXP’s share of FFO from unconsolidated joint ventures </w:t>
            </w:r>
            <w:r>
              <w:rPr>
                <w:rFonts w:ascii="Arial" w:cs="Arial" w:eastAsia="Arial" w:hAnsi="Arial"/>
                <w:sz w:val="18"/>
                <w:szCs w:val="18"/>
                <w:color w:val="auto"/>
                <w:vertAlign w:val="superscript"/>
              </w:rPr>
              <w:t>6</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11,840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13,350</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 in property partnerships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17,853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20,100</w:t>
            </w:r>
          </w:p>
        </w:tc>
      </w:tr>
      <w:tr>
        <w:trPr>
          <w:trHeight w:val="26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FFO attributable to noncontrolling interests in property partnerships </w:t>
            </w:r>
            <w:r>
              <w:rPr>
                <w:rFonts w:ascii="Arial" w:cs="Arial" w:eastAsia="Arial" w:hAnsi="Arial"/>
                <w:sz w:val="18"/>
                <w:szCs w:val="18"/>
                <w:color w:val="auto"/>
                <w:vertAlign w:val="superscript"/>
              </w:rPr>
              <w:t>7</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40,468</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41,045</w:t>
            </w:r>
          </w:p>
        </w:tc>
      </w:tr>
      <w:tr>
        <w:trPr>
          <w:trHeight w:val="259"/>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Balance Sheet items: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97"/>
        </w:trPr>
        <w:tc>
          <w:tcPr>
            <w:tcW w:w="8360" w:type="dxa"/>
            <w:vAlign w:val="bottom"/>
          </w:tcPr>
          <w:p>
            <w:pPr>
              <w:ind w:left="20"/>
              <w:spacing w:after="0"/>
              <w:rPr>
                <w:sz w:val="20"/>
                <w:szCs w:val="20"/>
                <w:color w:val="auto"/>
              </w:rPr>
            </w:pPr>
            <w:r>
              <w:rPr>
                <w:rFonts w:ascii="Arial" w:cs="Arial" w:eastAsia="Arial" w:hAnsi="Arial"/>
                <w:sz w:val="14"/>
                <w:szCs w:val="14"/>
                <w:color w:val="auto"/>
              </w:rPr>
              <w:t>Above-market rents (included within Prepaid Expenses and Other Assets)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5,619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6,214</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Below-market rents (included within Other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21,290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23,792</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Accrued rental income liability (included within Other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101,001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108,834</w:t>
            </w:r>
          </w:p>
        </w:tc>
      </w:tr>
      <w:tr>
        <w:trPr>
          <w:trHeight w:val="317"/>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Ratios: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Interest Coverage Ratio (excluding capitalized interest) </w:t>
            </w:r>
            <w:r>
              <w:rPr>
                <w:rFonts w:ascii="Arial" w:cs="Arial" w:eastAsia="Arial" w:hAnsi="Arial"/>
                <w:sz w:val="18"/>
                <w:szCs w:val="18"/>
                <w:color w:val="auto"/>
                <w:vertAlign w:val="superscript"/>
              </w:rPr>
              <w:t>8</w:t>
            </w: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2.85</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Interest Coverage Ratio (including capitalized interest) </w:t>
            </w:r>
            <w:r>
              <w:rPr>
                <w:rFonts w:ascii="Arial" w:cs="Arial" w:eastAsia="Arial" w:hAnsi="Arial"/>
                <w:sz w:val="18"/>
                <w:szCs w:val="18"/>
                <w:color w:val="auto"/>
                <w:vertAlign w:val="superscript"/>
              </w:rPr>
              <w:t>8</w:t>
            </w: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2.56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2.62</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Fixed Charge Coverage Ratio </w:t>
            </w:r>
            <w:r>
              <w:rPr>
                <w:rFonts w:ascii="Arial" w:cs="Arial" w:eastAsia="Arial" w:hAnsi="Arial"/>
                <w:sz w:val="18"/>
                <w:szCs w:val="18"/>
                <w:color w:val="auto"/>
                <w:vertAlign w:val="superscript"/>
              </w:rPr>
              <w:t>8</w:t>
            </w: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2.23</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BXP’s Share of Net Debt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(Annualized) </w:t>
            </w:r>
            <w:r>
              <w:rPr>
                <w:rFonts w:ascii="Arial" w:cs="Arial" w:eastAsia="Arial" w:hAnsi="Arial"/>
                <w:sz w:val="18"/>
                <w:szCs w:val="18"/>
                <w:color w:val="auto"/>
                <w:vertAlign w:val="superscript"/>
              </w:rPr>
              <w:t>9</w:t>
            </w: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8.18</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Change in BXP’s Share of Same Property Net Operating Income (NOI) (excluding termination income) </w:t>
            </w:r>
            <w:r>
              <w:rPr>
                <w:rFonts w:ascii="Arial" w:cs="Arial" w:eastAsia="Arial" w:hAnsi="Arial"/>
                <w:sz w:val="18"/>
                <w:szCs w:val="18"/>
                <w:color w:val="auto"/>
                <w:vertAlign w:val="superscript"/>
              </w:rPr>
              <w:t>10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Change in BXP’s Share of Same Property NOI (excluding termination income) - cash </w:t>
            </w:r>
            <w:r>
              <w:rPr>
                <w:rFonts w:ascii="Arial" w:cs="Arial" w:eastAsia="Arial" w:hAnsi="Arial"/>
                <w:sz w:val="18"/>
                <w:szCs w:val="18"/>
                <w:color w:val="auto"/>
                <w:vertAlign w:val="superscript"/>
              </w:rPr>
              <w:t>10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05"/>
        </w:trPr>
        <w:tc>
          <w:tcPr>
            <w:tcW w:w="8360" w:type="dxa"/>
            <w:vAlign w:val="bottom"/>
          </w:tcPr>
          <w:p>
            <w:pPr>
              <w:ind w:left="20"/>
              <w:spacing w:after="0" w:line="205" w:lineRule="exact"/>
              <w:rPr>
                <w:sz w:val="20"/>
                <w:szCs w:val="20"/>
                <w:color w:val="auto"/>
              </w:rPr>
            </w:pPr>
            <w:r>
              <w:rPr>
                <w:rFonts w:ascii="Arial" w:cs="Arial" w:eastAsia="Arial" w:hAnsi="Arial"/>
                <w:sz w:val="14"/>
                <w:szCs w:val="14"/>
                <w:color w:val="auto"/>
              </w:rPr>
              <w:t xml:space="preserve">FAD Payout Ratio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61.37 %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85.15 %</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Operating Margins [(rental revenue - rental expense)/rental revenue]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60.8 %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60.5 %</w:t>
            </w:r>
          </w:p>
        </w:tc>
      </w:tr>
      <w:tr>
        <w:trPr>
          <w:trHeight w:val="21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Occupancy % of In-Service Properties </w:t>
            </w:r>
            <w:r>
              <w:rPr>
                <w:rFonts w:ascii="Arial" w:cs="Arial" w:eastAsia="Arial" w:hAnsi="Arial"/>
                <w:sz w:val="18"/>
                <w:szCs w:val="18"/>
                <w:color w:val="auto"/>
                <w:vertAlign w:val="superscript"/>
              </w:rPr>
              <w:t>11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86.0 %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86.4 %</w:t>
            </w:r>
          </w:p>
        </w:tc>
      </w:tr>
      <w:tr>
        <w:trPr>
          <w:trHeight w:val="25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Leased % of In-Service Properties </w:t>
            </w:r>
            <w:r>
              <w:rPr>
                <w:rFonts w:ascii="Arial" w:cs="Arial" w:eastAsia="Arial" w:hAnsi="Arial"/>
                <w:sz w:val="18"/>
                <w:szCs w:val="18"/>
                <w:color w:val="auto"/>
                <w:vertAlign w:val="superscript"/>
              </w:rPr>
              <w:t>12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88.8 %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89.1 %</w:t>
            </w:r>
          </w:p>
        </w:tc>
      </w:tr>
      <w:tr>
        <w:trPr>
          <w:trHeight w:val="259"/>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Capitalization:</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16,604,696</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15,811,005</w:t>
            </w:r>
          </w:p>
        </w:tc>
      </w:tr>
      <w:tr>
        <w:trPr>
          <w:trHeight w:val="215"/>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Debt </w:t>
            </w:r>
            <w:r>
              <w:rPr>
                <w:rFonts w:ascii="Arial" w:cs="Arial" w:eastAsia="Arial" w:hAnsi="Arial"/>
                <w:sz w:val="18"/>
                <w:szCs w:val="18"/>
                <w:color w:val="auto"/>
                <w:vertAlign w:val="superscript"/>
              </w:rPr>
              <w:t>13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16,613,274</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15,833,687</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Consolidated Market Capitalization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29,747,934</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27,739,296</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Consolidated Debt/Consolidated Market Capitalization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55.82 %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57.00 %</w:t>
            </w:r>
          </w:p>
        </w:tc>
      </w:tr>
      <w:tr>
        <w:trPr>
          <w:trHeight w:val="21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Market Capitalization </w:t>
            </w:r>
            <w:r>
              <w:rPr>
                <w:rFonts w:ascii="Arial" w:cs="Arial" w:eastAsia="Arial" w:hAnsi="Arial"/>
                <w:sz w:val="18"/>
                <w:szCs w:val="18"/>
                <w:color w:val="auto"/>
                <w:vertAlign w:val="superscript"/>
              </w:rPr>
              <w:t>13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29,756,512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27,761,978</w:t>
            </w:r>
          </w:p>
        </w:tc>
      </w:tr>
      <w:tr>
        <w:trPr>
          <w:trHeight w:val="25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Debt/BXP’s Share of Market Capitalization </w:t>
            </w:r>
            <w:r>
              <w:rPr>
                <w:rFonts w:ascii="Arial" w:cs="Arial" w:eastAsia="Arial" w:hAnsi="Arial"/>
                <w:sz w:val="18"/>
                <w:szCs w:val="18"/>
                <w:color w:val="auto"/>
                <w:vertAlign w:val="superscript"/>
              </w:rPr>
              <w:t>13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55.83 %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-6751320</wp:posOffset>
            </wp:positionV>
            <wp:extent cx="2571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ind w:left="73"/>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153" w:hanging="72"/>
        <w:spacing w:after="0"/>
        <w:tabs>
          <w:tab w:leader="none" w:pos="15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of FFO attributable to BXP, Inc. and Diluted FFO per share, see page 7.</w:t>
      </w:r>
    </w:p>
    <w:p>
      <w:pPr>
        <w:spacing w:after="0" w:line="31" w:lineRule="exact"/>
        <w:rPr>
          <w:sz w:val="20"/>
          <w:szCs w:val="20"/>
          <w:color w:val="auto"/>
        </w:rPr>
      </w:pPr>
    </w:p>
    <w:p>
      <w:pPr>
        <w:ind w:left="153" w:right="440" w:hanging="72"/>
        <w:spacing w:after="0" w:line="226" w:lineRule="auto"/>
        <w:tabs>
          <w:tab w:leader="none" w:pos="151"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For a quantitative reconciliation of FAD, see page 8. FAD Payout Ratio equals distributions to common shareholders and unitholders (excluding any special distributions) divided by FAD.</w:t>
      </w:r>
    </w:p>
    <w:p>
      <w:pPr>
        <w:ind w:left="153" w:hanging="72"/>
        <w:spacing w:after="0" w:line="237" w:lineRule="auto"/>
        <w:tabs>
          <w:tab w:leader="none" w:pos="15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7" w:lineRule="exact"/>
        <w:rPr>
          <w:sz w:val="20"/>
          <w:szCs w:val="20"/>
          <w:color w:val="auto"/>
        </w:rPr>
      </w:pPr>
    </w:p>
    <w:p>
      <w:pPr>
        <w:ind w:left="153" w:hanging="72"/>
        <w:spacing w:after="0"/>
        <w:tabs>
          <w:tab w:leader="none" w:pos="153"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the net adjustment for above- and below-market leases that are amortized over the terms of the respective leases in place at the property acquisition dates.</w:t>
      </w:r>
    </w:p>
    <w:p>
      <w:pPr>
        <w:spacing w:after="0" w:line="38" w:lineRule="exact"/>
        <w:rPr>
          <w:rFonts w:ascii="Arial" w:cs="Arial" w:eastAsia="Arial" w:hAnsi="Arial"/>
          <w:sz w:val="9"/>
          <w:szCs w:val="9"/>
          <w:color w:val="auto"/>
        </w:rPr>
      </w:pPr>
    </w:p>
    <w:p>
      <w:pPr>
        <w:ind w:left="73" w:right="2500"/>
        <w:spacing w:after="0" w:line="283" w:lineRule="auto"/>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For the three months ended September 30, 2025, includes a non-cash impairment charge of approximately $145.1 million, see page 37. </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For a quantitative reconciliation for the three months ended September 30, 2025, see page 37.</w:t>
      </w:r>
    </w:p>
    <w:p>
      <w:pPr>
        <w:spacing w:after="0" w:line="1" w:lineRule="exact"/>
        <w:rPr>
          <w:rFonts w:ascii="Arial" w:cs="Arial" w:eastAsia="Arial" w:hAnsi="Arial"/>
          <w:sz w:val="9"/>
          <w:szCs w:val="9"/>
          <w:color w:val="auto"/>
        </w:rPr>
      </w:pPr>
    </w:p>
    <w:p>
      <w:pPr>
        <w:ind w:left="73"/>
        <w:spacing w:after="0" w:line="234" w:lineRule="auto"/>
        <w:rPr>
          <w:rFonts w:ascii="Arial" w:cs="Arial" w:eastAsia="Arial" w:hAnsi="Arial"/>
          <w:sz w:val="9"/>
          <w:szCs w:val="9"/>
          <w:color w:val="auto"/>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For a quantitative reconciliation for the three months ended September 30, 2025, see page 34.</w:t>
      </w:r>
    </w:p>
    <w:p>
      <w:pPr>
        <w:jc w:val="both"/>
        <w:ind w:left="73" w:right="3900"/>
        <w:spacing w:after="0" w:line="267" w:lineRule="auto"/>
        <w:rPr>
          <w:rFonts w:ascii="Arial" w:cs="Arial" w:eastAsia="Arial" w:hAnsi="Arial"/>
          <w:sz w:val="9"/>
          <w:szCs w:val="9"/>
          <w:color w:val="auto"/>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For a quantitative reconciliation for the three months ended September 30, 2025 and June 30, 2025, see page 32. </w:t>
      </w:r>
      <w:r>
        <w:rPr>
          <w:rFonts w:ascii="Arial" w:cs="Arial" w:eastAsia="Arial" w:hAnsi="Arial"/>
          <w:sz w:val="18"/>
          <w:szCs w:val="18"/>
          <w:color w:val="auto"/>
          <w:vertAlign w:val="superscript"/>
        </w:rPr>
        <w:t>9</w:t>
      </w:r>
      <w:r>
        <w:rPr>
          <w:rFonts w:ascii="Arial" w:cs="Arial" w:eastAsia="Arial" w:hAnsi="Arial"/>
          <w:sz w:val="14"/>
          <w:szCs w:val="14"/>
          <w:color w:val="auto"/>
        </w:rPr>
        <w:t xml:space="preserve"> For a quantitative reconciliation for the three months ended September 30, 2025 and June 30, 2025, see page 31.</w:t>
      </w:r>
    </w:p>
    <w:p>
      <w:pPr>
        <w:ind w:left="153" w:hanging="153"/>
        <w:spacing w:after="0" w:line="203" w:lineRule="auto"/>
        <w:tabs>
          <w:tab w:leader="none" w:pos="15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2025 and June 30, 2025, see pages 11, 66 and 67.</w:t>
      </w:r>
    </w:p>
    <w:p>
      <w:pPr>
        <w:spacing w:after="0" w:line="26" w:lineRule="exact"/>
        <w:rPr>
          <w:rFonts w:ascii="Arial" w:cs="Arial" w:eastAsia="Arial" w:hAnsi="Arial"/>
          <w:sz w:val="19"/>
          <w:szCs w:val="19"/>
          <w:color w:val="auto"/>
          <w:vertAlign w:val="superscript"/>
        </w:rPr>
      </w:pPr>
    </w:p>
    <w:p>
      <w:pPr>
        <w:ind w:left="153" w:hanging="153"/>
        <w:spacing w:after="0"/>
        <w:tabs>
          <w:tab w:leader="none" w:pos="153" w:val="left"/>
        </w:tabs>
        <w:numPr>
          <w:ilvl w:val="0"/>
          <w:numId w:val="13"/>
        </w:numPr>
        <w:rPr>
          <w:rFonts w:ascii="Arial" w:cs="Arial" w:eastAsia="Arial" w:hAnsi="Arial"/>
          <w:sz w:val="9"/>
          <w:szCs w:val="9"/>
          <w:color w:val="auto"/>
        </w:rPr>
      </w:pPr>
      <w:r>
        <w:rPr>
          <w:rFonts w:ascii="Arial" w:cs="Arial" w:eastAsia="Arial" w:hAnsi="Arial"/>
          <w:sz w:val="14"/>
          <w:szCs w:val="14"/>
          <w:color w:val="auto"/>
        </w:rPr>
        <w:t>Represents signed leases for which revenue recognition has commenced in accordance with GAAP. Excludes hotel and residential properties.</w:t>
      </w:r>
    </w:p>
    <w:p>
      <w:pPr>
        <w:sectPr>
          <w:pgSz w:w="11900" w:h="16838" w:orient="portrait"/>
          <w:cols w:equalWidth="0" w:num="1">
            <w:col w:w="11313"/>
          </w:cols>
          <w:pgMar w:left="247" w:top="279"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11233"/>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13"/>
          </w:cols>
          <w:pgMar w:left="247" w:top="279" w:right="339" w:bottom="1440" w:gutter="0" w:footer="0" w:header="0"/>
          <w:type w:val="continuous"/>
        </w:sectPr>
      </w:pPr>
    </w:p>
    <w:bookmarkStart w:id="11" w:name="page12"/>
    <w:bookmarkEnd w:id="11"/>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-69850</wp:posOffset>
            </wp:positionV>
            <wp:extent cx="2571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Financial highlights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32385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60" w:right="320" w:hanging="153"/>
        <w:spacing w:after="0" w:line="222" w:lineRule="auto"/>
        <w:tabs>
          <w:tab w:leader="none" w:pos="156"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 and signed leases for vacant space with future commencement dates. Excludes hotel and residential properties.</w:t>
      </w:r>
    </w:p>
    <w:p>
      <w:pPr>
        <w:spacing w:after="0" w:line="1" w:lineRule="exact"/>
        <w:rPr>
          <w:rFonts w:ascii="Arial" w:cs="Arial" w:eastAsia="Arial" w:hAnsi="Arial"/>
          <w:sz w:val="19"/>
          <w:szCs w:val="19"/>
          <w:color w:val="auto"/>
          <w:vertAlign w:val="superscript"/>
        </w:rPr>
      </w:pPr>
    </w:p>
    <w:p>
      <w:pPr>
        <w:ind w:left="160" w:hanging="153"/>
        <w:spacing w:after="0" w:line="237" w:lineRule="auto"/>
        <w:tabs>
          <w:tab w:leader="none" w:pos="16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September 30, 2025, see page 28.</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20"/>
          </w:cols>
          <w:pgMar w:left="240" w:top="279" w:right="339" w:bottom="1440" w:gutter="0" w:footer="0" w:header="0"/>
        </w:sectPr>
      </w:pPr>
    </w:p>
    <w:bookmarkStart w:id="12" w:name="page13"/>
    <w:bookmarkEnd w:id="12"/>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20"/>
                <w:szCs w:val="20"/>
                <w:color w:val="auto"/>
              </w:rPr>
            </w:pPr>
            <w:r>
              <w:rPr>
                <w:rFonts w:ascii="Arial" w:cs="Arial" w:eastAsia="Arial" w:hAnsi="Arial"/>
                <w:sz w:val="14"/>
                <w:szCs w:val="14"/>
                <w:color w:val="auto"/>
              </w:rPr>
              <w:t>(unaudited and in thousands)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30-Sep-25</w:t>
            </w:r>
          </w:p>
        </w:tc>
        <w:tc>
          <w:tcPr>
            <w:tcW w:w="180" w:type="dxa"/>
            <w:vAlign w:val="bottom"/>
          </w:tcPr>
          <w:p>
            <w:pPr>
              <w:spacing w:after="0"/>
              <w:rPr>
                <w:sz w:val="24"/>
                <w:szCs w:val="2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183"/>
        </w:trPr>
        <w:tc>
          <w:tcPr>
            <w:tcW w:w="87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72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26,718,660</w:t>
            </w:r>
          </w:p>
        </w:tc>
        <w:tc>
          <w:tcPr>
            <w:tcW w:w="2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26,632,189</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1,322,608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1,047,687</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Land held for future development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568,516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748,198</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Right of use assets - finance leases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372,747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372,839</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Right of use assets - operating leases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321,063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325,670</w:t>
            </w:r>
          </w:p>
        </w:tc>
        <w:tc>
          <w:tcPr>
            <w:tcW w:w="0" w:type="dxa"/>
            <w:vAlign w:val="bottom"/>
          </w:tcPr>
          <w:p>
            <w:pPr>
              <w:spacing w:after="0"/>
              <w:rPr>
                <w:sz w:val="1"/>
                <w:szCs w:val="1"/>
                <w:color w:val="auto"/>
              </w:rPr>
            </w:pPr>
          </w:p>
        </w:tc>
      </w:tr>
      <w:tr>
        <w:trPr>
          <w:trHeight w:val="204"/>
        </w:trPr>
        <w:tc>
          <w:tcPr>
            <w:tcW w:w="8720" w:type="dxa"/>
            <w:vAlign w:val="bottom"/>
          </w:tcPr>
          <w:p>
            <w:pPr>
              <w:ind w:left="360"/>
              <w:spacing w:after="0"/>
              <w:rPr>
                <w:sz w:val="20"/>
                <w:szCs w:val="20"/>
                <w:color w:val="auto"/>
              </w:rPr>
            </w:pPr>
            <w:r>
              <w:rPr>
                <w:rFonts w:ascii="Arial" w:cs="Arial" w:eastAsia="Arial" w:hAnsi="Arial"/>
                <w:sz w:val="14"/>
                <w:szCs w:val="14"/>
                <w:color w:val="auto"/>
              </w:rPr>
              <w:t>Less accumulated depreciation</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(8,008,908)</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(7,863,743)</w:t>
            </w:r>
          </w:p>
        </w:tc>
        <w:tc>
          <w:tcPr>
            <w:tcW w:w="0" w:type="dxa"/>
            <w:vAlign w:val="bottom"/>
          </w:tcPr>
          <w:p>
            <w:pPr>
              <w:spacing w:after="0"/>
              <w:rPr>
                <w:sz w:val="1"/>
                <w:szCs w:val="1"/>
                <w:color w:val="auto"/>
              </w:rPr>
            </w:pPr>
          </w:p>
        </w:tc>
      </w:tr>
      <w:tr>
        <w:trPr>
          <w:trHeight w:val="195"/>
        </w:trPr>
        <w:tc>
          <w:tcPr>
            <w:tcW w:w="8720" w:type="dxa"/>
            <w:vAlign w:val="bottom"/>
          </w:tcPr>
          <w:p>
            <w:pPr>
              <w:ind w:left="680"/>
              <w:spacing w:after="0"/>
              <w:rPr>
                <w:sz w:val="20"/>
                <w:szCs w:val="20"/>
                <w:color w:val="auto"/>
              </w:rPr>
            </w:pPr>
            <w:r>
              <w:rPr>
                <w:rFonts w:ascii="Arial" w:cs="Arial" w:eastAsia="Arial" w:hAnsi="Arial"/>
                <w:sz w:val="14"/>
                <w:szCs w:val="14"/>
                <w:color w:val="auto"/>
              </w:rPr>
              <w:t>Total real estate</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21,294,686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21,262,840</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861,066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446,953</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Cash held in escrows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77,663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80,888</w:t>
            </w:r>
          </w:p>
        </w:tc>
        <w:tc>
          <w:tcPr>
            <w:tcW w:w="0" w:type="dxa"/>
            <w:vAlign w:val="bottom"/>
          </w:tcPr>
          <w:p>
            <w:pPr>
              <w:spacing w:after="0"/>
              <w:rPr>
                <w:sz w:val="1"/>
                <w:szCs w:val="1"/>
                <w:color w:val="auto"/>
              </w:rPr>
            </w:pPr>
          </w:p>
        </w:tc>
      </w:tr>
      <w:tr>
        <w:trPr>
          <w:trHeight w:val="202"/>
        </w:trPr>
        <w:tc>
          <w:tcPr>
            <w:tcW w:w="8720" w:type="dxa"/>
            <w:vAlign w:val="bottom"/>
          </w:tcPr>
          <w:p>
            <w:pPr>
              <w:ind w:left="20"/>
              <w:spacing w:after="0"/>
              <w:rPr>
                <w:sz w:val="20"/>
                <w:szCs w:val="20"/>
                <w:color w:val="auto"/>
              </w:rPr>
            </w:pPr>
            <w:r>
              <w:rPr>
                <w:rFonts w:ascii="Arial" w:cs="Arial" w:eastAsia="Arial" w:hAnsi="Arial"/>
                <w:sz w:val="14"/>
                <w:szCs w:val="14"/>
                <w:color w:val="auto"/>
              </w:rPr>
              <w:t>Investments in securities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43,604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41,062</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Tenant and other receivables,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136,743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109,683</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Note receivable,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8,898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6,711</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Related party note receivables,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88,879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88,825</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Sales-type lease receivable,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15,188</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Accrued rental income,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1,532,403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1,509,347</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Deferred charges,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802,785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809,033</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137,561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89,624</w:t>
            </w:r>
          </w:p>
        </w:tc>
        <w:tc>
          <w:tcPr>
            <w:tcW w:w="0" w:type="dxa"/>
            <w:vAlign w:val="bottom"/>
          </w:tcPr>
          <w:p>
            <w:pPr>
              <w:spacing w:after="0"/>
              <w:rPr>
                <w:sz w:val="1"/>
                <w:szCs w:val="1"/>
                <w:color w:val="auto"/>
              </w:rPr>
            </w:pPr>
          </w:p>
        </w:tc>
      </w:tr>
      <w:tr>
        <w:trPr>
          <w:trHeight w:val="207"/>
        </w:trPr>
        <w:tc>
          <w:tcPr>
            <w:tcW w:w="8720" w:type="dxa"/>
            <w:vAlign w:val="bottom"/>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999,764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1,161,036</w:t>
            </w:r>
          </w:p>
        </w:tc>
        <w:tc>
          <w:tcPr>
            <w:tcW w:w="0" w:type="dxa"/>
            <w:vAlign w:val="bottom"/>
          </w:tcPr>
          <w:p>
            <w:pPr>
              <w:spacing w:after="0"/>
              <w:rPr>
                <w:sz w:val="1"/>
                <w:szCs w:val="1"/>
                <w:color w:val="auto"/>
              </w:rPr>
            </w:pPr>
          </w:p>
        </w:tc>
      </w:tr>
      <w:tr>
        <w:trPr>
          <w:trHeight w:val="200"/>
        </w:trPr>
        <w:tc>
          <w:tcPr>
            <w:tcW w:w="8720" w:type="dxa"/>
            <w:vAlign w:val="bottom"/>
          </w:tcPr>
          <w:p>
            <w:pPr>
              <w:ind w:left="13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25,999,482</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25,621,190</w:t>
            </w:r>
          </w:p>
        </w:tc>
        <w:tc>
          <w:tcPr>
            <w:tcW w:w="0" w:type="dxa"/>
            <w:vAlign w:val="bottom"/>
          </w:tcPr>
          <w:p>
            <w:pPr>
              <w:spacing w:after="0"/>
              <w:rPr>
                <w:sz w:val="1"/>
                <w:szCs w:val="1"/>
                <w:color w:val="auto"/>
              </w:rPr>
            </w:pPr>
          </w:p>
        </w:tc>
      </w:tr>
      <w:tr>
        <w:trPr>
          <w:trHeight w:val="2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9"/>
        </w:trPr>
        <w:tc>
          <w:tcPr>
            <w:tcW w:w="8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7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Mortgage notes payable, net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4,279,482</w:t>
            </w:r>
          </w:p>
        </w:tc>
        <w:tc>
          <w:tcPr>
            <w:tcW w:w="2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4,278,788</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Unsecured senior notes,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9,803,336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9,800,577</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Unsecured exchangeable senior notes,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975,080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Unsecured line of credit</w:t>
            </w:r>
          </w:p>
        </w:tc>
        <w:tc>
          <w:tcPr>
            <w:tcW w:w="1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185,000</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Unsecured term loans,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796,798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796,640</w:t>
            </w:r>
          </w:p>
        </w:tc>
        <w:tc>
          <w:tcPr>
            <w:tcW w:w="0" w:type="dxa"/>
            <w:vAlign w:val="bottom"/>
          </w:tcPr>
          <w:p>
            <w:pPr>
              <w:spacing w:after="0"/>
              <w:rPr>
                <w:sz w:val="1"/>
                <w:szCs w:val="1"/>
                <w:color w:val="auto"/>
              </w:rPr>
            </w:pPr>
          </w:p>
        </w:tc>
      </w:tr>
      <w:tr>
        <w:trPr>
          <w:trHeight w:val="202"/>
        </w:trPr>
        <w:tc>
          <w:tcPr>
            <w:tcW w:w="8720" w:type="dxa"/>
            <w:vAlign w:val="bottom"/>
          </w:tcPr>
          <w:p>
            <w:pPr>
              <w:ind w:left="360"/>
              <w:spacing w:after="0"/>
              <w:rPr>
                <w:sz w:val="20"/>
                <w:szCs w:val="20"/>
                <w:color w:val="auto"/>
              </w:rPr>
            </w:pPr>
            <w:r>
              <w:rPr>
                <w:rFonts w:ascii="Arial" w:cs="Arial" w:eastAsia="Arial" w:hAnsi="Arial"/>
                <w:sz w:val="14"/>
                <w:szCs w:val="14"/>
                <w:color w:val="auto"/>
              </w:rPr>
              <w:t>Unsecured commercial paper</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Lease liabilities - finance leases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363,207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365,897</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Lease liabilities - operating leases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379,792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399,174</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484,798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480,158</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Dividends and distributions payable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123,259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172,732</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Accrued interest payable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120,128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120,975</w:t>
            </w:r>
          </w:p>
        </w:tc>
        <w:tc>
          <w:tcPr>
            <w:tcW w:w="0" w:type="dxa"/>
            <w:vAlign w:val="bottom"/>
          </w:tcPr>
          <w:p>
            <w:pPr>
              <w:spacing w:after="0"/>
              <w:rPr>
                <w:sz w:val="1"/>
                <w:szCs w:val="1"/>
                <w:color w:val="auto"/>
              </w:rPr>
            </w:pPr>
          </w:p>
        </w:tc>
      </w:tr>
      <w:tr>
        <w:trPr>
          <w:trHeight w:val="204"/>
        </w:trPr>
        <w:tc>
          <w:tcPr>
            <w:tcW w:w="8720" w:type="dxa"/>
            <w:vAlign w:val="bottom"/>
          </w:tcPr>
          <w:p>
            <w:pPr>
              <w:ind w:left="36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406,820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416,838</w:t>
            </w:r>
          </w:p>
        </w:tc>
        <w:tc>
          <w:tcPr>
            <w:tcW w:w="0" w:type="dxa"/>
            <w:vAlign w:val="bottom"/>
          </w:tcPr>
          <w:p>
            <w:pPr>
              <w:spacing w:after="0"/>
              <w:rPr>
                <w:sz w:val="1"/>
                <w:szCs w:val="1"/>
                <w:color w:val="auto"/>
              </w:rPr>
            </w:pPr>
          </w:p>
        </w:tc>
      </w:tr>
      <w:tr>
        <w:trPr>
          <w:trHeight w:val="199"/>
        </w:trPr>
        <w:tc>
          <w:tcPr>
            <w:tcW w:w="8720" w:type="dxa"/>
            <w:vAlign w:val="bottom"/>
          </w:tcPr>
          <w:p>
            <w:pPr>
              <w:ind w:left="100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18,482,700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17,766,779</w:t>
            </w:r>
          </w:p>
        </w:tc>
        <w:tc>
          <w:tcPr>
            <w:tcW w:w="0" w:type="dxa"/>
            <w:vAlign w:val="bottom"/>
          </w:tcPr>
          <w:p>
            <w:pPr>
              <w:spacing w:after="0"/>
              <w:rPr>
                <w:sz w:val="1"/>
                <w:szCs w:val="1"/>
                <w:color w:val="auto"/>
              </w:rPr>
            </w:pPr>
          </w:p>
        </w:tc>
      </w:tr>
      <w:tr>
        <w:trPr>
          <w:trHeight w:val="383"/>
        </w:trPr>
        <w:tc>
          <w:tcPr>
            <w:tcW w:w="872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720" w:type="dxa"/>
            <w:vAlign w:val="bottom"/>
          </w:tcPr>
          <w:p>
            <w:pPr>
              <w:ind w:left="20"/>
              <w:spacing w:after="0"/>
              <w:rPr>
                <w:sz w:val="20"/>
                <w:szCs w:val="20"/>
                <w:color w:val="auto"/>
              </w:rPr>
            </w:pPr>
            <w:r>
              <w:rPr>
                <w:rFonts w:ascii="Arial" w:cs="Arial" w:eastAsia="Arial" w:hAnsi="Arial"/>
                <w:sz w:val="14"/>
                <w:szCs w:val="14"/>
                <w:color w:val="auto"/>
              </w:rPr>
              <w:t>Redeemable deferred stock units</w:t>
            </w: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8,006</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6,981</w:t>
            </w:r>
          </w:p>
        </w:tc>
        <w:tc>
          <w:tcPr>
            <w:tcW w:w="0" w:type="dxa"/>
            <w:vAlign w:val="bottom"/>
          </w:tcPr>
          <w:p>
            <w:pPr>
              <w:spacing w:after="0"/>
              <w:rPr>
                <w:sz w:val="1"/>
                <w:szCs w:val="1"/>
                <w:color w:val="auto"/>
              </w:rPr>
            </w:pPr>
          </w:p>
        </w:tc>
      </w:tr>
      <w:tr>
        <w:trPr>
          <w:trHeight w:val="383"/>
        </w:trPr>
        <w:tc>
          <w:tcPr>
            <w:tcW w:w="8720" w:type="dxa"/>
            <w:vAlign w:val="bottom"/>
          </w:tcPr>
          <w:p>
            <w:pPr>
              <w:ind w:left="2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4"/>
                <w:szCs w:val="14"/>
                <w:color w:val="auto"/>
              </w:rPr>
              <w:t>Stockholders’ equity attributable to BXP, Inc.:</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Excess stock, $0.01 par value, 150,000,000 shares authorized, none issued or outstanding</w:t>
            </w:r>
          </w:p>
        </w:tc>
        <w:tc>
          <w:tcPr>
            <w:tcW w:w="1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8720" w:type="dxa"/>
            <w:vAlign w:val="bottom"/>
          </w:tcPr>
          <w:p>
            <w:pPr>
              <w:ind w:left="360"/>
              <w:spacing w:after="0"/>
              <w:rPr>
                <w:sz w:val="20"/>
                <w:szCs w:val="20"/>
                <w:color w:val="auto"/>
              </w:rPr>
            </w:pPr>
            <w:r>
              <w:rPr>
                <w:rFonts w:ascii="Arial" w:cs="Arial" w:eastAsia="Arial" w:hAnsi="Arial"/>
                <w:sz w:val="14"/>
                <w:szCs w:val="14"/>
                <w:color w:val="auto"/>
              </w:rPr>
              <w:t>Common stock, $0.01 par value, 250,000,000 shares authorized, 158,479,314 and 158,445,177 issued and 158,400,414 and</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1,584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189"/>
        </w:trPr>
        <w:tc>
          <w:tcPr>
            <w:tcW w:w="8720" w:type="dxa"/>
            <w:vAlign w:val="bottom"/>
          </w:tcPr>
          <w:p>
            <w:pPr>
              <w:ind w:left="520"/>
              <w:spacing w:after="0"/>
              <w:rPr>
                <w:sz w:val="20"/>
                <w:szCs w:val="20"/>
                <w:color w:val="auto"/>
              </w:rPr>
            </w:pPr>
            <w:r>
              <w:rPr>
                <w:rFonts w:ascii="Arial" w:cs="Arial" w:eastAsia="Arial" w:hAnsi="Arial"/>
                <w:sz w:val="14"/>
                <w:szCs w:val="14"/>
                <w:color w:val="auto"/>
              </w:rPr>
              <w:t>158,366,277 outstanding at September 30, 2025 and June 30, 2025, respectively</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72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6,827,889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6,854,753</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Dividends in excess of earnings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(1,812,361)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(1,579,770)</w:t>
            </w: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Treasury common stock at cost, 78,900 shares at September 30, 2025 and June 30, 2025</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204"/>
        </w:trPr>
        <w:tc>
          <w:tcPr>
            <w:tcW w:w="8720" w:type="dxa"/>
            <w:vAlign w:val="bottom"/>
          </w:tcPr>
          <w:p>
            <w:pPr>
              <w:ind w:left="36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(15,059)</w:t>
            </w:r>
          </w:p>
        </w:tc>
        <w:tc>
          <w:tcPr>
            <w:tcW w:w="0" w:type="dxa"/>
            <w:vAlign w:val="bottom"/>
          </w:tcPr>
          <w:p>
            <w:pPr>
              <w:spacing w:after="0"/>
              <w:rPr>
                <w:sz w:val="1"/>
                <w:szCs w:val="1"/>
                <w:color w:val="auto"/>
              </w:rPr>
            </w:pPr>
          </w:p>
        </w:tc>
      </w:tr>
      <w:tr>
        <w:trPr>
          <w:trHeight w:val="194"/>
        </w:trPr>
        <w:tc>
          <w:tcPr>
            <w:tcW w:w="8720" w:type="dxa"/>
            <w:vAlign w:val="bottom"/>
          </w:tcPr>
          <w:p>
            <w:pPr>
              <w:ind w:left="680"/>
              <w:spacing w:after="0"/>
              <w:rPr>
                <w:sz w:val="20"/>
                <w:szCs w:val="20"/>
                <w:color w:val="auto"/>
              </w:rPr>
            </w:pPr>
            <w:r>
              <w:rPr>
                <w:rFonts w:ascii="Arial" w:cs="Arial" w:eastAsia="Arial" w:hAnsi="Arial"/>
                <w:sz w:val="14"/>
                <w:szCs w:val="14"/>
                <w:color w:val="auto"/>
              </w:rPr>
              <w:t>Total stockholders’ equity attributable to BXP, Inc.</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4,999,559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5,258,786</w:t>
            </w:r>
          </w:p>
        </w:tc>
        <w:tc>
          <w:tcPr>
            <w:tcW w:w="0" w:type="dxa"/>
            <w:vAlign w:val="bottom"/>
          </w:tcPr>
          <w:p>
            <w:pPr>
              <w:spacing w:after="0"/>
              <w:rPr>
                <w:sz w:val="1"/>
                <w:szCs w:val="1"/>
                <w:color w:val="auto"/>
              </w:rPr>
            </w:pPr>
          </w:p>
        </w:tc>
      </w:tr>
      <w:tr>
        <w:trPr>
          <w:trHeight w:val="405"/>
        </w:trPr>
        <w:tc>
          <w:tcPr>
            <w:tcW w:w="87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360"/>
              <w:spacing w:after="0"/>
              <w:rPr>
                <w:sz w:val="20"/>
                <w:szCs w:val="20"/>
                <w:color w:val="auto"/>
              </w:rPr>
            </w:pPr>
            <w:r>
              <w:rPr>
                <w:rFonts w:ascii="Arial" w:cs="Arial" w:eastAsia="Arial" w:hAnsi="Arial"/>
                <w:sz w:val="14"/>
                <w:szCs w:val="14"/>
                <w:color w:val="auto"/>
              </w:rPr>
              <w:t>Common units of the Operating Partnership</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554,440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584,651</w:t>
            </w:r>
          </w:p>
        </w:tc>
        <w:tc>
          <w:tcPr>
            <w:tcW w:w="0" w:type="dxa"/>
            <w:vAlign w:val="bottom"/>
          </w:tcPr>
          <w:p>
            <w:pPr>
              <w:spacing w:after="0"/>
              <w:rPr>
                <w:sz w:val="1"/>
                <w:szCs w:val="1"/>
                <w:color w:val="auto"/>
              </w:rPr>
            </w:pPr>
          </w:p>
        </w:tc>
      </w:tr>
      <w:tr>
        <w:trPr>
          <w:trHeight w:val="204"/>
        </w:trPr>
        <w:tc>
          <w:tcPr>
            <w:tcW w:w="8720" w:type="dxa"/>
            <w:vAlign w:val="bottom"/>
          </w:tcPr>
          <w:p>
            <w:pPr>
              <w:ind w:left="360"/>
              <w:spacing w:after="0"/>
              <w:rPr>
                <w:sz w:val="20"/>
                <w:szCs w:val="20"/>
                <w:color w:val="auto"/>
              </w:rPr>
            </w:pPr>
            <w:r>
              <w:rPr>
                <w:rFonts w:ascii="Arial" w:cs="Arial" w:eastAsia="Arial" w:hAnsi="Arial"/>
                <w:sz w:val="14"/>
                <w:szCs w:val="14"/>
                <w:color w:val="auto"/>
              </w:rPr>
              <w:t>Property partnerships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1,954,777</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2,003,993</w:t>
            </w:r>
          </w:p>
        </w:tc>
        <w:tc>
          <w:tcPr>
            <w:tcW w:w="0" w:type="dxa"/>
            <w:vAlign w:val="bottom"/>
          </w:tcPr>
          <w:p>
            <w:pPr>
              <w:spacing w:after="0"/>
              <w:rPr>
                <w:sz w:val="1"/>
                <w:szCs w:val="1"/>
                <w:color w:val="auto"/>
              </w:rPr>
            </w:pPr>
          </w:p>
        </w:tc>
      </w:tr>
      <w:tr>
        <w:trPr>
          <w:trHeight w:val="199"/>
        </w:trPr>
        <w:tc>
          <w:tcPr>
            <w:tcW w:w="8720" w:type="dxa"/>
            <w:vAlign w:val="bottom"/>
          </w:tcPr>
          <w:p>
            <w:pPr>
              <w:ind w:left="100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7,508,776</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7,847,430</w:t>
            </w:r>
          </w:p>
        </w:tc>
        <w:tc>
          <w:tcPr>
            <w:tcW w:w="0" w:type="dxa"/>
            <w:vAlign w:val="bottom"/>
          </w:tcPr>
          <w:p>
            <w:pPr>
              <w:spacing w:after="0"/>
              <w:rPr>
                <w:sz w:val="1"/>
                <w:szCs w:val="1"/>
                <w:color w:val="auto"/>
              </w:rPr>
            </w:pPr>
          </w:p>
        </w:tc>
      </w:tr>
      <w:tr>
        <w:trPr>
          <w:trHeight w:val="200"/>
        </w:trPr>
        <w:tc>
          <w:tcPr>
            <w:tcW w:w="8720" w:type="dxa"/>
            <w:vAlign w:val="bottom"/>
          </w:tcPr>
          <w:p>
            <w:pPr>
              <w:ind w:left="13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25,999,482</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25,621,190</w:t>
            </w: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35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279" w:right="339" w:bottom="1440" w:gutter="0" w:footer="0" w:header="0"/>
          <w:type w:val="continuous"/>
        </w:sectPr>
      </w:pPr>
    </w:p>
    <w:bookmarkStart w:id="13" w:name="page14"/>
    <w:bookmarkEnd w:id="13"/>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Income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20"/>
                <w:szCs w:val="20"/>
                <w:color w:val="auto"/>
              </w:rPr>
            </w:pPr>
            <w:r>
              <w:rPr>
                <w:rFonts w:ascii="Arial" w:cs="Arial" w:eastAsia="Arial" w:hAnsi="Arial"/>
                <w:sz w:val="14"/>
                <w:szCs w:val="14"/>
                <w:color w:val="auto"/>
              </w:rPr>
              <w:t>(unaudited and in thousands, except per share amounts)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30-Sep-25</w:t>
            </w:r>
          </w:p>
        </w:tc>
        <w:tc>
          <w:tcPr>
            <w:tcW w:w="18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177"/>
        </w:trPr>
        <w:tc>
          <w:tcPr>
            <w:tcW w:w="8600" w:type="dxa"/>
            <w:vAlign w:val="bottom"/>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Lease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809,820</w:t>
            </w:r>
          </w:p>
        </w:tc>
        <w:tc>
          <w:tcPr>
            <w:tcW w:w="2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805,935</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Parking and other</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34,404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34,709</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Insurance proceeds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Hotel revenue</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13,162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14,773</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Development and management services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8,846</w:t>
            </w:r>
          </w:p>
        </w:tc>
        <w:tc>
          <w:tcPr>
            <w:tcW w:w="0" w:type="dxa"/>
            <w:vAlign w:val="bottom"/>
          </w:tcPr>
          <w:p>
            <w:pPr>
              <w:spacing w:after="0"/>
              <w:rPr>
                <w:sz w:val="1"/>
                <w:szCs w:val="1"/>
                <w:color w:val="auto"/>
              </w:rPr>
            </w:pPr>
          </w:p>
        </w:tc>
      </w:tr>
      <w:tr>
        <w:trPr>
          <w:trHeight w:val="204"/>
        </w:trPr>
        <w:tc>
          <w:tcPr>
            <w:tcW w:w="8600" w:type="dxa"/>
            <w:vAlign w:val="bottom"/>
          </w:tcPr>
          <w:p>
            <w:pPr>
              <w:ind w:left="26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196"/>
        </w:trPr>
        <w:tc>
          <w:tcPr>
            <w:tcW w:w="8600" w:type="dxa"/>
            <w:vAlign w:val="bottom"/>
          </w:tcPr>
          <w:p>
            <w:pPr>
              <w:ind w:left="1080"/>
              <w:spacing w:after="0"/>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871,510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868,457</w:t>
            </w:r>
          </w:p>
        </w:tc>
        <w:tc>
          <w:tcPr>
            <w:tcW w:w="0" w:type="dxa"/>
            <w:vAlign w:val="bottom"/>
          </w:tcPr>
          <w:p>
            <w:pPr>
              <w:spacing w:after="0"/>
              <w:rPr>
                <w:sz w:val="1"/>
                <w:szCs w:val="1"/>
                <w:color w:val="auto"/>
              </w:rPr>
            </w:pPr>
          </w:p>
        </w:tc>
      </w:tr>
      <w:tr>
        <w:trPr>
          <w:trHeight w:val="181"/>
        </w:trPr>
        <w:tc>
          <w:tcPr>
            <w:tcW w:w="86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Operating</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187,820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184,942</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Real estate taxes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142,992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146,272</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Restoration expenses related to insurance claims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Hotel operating</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9,365</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General and administrative </w:t>
            </w:r>
            <w:r>
              <w:rPr>
                <w:rFonts w:ascii="Arial" w:cs="Arial" w:eastAsia="Arial" w:hAnsi="Arial"/>
                <w:sz w:val="9"/>
                <w:szCs w:val="9"/>
                <w:color w:val="auto"/>
              </w:rPr>
              <w:t>1</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36,188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42,516</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Payroll and related costs from management services contracts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Transaction costs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4"/>
        </w:trPr>
        <w:tc>
          <w:tcPr>
            <w:tcW w:w="86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236,147</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223,819</w:t>
            </w:r>
          </w:p>
        </w:tc>
        <w:tc>
          <w:tcPr>
            <w:tcW w:w="0" w:type="dxa"/>
            <w:vAlign w:val="bottom"/>
          </w:tcPr>
          <w:p>
            <w:pPr>
              <w:spacing w:after="0"/>
              <w:rPr>
                <w:sz w:val="1"/>
                <w:szCs w:val="1"/>
                <w:color w:val="auto"/>
              </w:rPr>
            </w:pPr>
          </w:p>
        </w:tc>
      </w:tr>
      <w:tr>
        <w:trPr>
          <w:trHeight w:val="196"/>
        </w:trPr>
        <w:tc>
          <w:tcPr>
            <w:tcW w:w="8600" w:type="dxa"/>
            <w:vAlign w:val="bottom"/>
          </w:tcPr>
          <w:p>
            <w:pPr>
              <w:ind w:left="108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618,951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612,223</w:t>
            </w:r>
          </w:p>
        </w:tc>
        <w:tc>
          <w:tcPr>
            <w:tcW w:w="0" w:type="dxa"/>
            <w:vAlign w:val="bottom"/>
          </w:tcPr>
          <w:p>
            <w:pPr>
              <w:spacing w:after="0"/>
              <w:rPr>
                <w:sz w:val="1"/>
                <w:szCs w:val="1"/>
                <w:color w:val="auto"/>
              </w:rPr>
            </w:pPr>
          </w:p>
        </w:tc>
      </w:tr>
      <w:tr>
        <w:trPr>
          <w:trHeight w:val="181"/>
        </w:trPr>
        <w:tc>
          <w:tcPr>
            <w:tcW w:w="86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Loss from unconsolidated joint ventures </w:t>
            </w:r>
            <w:r>
              <w:rPr>
                <w:rFonts w:ascii="Arial" w:cs="Arial" w:eastAsia="Arial" w:hAnsi="Arial"/>
                <w:sz w:val="9"/>
                <w:szCs w:val="9"/>
                <w:color w:val="auto"/>
              </w:rPr>
              <w:t>2</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(148,329)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Gains on sales of real estate</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1,932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18,390</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Gains from investments in securities </w:t>
            </w:r>
            <w:r>
              <w:rPr>
                <w:rFonts w:ascii="Arial" w:cs="Arial" w:eastAsia="Arial" w:hAnsi="Arial"/>
                <w:sz w:val="9"/>
                <w:szCs w:val="9"/>
                <w:color w:val="auto"/>
              </w:rPr>
              <w:t>1</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Unrealized gain (loss) on non-real estate investments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2"/>
        </w:trPr>
        <w:tc>
          <w:tcPr>
            <w:tcW w:w="8600" w:type="dxa"/>
            <w:vAlign w:val="bottom"/>
          </w:tcPr>
          <w:p>
            <w:pPr>
              <w:ind w:left="260"/>
              <w:spacing w:after="0"/>
              <w:rPr>
                <w:sz w:val="20"/>
                <w:szCs w:val="20"/>
                <w:color w:val="auto"/>
              </w:rPr>
            </w:pPr>
            <w:r>
              <w:rPr>
                <w:rFonts w:ascii="Arial" w:cs="Arial" w:eastAsia="Arial" w:hAnsi="Arial"/>
                <w:sz w:val="14"/>
                <w:szCs w:val="14"/>
                <w:color w:val="auto"/>
              </w:rPr>
              <w:t>Interest and other income (loss)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8,063</w:t>
            </w: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Impairment losses </w:t>
            </w:r>
            <w:r>
              <w:rPr>
                <w:rFonts w:ascii="Arial" w:cs="Arial" w:eastAsia="Arial" w:hAnsi="Arial"/>
                <w:sz w:val="9"/>
                <w:szCs w:val="9"/>
                <w:color w:val="auto"/>
              </w:rPr>
              <w:t>3</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(68,901)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860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(164,299)</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(162,783)</w:t>
            </w:r>
          </w:p>
        </w:tc>
        <w:tc>
          <w:tcPr>
            <w:tcW w:w="0" w:type="dxa"/>
            <w:vAlign w:val="bottom"/>
          </w:tcPr>
          <w:p>
            <w:pPr>
              <w:spacing w:after="0"/>
              <w:rPr>
                <w:sz w:val="1"/>
                <w:szCs w:val="1"/>
                <w:color w:val="auto"/>
              </w:rPr>
            </w:pPr>
          </w:p>
        </w:tc>
      </w:tr>
      <w:tr>
        <w:trPr>
          <w:trHeight w:val="195"/>
        </w:trPr>
        <w:tc>
          <w:tcPr>
            <w:tcW w:w="86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(116,840)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119,141</w:t>
            </w:r>
          </w:p>
        </w:tc>
        <w:tc>
          <w:tcPr>
            <w:tcW w:w="0" w:type="dxa"/>
            <w:vAlign w:val="bottom"/>
          </w:tcPr>
          <w:p>
            <w:pPr>
              <w:spacing w:after="0"/>
              <w:rPr>
                <w:sz w:val="1"/>
                <w:szCs w:val="1"/>
                <w:color w:val="auto"/>
              </w:rPr>
            </w:pPr>
          </w:p>
        </w:tc>
      </w:tr>
      <w:tr>
        <w:trPr>
          <w:trHeight w:val="203"/>
        </w:trPr>
        <w:tc>
          <w:tcPr>
            <w:tcW w:w="860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(17,853)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(20,100)</w:t>
            </w:r>
          </w:p>
        </w:tc>
        <w:tc>
          <w:tcPr>
            <w:tcW w:w="0" w:type="dxa"/>
            <w:vAlign w:val="bottom"/>
          </w:tcPr>
          <w:p>
            <w:pPr>
              <w:spacing w:after="0"/>
              <w:rPr>
                <w:sz w:val="1"/>
                <w:szCs w:val="1"/>
                <w:color w:val="auto"/>
              </w:rPr>
            </w:pPr>
          </w:p>
        </w:tc>
      </w:tr>
      <w:tr>
        <w:trPr>
          <w:trHeight w:val="206"/>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Noncontrolling interest - common units of the Operating Partnership </w:t>
            </w:r>
            <w:r>
              <w:rPr>
                <w:rFonts w:ascii="Arial" w:cs="Arial" w:eastAsia="Arial" w:hAnsi="Arial"/>
                <w:sz w:val="9"/>
                <w:szCs w:val="9"/>
                <w:color w:val="auto"/>
              </w:rPr>
              <w:t>4</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00"/>
        </w:trPr>
        <w:tc>
          <w:tcPr>
            <w:tcW w:w="860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(121,712)</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88,977</w:t>
            </w:r>
          </w:p>
        </w:tc>
        <w:tc>
          <w:tcPr>
            <w:tcW w:w="0" w:type="dxa"/>
            <w:vAlign w:val="bottom"/>
          </w:tcPr>
          <w:p>
            <w:pPr>
              <w:spacing w:after="0"/>
              <w:rPr>
                <w:sz w:val="1"/>
                <w:szCs w:val="1"/>
                <w:color w:val="auto"/>
              </w:rPr>
            </w:pPr>
          </w:p>
        </w:tc>
      </w:tr>
      <w:tr>
        <w:trPr>
          <w:trHeight w:val="21"/>
        </w:trPr>
        <w:tc>
          <w:tcPr>
            <w:tcW w:w="8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PER SHARE OF COMMON STOCK (EPS)</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86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0" w:type="dxa"/>
            <w:vAlign w:val="bottom"/>
          </w:tcPr>
          <w:p>
            <w:pPr>
              <w:ind w:left="20"/>
              <w:spacing w:after="0"/>
              <w:rPr>
                <w:sz w:val="20"/>
                <w:szCs w:val="20"/>
                <w:color w:val="auto"/>
              </w:rPr>
            </w:pPr>
            <w:r>
              <w:rPr>
                <w:rFonts w:ascii="Arial" w:cs="Arial" w:eastAsia="Arial" w:hAnsi="Arial"/>
                <w:sz w:val="14"/>
                <w:szCs w:val="14"/>
                <w:color w:val="auto"/>
              </w:rPr>
              <w:t>Net income (loss) attributable to BXP, Inc. per share - basic</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4"/>
                <w:szCs w:val="14"/>
                <w:color w:val="auto"/>
              </w:rPr>
              <w:t>Net income (loss) attributable to BXP, Inc. per share - 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35" w:lineRule="exact"/>
        <w:rPr>
          <w:sz w:val="20"/>
          <w:szCs w:val="20"/>
          <w:color w:val="auto"/>
        </w:rPr>
      </w:pPr>
    </w:p>
    <w:p>
      <w:pPr>
        <w:ind w:left="80" w:hanging="72"/>
        <w:spacing w:after="0"/>
        <w:tabs>
          <w:tab w:leader="none" w:pos="80" w:val="left"/>
        </w:tabs>
        <w:numPr>
          <w:ilvl w:val="0"/>
          <w:numId w:val="15"/>
        </w:numPr>
        <w:rPr>
          <w:rFonts w:ascii="Arial" w:cs="Arial" w:eastAsia="Arial" w:hAnsi="Arial"/>
          <w:sz w:val="9"/>
          <w:szCs w:val="9"/>
          <w:color w:val="auto"/>
        </w:rPr>
      </w:pPr>
      <w:r>
        <w:rPr>
          <w:rFonts w:ascii="Arial" w:cs="Arial" w:eastAsia="Arial" w:hAnsi="Arial"/>
          <w:sz w:val="14"/>
          <w:szCs w:val="14"/>
          <w:color w:val="auto"/>
        </w:rPr>
        <w:t>Includes $2.4 million and $2.6 million for the three months ended September 30, 2025 and June 30, 2025, respectively, related to the Company’s deferred compensation plan.</w:t>
      </w:r>
    </w:p>
    <w:p>
      <w:pPr>
        <w:spacing w:after="0" w:line="52" w:lineRule="exact"/>
        <w:rPr>
          <w:rFonts w:ascii="Arial" w:cs="Arial" w:eastAsia="Arial" w:hAnsi="Arial"/>
          <w:sz w:val="9"/>
          <w:szCs w:val="9"/>
          <w:color w:val="auto"/>
        </w:rPr>
      </w:pPr>
    </w:p>
    <w:p>
      <w:pPr>
        <w:ind w:right="2500"/>
        <w:spacing w:after="0" w:line="272"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For the three months ended September 30, 2025, includes a non-cash impairment charge of approximately $145.1 million, see page 37. </w:t>
      </w:r>
      <w:r>
        <w:rPr>
          <w:rFonts w:ascii="Arial" w:cs="Arial" w:eastAsia="Arial" w:hAnsi="Arial"/>
          <w:sz w:val="9"/>
          <w:szCs w:val="9"/>
          <w:color w:val="auto"/>
        </w:rPr>
        <w:t xml:space="preserve">3 </w:t>
      </w:r>
      <w:r>
        <w:rPr>
          <w:rFonts w:ascii="Arial" w:cs="Arial" w:eastAsia="Arial" w:hAnsi="Arial"/>
          <w:sz w:val="14"/>
          <w:szCs w:val="14"/>
          <w:color w:val="auto"/>
        </w:rPr>
        <w:t>Relates to pending dispositions in the portfolio.</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For additional detail, see page 7.</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279" w:right="339" w:bottom="1440" w:gutter="0" w:footer="0" w:header="0"/>
          <w:type w:val="continuous"/>
        </w:sectPr>
      </w:pPr>
    </w:p>
    <w:bookmarkStart w:id="14" w:name="page15"/>
    <w:bookmarkEnd w:id="14"/>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Funds from operations (FFO)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20"/>
                <w:szCs w:val="20"/>
                <w:color w:val="auto"/>
              </w:rPr>
            </w:pPr>
            <w:r>
              <w:rPr>
                <w:rFonts w:ascii="Arial" w:cs="Arial" w:eastAsia="Arial" w:hAnsi="Arial"/>
                <w:sz w:val="14"/>
                <w:szCs w:val="14"/>
                <w:color w:val="auto"/>
              </w:rPr>
              <w:t>(unaudited and dollars in thousands, except per share amounts)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30-Sep-25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(121,712)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88,977</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(12,981)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04"/>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20,100</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(116,840)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119,141</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236,147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223,819</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 xml:space="preserve">Noncontrolling interests in property partnerships' share of depreciation and amortization </w:t>
            </w:r>
            <w:r>
              <w:rPr>
                <w:rFonts w:ascii="Arial" w:cs="Arial" w:eastAsia="Arial" w:hAnsi="Arial"/>
                <w:sz w:val="9"/>
                <w:szCs w:val="9"/>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(22,615)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(20,945)</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 xml:space="preserve">BXP's share of depreciation and amortization from unconsolidated joint ventures </w:t>
            </w:r>
            <w:r>
              <w:rPr>
                <w:rFonts w:ascii="Arial" w:cs="Arial" w:eastAsia="Arial" w:hAnsi="Arial"/>
                <w:sz w:val="9"/>
                <w:szCs w:val="9"/>
                <w:color w:val="auto"/>
              </w:rPr>
              <w:t>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17,272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16,674</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Corporate-related depreciation and 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Non-real estate related 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Impairment losses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68,901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 xml:space="preserve">Impairment loss included within loss from unconsolidated joint ventures </w:t>
            </w:r>
            <w:r>
              <w:rPr>
                <w:rFonts w:ascii="Arial" w:cs="Arial" w:eastAsia="Arial" w:hAnsi="Arial"/>
                <w:sz w:val="9"/>
                <w:szCs w:val="9"/>
                <w:color w:val="auto"/>
              </w:rPr>
              <w:t>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145,133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18,390</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 xml:space="preserve">Gain on sale / consolidation included within loss from unconsolidated joint ventures </w:t>
            </w:r>
            <w:r>
              <w:rPr>
                <w:rFonts w:ascii="Arial" w:cs="Arial" w:eastAsia="Arial" w:hAnsi="Arial"/>
                <w:sz w:val="9"/>
                <w:szCs w:val="9"/>
                <w:color w:val="auto"/>
              </w:rPr>
              <w:t>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2,236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40" w:type="dxa"/>
            <w:vAlign w:val="bottom"/>
          </w:tcPr>
          <w:p>
            <w:pPr>
              <w:ind w:left="520"/>
              <w:spacing w:after="0"/>
              <w:rPr>
                <w:sz w:val="20"/>
                <w:szCs w:val="20"/>
                <w:color w:val="auto"/>
              </w:rPr>
            </w:pPr>
            <w:r>
              <w:rPr>
                <w:rFonts w:ascii="Arial" w:cs="Arial" w:eastAsia="Arial" w:hAnsi="Arial"/>
                <w:sz w:val="14"/>
                <w:szCs w:val="14"/>
                <w:color w:val="auto"/>
              </w:rPr>
              <w:t>Unrealized gain (loss) on non-real estate investments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4"/>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20,100</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FFO attributable to the Operating Partnership (including BXP, Inc.) (Basic FFO)</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307,347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301,769</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Partnership’s share of FFO</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30,673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30,117</w:t>
            </w:r>
          </w:p>
        </w:tc>
        <w:tc>
          <w:tcPr>
            <w:tcW w:w="0" w:type="dxa"/>
            <w:vAlign w:val="bottom"/>
          </w:tcPr>
          <w:p>
            <w:pPr>
              <w:spacing w:after="0"/>
              <w:rPr>
                <w:sz w:val="1"/>
                <w:szCs w:val="1"/>
                <w:color w:val="auto"/>
              </w:rPr>
            </w:pPr>
          </w:p>
        </w:tc>
      </w:tr>
      <w:tr>
        <w:trPr>
          <w:trHeight w:val="200"/>
        </w:trPr>
        <w:tc>
          <w:tcPr>
            <w:tcW w:w="8440" w:type="dxa"/>
            <w:vAlign w:val="bottom"/>
          </w:tcPr>
          <w:p>
            <w:pPr>
              <w:ind w:left="20"/>
              <w:spacing w:after="0"/>
              <w:rPr>
                <w:sz w:val="20"/>
                <w:szCs w:val="20"/>
                <w:color w:val="auto"/>
              </w:rPr>
            </w:pPr>
            <w:r>
              <w:rPr>
                <w:rFonts w:ascii="Arial" w:cs="Arial" w:eastAsia="Arial" w:hAnsi="Arial"/>
                <w:sz w:val="14"/>
                <w:szCs w:val="14"/>
                <w:color w:val="auto"/>
              </w:rPr>
              <w:t>FFO attributable to BXP, Inc.</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276,674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271,652</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8440" w:type="dxa"/>
            <w:vAlign w:val="bottom"/>
          </w:tcPr>
          <w:p>
            <w:pPr>
              <w:ind w:left="20"/>
              <w:spacing w:after="0"/>
              <w:rPr>
                <w:sz w:val="20"/>
                <w:szCs w:val="20"/>
                <w:color w:val="auto"/>
              </w:rPr>
            </w:pPr>
            <w:r>
              <w:rPr>
                <w:rFonts w:ascii="Arial" w:cs="Arial" w:eastAsia="Arial" w:hAnsi="Arial"/>
                <w:sz w:val="14"/>
                <w:szCs w:val="14"/>
                <w:color w:val="auto"/>
              </w:rPr>
              <w:t>BXP, Inc.’s percentage share of Basic FFO</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90.02 %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90.02 %</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Noncontrolling interest’s - common unitholders percentage share of Basic FFO</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9.98 %</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Basic FFO per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60"/>
              <w:spacing w:after="0"/>
              <w:rPr>
                <w:sz w:val="20"/>
                <w:szCs w:val="20"/>
                <w:color w:val="auto"/>
              </w:rPr>
            </w:pPr>
            <w:r>
              <w:rPr>
                <w:rFonts w:ascii="Arial" w:cs="Arial" w:eastAsia="Arial" w:hAnsi="Arial"/>
                <w:sz w:val="14"/>
                <w:szCs w:val="14"/>
                <w:color w:val="auto"/>
              </w:rPr>
              <w:t>Weighted average shares outstanding - basic</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158,345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158,312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Diluted FFO per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60"/>
              <w:spacing w:after="0"/>
              <w:rPr>
                <w:sz w:val="20"/>
                <w:szCs w:val="20"/>
                <w:color w:val="auto"/>
              </w:rPr>
            </w:pPr>
            <w:r>
              <w:rPr>
                <w:rFonts w:ascii="Arial" w:cs="Arial" w:eastAsia="Arial" w:hAnsi="Arial"/>
                <w:sz w:val="14"/>
                <w:szCs w:val="14"/>
                <w:color w:val="auto"/>
              </w:rPr>
              <w:t>Weighted average shares outstanding - diluted</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158,928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158,795</w:t>
            </w:r>
          </w:p>
        </w:tc>
        <w:tc>
          <w:tcPr>
            <w:tcW w:w="0" w:type="dxa"/>
            <w:vAlign w:val="bottom"/>
          </w:tcPr>
          <w:p>
            <w:pPr>
              <w:spacing w:after="0"/>
              <w:rPr>
                <w:sz w:val="1"/>
                <w:szCs w:val="1"/>
                <w:color w:val="auto"/>
              </w:rPr>
            </w:pPr>
          </w:p>
        </w:tc>
      </w:tr>
      <w:tr>
        <w:trPr>
          <w:trHeight w:val="21"/>
        </w:trPr>
        <w:tc>
          <w:tcPr>
            <w:tcW w:w="8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RECONCILIATION TO DILUTED FFO</w:t>
            </w: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0"/>
        </w:trPr>
        <w:tc>
          <w:tcPr>
            <w:tcW w:w="84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5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30-Sep-25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Basic FFO</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307,347</w:t>
            </w:r>
          </w:p>
        </w:tc>
        <w:tc>
          <w:tcPr>
            <w:tcW w:w="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301,769</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40" w:type="dxa"/>
            <w:vAlign w:val="bottom"/>
          </w:tcPr>
          <w:p>
            <w:pPr>
              <w:ind w:left="520"/>
              <w:spacing w:after="0"/>
              <w:rPr>
                <w:sz w:val="20"/>
                <w:szCs w:val="20"/>
                <w:color w:val="auto"/>
              </w:rPr>
            </w:pPr>
            <w:r>
              <w:rPr>
                <w:rFonts w:ascii="Arial" w:cs="Arial" w:eastAsia="Arial" w:hAnsi="Arial"/>
                <w:sz w:val="14"/>
                <w:szCs w:val="14"/>
                <w:color w:val="auto"/>
              </w:rPr>
              <w:t>Effect of dilutive securities - stock-based compensation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Diluted FFO</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307,347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301,769</w:t>
            </w:r>
          </w:p>
        </w:tc>
        <w:tc>
          <w:tcPr>
            <w:tcW w:w="0" w:type="dxa"/>
            <w:vAlign w:val="bottom"/>
          </w:tcPr>
          <w:p>
            <w:pPr>
              <w:spacing w:after="0"/>
              <w:rPr>
                <w:sz w:val="1"/>
                <w:szCs w:val="1"/>
                <w:color w:val="auto"/>
              </w:rPr>
            </w:pPr>
          </w:p>
        </w:tc>
      </w:tr>
      <w:tr>
        <w:trPr>
          <w:trHeight w:val="203"/>
        </w:trPr>
        <w:tc>
          <w:tcPr>
            <w:tcW w:w="8440" w:type="dxa"/>
            <w:vAlign w:val="bottom"/>
          </w:tcPr>
          <w:p>
            <w:pPr>
              <w:ind w:left="2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Partnership’s share of diluted FFO</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30,581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30,056</w:t>
            </w:r>
          </w:p>
        </w:tc>
        <w:tc>
          <w:tcPr>
            <w:tcW w:w="0" w:type="dxa"/>
            <w:vAlign w:val="bottom"/>
          </w:tcPr>
          <w:p>
            <w:pPr>
              <w:spacing w:after="0"/>
              <w:rPr>
                <w:sz w:val="1"/>
                <w:szCs w:val="1"/>
                <w:color w:val="auto"/>
              </w:rPr>
            </w:pPr>
          </w:p>
        </w:tc>
      </w:tr>
      <w:tr>
        <w:trPr>
          <w:trHeight w:val="200"/>
        </w:trPr>
        <w:tc>
          <w:tcPr>
            <w:tcW w:w="8440" w:type="dxa"/>
            <w:vAlign w:val="bottom"/>
          </w:tcPr>
          <w:p>
            <w:pPr>
              <w:ind w:left="20"/>
              <w:spacing w:after="0"/>
              <w:rPr>
                <w:sz w:val="20"/>
                <w:szCs w:val="20"/>
                <w:color w:val="auto"/>
              </w:rPr>
            </w:pPr>
            <w:r>
              <w:rPr>
                <w:rFonts w:ascii="Arial" w:cs="Arial" w:eastAsia="Arial" w:hAnsi="Arial"/>
                <w:sz w:val="14"/>
                <w:szCs w:val="14"/>
                <w:color w:val="auto"/>
              </w:rPr>
              <w:t>BXP, Inc.’s share of Diluted FFO</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276,766</w:t>
            </w:r>
          </w:p>
        </w:tc>
        <w:tc>
          <w:tcPr>
            <w:tcW w:w="1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271,713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RECONCILIATION OF SHARES/UNITS FOR DILUTED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Shares/units for Basic FFO</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Effect of dilutive securities - stock-based compensation (shares/units)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Shares/units for Diluted FFO</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Less:</w:t>
      </w:r>
    </w:p>
    <w:p>
      <w:pPr>
        <w:spacing w:after="0" w:line="42" w:lineRule="exact"/>
        <w:rPr>
          <w:sz w:val="20"/>
          <w:szCs w:val="20"/>
          <w:color w:val="auto"/>
        </w:rPr>
      </w:pPr>
    </w:p>
    <w:p>
      <w:pPr>
        <w:ind w:left="20" w:right="820" w:firstLine="486"/>
        <w:spacing w:after="0" w:line="405" w:lineRule="auto"/>
        <w:rPr>
          <w:sz w:val="20"/>
          <w:szCs w:val="20"/>
          <w:color w:val="auto"/>
        </w:rPr>
      </w:pPr>
      <w:r>
        <w:rPr>
          <w:rFonts w:ascii="Arial" w:cs="Arial" w:eastAsia="Arial" w:hAnsi="Arial"/>
          <w:sz w:val="14"/>
          <w:szCs w:val="14"/>
          <w:color w:val="auto"/>
        </w:rPr>
        <w:t>Noncontrolling interest - common units of the Operating Partnership’s share of Diluted FFO (shares/units) BXP, Inc.’s share of shares/units for Diluted FFO</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BXP, Inc.’s percentage share of Diluted FFO</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6" w:lineRule="exact"/>
        <w:rPr>
          <w:rFonts w:ascii="Arial" w:cs="Arial" w:eastAsia="Arial" w:hAnsi="Arial"/>
          <w:sz w:val="19"/>
          <w:szCs w:val="19"/>
          <w:color w:val="auto"/>
          <w:vertAlign w:val="superscript"/>
        </w:rPr>
      </w:pPr>
    </w:p>
    <w:p>
      <w:pPr>
        <w:jc w:val="both"/>
        <w:ind w:right="1920"/>
        <w:spacing w:after="0" w:line="361"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For a quantitative reconciliation for the three months ended September 30, 2025, see page 34.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For a quantitative reconciliation for the three months ended September 30, 2025, see page 37.</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30-Sep-25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175,901</w:t>
      </w:r>
    </w:p>
    <w:p>
      <w:pPr>
        <w:spacing w:after="0" w:line="244"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176,484</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17,556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158,928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49530</wp:posOffset>
            </wp:positionV>
            <wp:extent cx="8318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90.05 %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49530</wp:posOffset>
            </wp:positionV>
            <wp:extent cx="8318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30-Jun-25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175,871</w:t>
      </w:r>
    </w:p>
    <w:p>
      <w:pPr>
        <w:spacing w:after="0" w:line="244"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3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176,354</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158,795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49530</wp:posOffset>
            </wp:positionV>
            <wp:extent cx="831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5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90.04 %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49530</wp:posOffset>
            </wp:positionV>
            <wp:extent cx="831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1335" w:lineRule="exact"/>
        <w:rPr>
          <w:sz w:val="20"/>
          <w:szCs w:val="20"/>
          <w:color w:val="auto"/>
        </w:rPr>
      </w:pPr>
    </w:p>
    <w:p>
      <w:pPr>
        <w:sectPr>
          <w:pgSz w:w="11900" w:h="16838" w:orient="portrait"/>
          <w:cols w:equalWidth="0" w:num="3">
            <w:col w:w="8020" w:space="720"/>
            <w:col w:w="980" w:space="520"/>
            <w:col w:w="1000"/>
          </w:cols>
          <w:pgMar w:left="320" w:top="279" w:right="339" w:bottom="1440" w:gutter="0" w:footer="0" w:header="0"/>
          <w:type w:val="continuous"/>
        </w:sectPr>
      </w:pPr>
    </w:p>
    <w:p>
      <w:pPr>
        <w:spacing w:after="0" w:line="9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279" w:right="339" w:bottom="1440" w:gutter="0" w:footer="0" w:header="0"/>
          <w:type w:val="continuous"/>
        </w:sectPr>
      </w:pPr>
    </w:p>
    <w:bookmarkStart w:id="15" w:name="page16"/>
    <w:bookmarkEnd w:id="15"/>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Funds available for distributions (FAD)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04"/>
        </w:trPr>
        <w:tc>
          <w:tcPr>
            <w:tcW w:w="8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30-Sep-25</w:t>
            </w:r>
          </w:p>
        </w:tc>
        <w:tc>
          <w:tcPr>
            <w:tcW w:w="22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30-Jun-25</w:t>
            </w:r>
          </w:p>
        </w:tc>
      </w:tr>
      <w:tr>
        <w:trPr>
          <w:trHeight w:val="190"/>
        </w:trPr>
        <w:tc>
          <w:tcPr>
            <w:tcW w:w="838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(121,712)</w:t>
            </w:r>
          </w:p>
        </w:tc>
        <w:tc>
          <w:tcPr>
            <w:tcW w:w="1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88,977</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(12,981)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10,064</w:t>
            </w:r>
          </w:p>
        </w:tc>
      </w:tr>
      <w:tr>
        <w:trPr>
          <w:trHeight w:val="204"/>
        </w:trPr>
        <w:tc>
          <w:tcPr>
            <w:tcW w:w="838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17,853</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20,100</w:t>
            </w:r>
          </w:p>
        </w:tc>
      </w:tr>
      <w:tr>
        <w:trPr>
          <w:trHeight w:val="194"/>
        </w:trPr>
        <w:tc>
          <w:tcPr>
            <w:tcW w:w="83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(116,840)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119,141</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236,147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223,819</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Noncontrolling interests in property partnerships’ share of depreciation and amortization </w:t>
            </w:r>
            <w:r>
              <w:rPr>
                <w:rFonts w:ascii="Arial" w:cs="Arial" w:eastAsia="Arial" w:hAnsi="Arial"/>
                <w:sz w:val="9"/>
                <w:szCs w:val="9"/>
                <w:color w:val="auto"/>
              </w:rPr>
              <w:t>2</w:t>
            </w: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(22,615)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(20,945)</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depreciation and amortization from unconsolidated joint ventures </w:t>
            </w:r>
            <w:r>
              <w:rPr>
                <w:rFonts w:ascii="Arial" w:cs="Arial" w:eastAsia="Arial" w:hAnsi="Arial"/>
                <w:sz w:val="9"/>
                <w:szCs w:val="9"/>
                <w:color w:val="auto"/>
              </w:rPr>
              <w:t>3</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17,272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16,674</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Corporate-related depreciation and amortization</w:t>
            </w: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(582)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(600)</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Non-real estate related amortization</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2,130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2,131</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Impairment loss included within loss from unconsolidated joint ventures </w:t>
            </w:r>
            <w:r>
              <w:rPr>
                <w:rFonts w:ascii="Arial" w:cs="Arial" w:eastAsia="Arial" w:hAnsi="Arial"/>
                <w:sz w:val="9"/>
                <w:szCs w:val="9"/>
                <w:color w:val="auto"/>
              </w:rPr>
              <w:t>3</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145,133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Impairment losses</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68,901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Less: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1,932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18,390</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Gain on sale / consolidation included within loss from unconsolidated joint ventures </w:t>
            </w:r>
            <w:r>
              <w:rPr>
                <w:rFonts w:ascii="Arial" w:cs="Arial" w:eastAsia="Arial" w:hAnsi="Arial"/>
                <w:sz w:val="9"/>
                <w:szCs w:val="9"/>
                <w:color w:val="auto"/>
              </w:rPr>
              <w:t>3</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2,236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Unrealized gain (loss) on non-real estate investments</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178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(39)</w:t>
            </w:r>
          </w:p>
        </w:tc>
      </w:tr>
      <w:tr>
        <w:trPr>
          <w:trHeight w:val="204"/>
        </w:trPr>
        <w:tc>
          <w:tcPr>
            <w:tcW w:w="838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17,853</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20,100</w:t>
            </w:r>
          </w:p>
        </w:tc>
      </w:tr>
      <w:tr>
        <w:trPr>
          <w:trHeight w:val="194"/>
        </w:trPr>
        <w:tc>
          <w:tcPr>
            <w:tcW w:w="8380" w:type="dxa"/>
            <w:vAlign w:val="bottom"/>
          </w:tcPr>
          <w:p>
            <w:pPr>
              <w:ind w:left="20"/>
              <w:spacing w:after="0"/>
              <w:rPr>
                <w:sz w:val="20"/>
                <w:szCs w:val="20"/>
                <w:color w:val="auto"/>
              </w:rPr>
            </w:pPr>
            <w:r>
              <w:rPr>
                <w:rFonts w:ascii="Arial" w:cs="Arial" w:eastAsia="Arial" w:hAnsi="Arial"/>
                <w:sz w:val="14"/>
                <w:szCs w:val="14"/>
                <w:color w:val="auto"/>
              </w:rPr>
              <w:t>Basic FFO</w:t>
            </w:r>
          </w:p>
        </w:tc>
        <w:tc>
          <w:tcPr>
            <w:tcW w:w="22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307,347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301,769</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lease transaction costs that qualify as rent inducements </w:t>
            </w:r>
            <w:r>
              <w:rPr>
                <w:rFonts w:ascii="Arial" w:cs="Arial" w:eastAsia="Arial" w:hAnsi="Arial"/>
                <w:sz w:val="9"/>
                <w:szCs w:val="9"/>
                <w:color w:val="auto"/>
              </w:rPr>
              <w:t>1, 4</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4,999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3,482</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hedge amortization, net of costs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1,781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1,808</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fair value interest adjustment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638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1,217</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straight-line ground rent expense adjustment </w:t>
            </w:r>
            <w:r>
              <w:rPr>
                <w:rFonts w:ascii="Arial" w:cs="Arial" w:eastAsia="Arial" w:hAnsi="Arial"/>
                <w:sz w:val="9"/>
                <w:szCs w:val="9"/>
                <w:color w:val="auto"/>
              </w:rPr>
              <w:t>1, 5</w:t>
            </w: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(407)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584</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4,404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11,612</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Non-real estate depreciation and amortization</w:t>
            </w:r>
          </w:p>
        </w:tc>
        <w:tc>
          <w:tcPr>
            <w:tcW w:w="2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(1,548)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(1,531)</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Unearned portion of capitalized fees from consolidated joint ventures </w:t>
            </w:r>
            <w:r>
              <w:rPr>
                <w:rFonts w:ascii="Arial" w:cs="Arial" w:eastAsia="Arial" w:hAnsi="Arial"/>
                <w:sz w:val="9"/>
                <w:szCs w:val="9"/>
                <w:color w:val="auto"/>
              </w:rPr>
              <w:t>6</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938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969</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Non-cash loss from early extinguishments of debt</w:t>
            </w:r>
          </w:p>
        </w:tc>
        <w:tc>
          <w:tcPr>
            <w:tcW w:w="22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80" w:type="dxa"/>
            <w:vAlign w:val="bottom"/>
          </w:tcPr>
          <w:p>
            <w:pPr>
              <w:ind w:left="260"/>
              <w:spacing w:after="0"/>
              <w:rPr>
                <w:sz w:val="20"/>
                <w:szCs w:val="20"/>
                <w:color w:val="auto"/>
              </w:rPr>
            </w:pPr>
            <w:r>
              <w:rPr>
                <w:rFonts w:ascii="Arial" w:cs="Arial" w:eastAsia="Arial" w:hAnsi="Arial"/>
                <w:sz w:val="14"/>
                <w:szCs w:val="14"/>
                <w:color w:val="auto"/>
              </w:rPr>
              <w:t>Less: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straight-line rent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23,859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20,535</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9"/>
                <w:szCs w:val="9"/>
                <w:color w:val="auto"/>
              </w:rPr>
              <w:t>1, 7</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3,019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3,029</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non-cash termination income adjustment (fair value lease amounts)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2nd generation tenant improvements and leasing commissions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64,715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61,423</w:t>
            </w:r>
          </w:p>
        </w:tc>
      </w:tr>
      <w:tr>
        <w:trPr>
          <w:trHeight w:val="202"/>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maintenance capital expenditures </w:t>
            </w:r>
            <w:r>
              <w:rPr>
                <w:rFonts w:ascii="Arial" w:cs="Arial" w:eastAsia="Arial" w:hAnsi="Arial"/>
                <w:sz w:val="9"/>
                <w:szCs w:val="9"/>
                <w:color w:val="auto"/>
              </w:rPr>
              <w:t>1, 8</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23,341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30,211</w:t>
            </w:r>
          </w:p>
        </w:tc>
      </w:tr>
      <w:tr>
        <w:trPr>
          <w:trHeight w:val="203"/>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amortization and accretion related to sales type lease </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265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261</w:t>
            </w:r>
          </w:p>
        </w:tc>
      </w:tr>
      <w:tr>
        <w:trPr>
          <w:trHeight w:val="207"/>
        </w:trPr>
        <w:tc>
          <w:tcPr>
            <w:tcW w:w="8380" w:type="dxa"/>
            <w:vAlign w:val="bottom"/>
          </w:tcPr>
          <w:p>
            <w:pPr>
              <w:ind w:left="520"/>
              <w:spacing w:after="0"/>
              <w:rPr>
                <w:sz w:val="20"/>
                <w:szCs w:val="20"/>
                <w:color w:val="auto"/>
              </w:rPr>
            </w:pPr>
            <w:r>
              <w:rPr>
                <w:rFonts w:ascii="Arial" w:cs="Arial" w:eastAsia="Arial" w:hAnsi="Arial"/>
                <w:sz w:val="14"/>
                <w:szCs w:val="14"/>
                <w:color w:val="auto"/>
              </w:rPr>
              <w:t>Hotel improvements, equipment upgrades and replacements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1,181</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859</w:t>
            </w:r>
          </w:p>
        </w:tc>
      </w:tr>
      <w:tr>
        <w:trPr>
          <w:trHeight w:val="200"/>
        </w:trPr>
        <w:tc>
          <w:tcPr>
            <w:tcW w:w="8380" w:type="dxa"/>
            <w:vAlign w:val="bottom"/>
          </w:tcPr>
          <w:p>
            <w:pPr>
              <w:ind w:left="20"/>
              <w:spacing w:after="0"/>
              <w:rPr>
                <w:sz w:val="20"/>
                <w:szCs w:val="20"/>
                <w:color w:val="auto"/>
              </w:rPr>
            </w:pPr>
            <w:r>
              <w:rPr>
                <w:rFonts w:ascii="Arial" w:cs="Arial" w:eastAsia="Arial" w:hAnsi="Arial"/>
                <w:sz w:val="14"/>
                <w:szCs w:val="14"/>
                <w:color w:val="auto"/>
              </w:rPr>
              <w:t xml:space="preserve">Funds available for distribution to common shareholders and common unitholders (FAD) </w:t>
            </w:r>
            <w:r>
              <w:rPr>
                <w:rFonts w:ascii="Arial" w:cs="Arial" w:eastAsia="Arial" w:hAnsi="Arial"/>
                <w:sz w:val="14"/>
                <w:szCs w:val="14"/>
                <w:b w:val="1"/>
                <w:bCs w:val="1"/>
                <w:color w:val="auto"/>
              </w:rPr>
              <w:t>(A)</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201,772</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203,592</w:t>
            </w:r>
          </w:p>
        </w:tc>
      </w:tr>
      <w:tr>
        <w:trPr>
          <w:trHeight w:val="21"/>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70"/>
        </w:trPr>
        <w:tc>
          <w:tcPr>
            <w:tcW w:w="8380" w:type="dxa"/>
            <w:vAlign w:val="bottom"/>
          </w:tcPr>
          <w:p>
            <w:pPr>
              <w:ind w:left="20"/>
              <w:spacing w:after="0"/>
              <w:rPr>
                <w:sz w:val="20"/>
                <w:szCs w:val="20"/>
                <w:color w:val="auto"/>
              </w:rPr>
            </w:pPr>
            <w:r>
              <w:rPr>
                <w:rFonts w:ascii="Arial" w:cs="Arial" w:eastAsia="Arial" w:hAnsi="Arial"/>
                <w:sz w:val="14"/>
                <w:szCs w:val="14"/>
                <w:color w:val="auto"/>
              </w:rPr>
              <w:t xml:space="preserve">Distributions to common shareholders and unitholders (excluding any special distributions) </w:t>
            </w:r>
            <w:r>
              <w:rPr>
                <w:rFonts w:ascii="Arial" w:cs="Arial" w:eastAsia="Arial" w:hAnsi="Arial"/>
                <w:sz w:val="14"/>
                <w:szCs w:val="14"/>
                <w:b w:val="1"/>
                <w:bCs w:val="1"/>
                <w:color w:val="auto"/>
              </w:rPr>
              <w:t>(B)</w:t>
            </w:r>
            <w:r>
              <w:rPr>
                <w:rFonts w:ascii="Arial" w:cs="Arial" w:eastAsia="Arial" w:hAnsi="Arial"/>
                <w:sz w:val="14"/>
                <w:szCs w:val="14"/>
                <w:color w:val="auto"/>
              </w:rPr>
              <w:t xml:space="preserve"> </w:t>
            </w:r>
            <w:r>
              <w:rPr>
                <w:rFonts w:ascii="Arial" w:cs="Arial" w:eastAsia="Arial" w:hAnsi="Arial"/>
                <w:sz w:val="9"/>
                <w:szCs w:val="9"/>
                <w:color w:val="auto"/>
              </w:rPr>
              <w:t>9</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123,830</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173,357</w:t>
            </w:r>
          </w:p>
        </w:tc>
      </w:tr>
      <w:tr>
        <w:trPr>
          <w:trHeight w:val="385"/>
        </w:trPr>
        <w:tc>
          <w:tcPr>
            <w:tcW w:w="8380" w:type="dxa"/>
            <w:vAlign w:val="bottom"/>
          </w:tcPr>
          <w:p>
            <w:pPr>
              <w:ind w:left="20"/>
              <w:spacing w:after="0"/>
              <w:rPr>
                <w:sz w:val="20"/>
                <w:szCs w:val="20"/>
                <w:color w:val="auto"/>
              </w:rPr>
            </w:pPr>
            <w:r>
              <w:rPr>
                <w:rFonts w:ascii="Arial" w:cs="Arial" w:eastAsia="Arial" w:hAnsi="Arial"/>
                <w:sz w:val="14"/>
                <w:szCs w:val="14"/>
                <w:color w:val="auto"/>
              </w:rPr>
              <w:t>FAD Payout Ratio</w:t>
            </w:r>
            <w:r>
              <w:rPr>
                <w:rFonts w:ascii="Arial" w:cs="Arial" w:eastAsia="Arial" w:hAnsi="Arial"/>
                <w:sz w:val="9"/>
                <w:szCs w:val="9"/>
                <w:color w:val="auto"/>
              </w:rPr>
              <w:t>1</w:t>
            </w:r>
            <w:r>
              <w:rPr>
                <w:rFonts w:ascii="Arial" w:cs="Arial" w:eastAsia="Arial" w:hAnsi="Arial"/>
                <w:sz w:val="14"/>
                <w:szCs w:val="14"/>
                <w:color w:val="auto"/>
              </w:rPr>
              <w:t xml:space="preserve"> </w:t>
            </w:r>
            <w:r>
              <w:rPr>
                <w:rFonts w:ascii="Arial" w:cs="Arial" w:eastAsia="Arial" w:hAnsi="Arial"/>
                <w:sz w:val="14"/>
                <w:szCs w:val="14"/>
                <w:b w:val="1"/>
                <w:bCs w:val="1"/>
                <w:color w:val="auto"/>
              </w:rPr>
              <w:t>(B÷A)</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61.37 %</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85.15 %</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For a quantitative reconciliation for the three months ended September 30, 2025, see page 34.</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For additional information for the three months ended September 30, 2025, see page 37.</w:t>
      </w:r>
    </w:p>
    <w:p>
      <w:pPr>
        <w:spacing w:after="0" w:line="11" w:lineRule="exact"/>
        <w:rPr>
          <w:rFonts w:ascii="Arial" w:cs="Arial" w:eastAsia="Arial" w:hAnsi="Arial"/>
          <w:sz w:val="19"/>
          <w:szCs w:val="19"/>
          <w:color w:val="auto"/>
          <w:vertAlign w:val="superscript"/>
        </w:rPr>
      </w:pPr>
    </w:p>
    <w:p>
      <w:pPr>
        <w:ind w:left="80" w:right="580" w:hanging="81"/>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Consists of lease transaction costs that qualify as rent inducements in accordance with GAAP. Lease transaction costs are generally included in 2nd generation tenant improvements and leasing commissions in the period the lease commences.</w:t>
      </w:r>
    </w:p>
    <w:p>
      <w:pPr>
        <w:spacing w:after="0" w:line="12" w:lineRule="exact"/>
        <w:rPr>
          <w:rFonts w:ascii="Arial" w:cs="Arial" w:eastAsia="Arial" w:hAnsi="Arial"/>
          <w:sz w:val="19"/>
          <w:szCs w:val="19"/>
          <w:color w:val="auto"/>
          <w:vertAlign w:val="superscript"/>
        </w:rPr>
      </w:pPr>
    </w:p>
    <w:p>
      <w:pPr>
        <w:ind w:left="80" w:right="240" w:hanging="81"/>
        <w:spacing w:after="0" w:line="275" w:lineRule="auto"/>
        <w:rPr>
          <w:rFonts w:ascii="Arial" w:cs="Arial" w:eastAsia="Arial" w:hAnsi="Arial"/>
          <w:sz w:val="19"/>
          <w:szCs w:val="19"/>
          <w:color w:val="auto"/>
          <w:vertAlign w:val="superscript"/>
        </w:rPr>
      </w:pPr>
      <w:r>
        <w:rPr>
          <w:rFonts w:ascii="Arial" w:cs="Arial" w:eastAsia="Arial" w:hAnsi="Arial"/>
          <w:sz w:val="9"/>
          <w:szCs w:val="9"/>
          <w:color w:val="auto"/>
        </w:rPr>
        <w:t xml:space="preserve">5 </w:t>
      </w:r>
      <w:r>
        <w:rPr>
          <w:rFonts w:ascii="Arial" w:cs="Arial" w:eastAsia="Arial" w:hAnsi="Arial"/>
          <w:sz w:val="14"/>
          <w:szCs w:val="14"/>
          <w:color w:val="auto"/>
        </w:rPr>
        <w:t>Includes the straight-line impact of the Company’s 99-year ground and air rights lease related to the Company’s 100 Clarendon Street garage and Back Bay Transit Station.</w:t>
      </w:r>
      <w:r>
        <w:rPr>
          <w:rFonts w:ascii="Arial" w:cs="Arial" w:eastAsia="Arial" w:hAnsi="Arial"/>
          <w:sz w:val="9"/>
          <w:szCs w:val="9"/>
          <w:color w:val="auto"/>
        </w:rPr>
        <w:t xml:space="preserve"> </w:t>
      </w:r>
      <w:r>
        <w:rPr>
          <w:rFonts w:ascii="Arial" w:cs="Arial" w:eastAsia="Arial" w:hAnsi="Arial"/>
          <w:sz w:val="14"/>
          <w:szCs w:val="14"/>
          <w:color w:val="auto"/>
        </w:rPr>
        <w:t>The Company has allocated contractual ground lease payments aggregating approximately $39.0 million, which it expects to incur by the end of 2027 with no payments thereafter. The Company is recognizing this expense on a straight-line basis over the 99-year term of the ground and air rights lease, see page 3.</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6 </w:t>
      </w:r>
      <w:r>
        <w:rPr>
          <w:rFonts w:ascii="Arial" w:cs="Arial" w:eastAsia="Arial" w:hAnsi="Arial"/>
          <w:sz w:val="14"/>
          <w:szCs w:val="14"/>
          <w:color w:val="auto"/>
        </w:rPr>
        <w:t>See page 62 for additional information.</w:t>
      </w:r>
    </w:p>
    <w:p>
      <w:pPr>
        <w:spacing w:after="0" w:line="52" w:lineRule="exact"/>
        <w:rPr>
          <w:rFonts w:ascii="Arial" w:cs="Arial" w:eastAsia="Arial" w:hAnsi="Arial"/>
          <w:sz w:val="19"/>
          <w:szCs w:val="19"/>
          <w:color w:val="auto"/>
          <w:vertAlign w:val="superscript"/>
        </w:rPr>
      </w:pPr>
    </w:p>
    <w:p>
      <w:pPr>
        <w:ind w:right="500"/>
        <w:spacing w:after="0" w:line="25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Represents the net adjustment for above- and below-market leases that are amortized over the terms of the respective leases in place at the property acquisition dates. </w:t>
      </w:r>
      <w:r>
        <w:rPr>
          <w:rFonts w:ascii="Arial" w:cs="Arial" w:eastAsia="Arial" w:hAnsi="Arial"/>
          <w:sz w:val="9"/>
          <w:szCs w:val="9"/>
          <w:color w:val="auto"/>
        </w:rPr>
        <w:t xml:space="preserve">8 </w:t>
      </w:r>
      <w:r>
        <w:rPr>
          <w:rFonts w:ascii="Arial" w:cs="Arial" w:eastAsia="Arial" w:hAnsi="Arial"/>
          <w:sz w:val="14"/>
          <w:szCs w:val="14"/>
          <w:color w:val="auto"/>
        </w:rPr>
        <w:t>Maintenance capital expenditures do not include capital expenditures that are planned at the time of acquisition or capital expenditures incurred in connection with</w:t>
      </w:r>
    </w:p>
    <w:p>
      <w:pPr>
        <w:ind w:left="80"/>
        <w:spacing w:after="0"/>
        <w:rPr>
          <w:rFonts w:ascii="Arial" w:cs="Arial" w:eastAsia="Arial" w:hAnsi="Arial"/>
          <w:sz w:val="19"/>
          <w:szCs w:val="19"/>
          <w:color w:val="auto"/>
          <w:vertAlign w:val="superscript"/>
        </w:rPr>
      </w:pPr>
      <w:r>
        <w:rPr>
          <w:rFonts w:ascii="Arial" w:cs="Arial" w:eastAsia="Arial" w:hAnsi="Arial"/>
          <w:sz w:val="14"/>
          <w:szCs w:val="14"/>
          <w:color w:val="auto"/>
        </w:rPr>
        <w:t>repositioning activities.</w:t>
      </w:r>
    </w:p>
    <w:p>
      <w:pPr>
        <w:spacing w:after="0" w:line="41" w:lineRule="exact"/>
        <w:rPr>
          <w:sz w:val="20"/>
          <w:szCs w:val="20"/>
          <w:color w:val="auto"/>
        </w:rPr>
      </w:pPr>
    </w:p>
    <w:p>
      <w:pPr>
        <w:ind w:left="80" w:right="120" w:hanging="72"/>
        <w:spacing w:after="0" w:line="229" w:lineRule="auto"/>
        <w:tabs>
          <w:tab w:leader="none" w:pos="78"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2025, distribution amount reflects BXP’s quarterly dividend reset from $0.98 per share to $0.70 per share of common stock for the period July 1, 2025 to September 30, 2025.</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279" w:right="339" w:bottom="1440" w:gutter="0" w:footer="0" w:header="0"/>
          <w:type w:val="continuous"/>
        </w:sectPr>
      </w:pPr>
    </w:p>
    <w:bookmarkStart w:id="16" w:name="page17"/>
    <w:bookmarkEnd w:id="16"/>
    <w:p>
      <w:pPr>
        <w:ind w:left="1068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49530</wp:posOffset>
            </wp:positionV>
            <wp:extent cx="25717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224"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00497F"/>
        </w:rPr>
        <w:t>Reconciliation of net income attributable to BXP, Inc. to BXP’s Share of same property net operating income (NOI)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8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30-Sep-25</w:t>
            </w:r>
          </w:p>
        </w:tc>
        <w:tc>
          <w:tcPr>
            <w:tcW w:w="240" w:type="dxa"/>
            <w:vAlign w:val="bottom"/>
          </w:tcPr>
          <w:p>
            <w:pPr>
              <w:spacing w:after="0"/>
              <w:rPr>
                <w:sz w:val="16"/>
                <w:szCs w:val="16"/>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30-Sep-24</w:t>
            </w:r>
          </w:p>
        </w:tc>
        <w:tc>
          <w:tcPr>
            <w:tcW w:w="0" w:type="dxa"/>
            <w:vAlign w:val="bottom"/>
          </w:tcPr>
          <w:p>
            <w:pPr>
              <w:spacing w:after="0"/>
              <w:rPr>
                <w:sz w:val="1"/>
                <w:szCs w:val="1"/>
                <w:color w:val="auto"/>
              </w:rPr>
            </w:pPr>
          </w:p>
        </w:tc>
      </w:tr>
      <w:tr>
        <w:trPr>
          <w:trHeight w:val="190"/>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(121,712)</w:t>
            </w: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83,628</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(12,981)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9,587</w:t>
            </w:r>
          </w:p>
        </w:tc>
        <w:tc>
          <w:tcPr>
            <w:tcW w:w="0" w:type="dxa"/>
            <w:vAlign w:val="bottom"/>
          </w:tcPr>
          <w:p>
            <w:pPr>
              <w:spacing w:after="0"/>
              <w:rPr>
                <w:sz w:val="1"/>
                <w:szCs w:val="1"/>
                <w:color w:val="auto"/>
              </w:rPr>
            </w:pPr>
          </w:p>
        </w:tc>
      </w:tr>
      <w:tr>
        <w:trPr>
          <w:trHeight w:val="204"/>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17,853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15,237</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(116,840)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108,452</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164,299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163,194</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Impairment losses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68,901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Loss from unconsolidated joint ventures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148,329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7,011</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236,147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222,890</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Transaction costs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Payroll and related costs from management services contracts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3,649</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General and administrative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36,188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33,352</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Interest and other income (loss)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7,620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14,430</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Unrealized gain on non-real estate investments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Gains from investments in securities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2,400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1,932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3,649</w:t>
            </w:r>
          </w:p>
        </w:tc>
        <w:tc>
          <w:tcPr>
            <w:tcW w:w="0" w:type="dxa"/>
            <w:vAlign w:val="bottom"/>
          </w:tcPr>
          <w:p>
            <w:pPr>
              <w:spacing w:after="0"/>
              <w:rPr>
                <w:sz w:val="1"/>
                <w:szCs w:val="1"/>
                <w:color w:val="auto"/>
              </w:rPr>
            </w:pPr>
          </w:p>
        </w:tc>
      </w:tr>
      <w:tr>
        <w:trPr>
          <w:trHeight w:val="204"/>
        </w:trPr>
        <w:tc>
          <w:tcPr>
            <w:tcW w:w="8140" w:type="dxa"/>
            <w:vAlign w:val="bottom"/>
          </w:tcPr>
          <w:p>
            <w:pPr>
              <w:ind w:left="520"/>
              <w:spacing w:after="0"/>
              <w:rPr>
                <w:sz w:val="20"/>
                <w:szCs w:val="20"/>
                <w:color w:val="auto"/>
              </w:rPr>
            </w:pPr>
            <w:r>
              <w:rPr>
                <w:rFonts w:ascii="Arial" w:cs="Arial" w:eastAsia="Arial" w:hAnsi="Arial"/>
                <w:sz w:val="14"/>
                <w:szCs w:val="14"/>
                <w:color w:val="auto"/>
              </w:rPr>
              <w:t>Development and management services revenue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9,317</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6,770</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517,008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511,078</w:t>
            </w:r>
          </w:p>
        </w:tc>
        <w:tc>
          <w:tcPr>
            <w:tcW w:w="0" w:type="dxa"/>
            <w:vAlign w:val="bottom"/>
          </w:tcPr>
          <w:p>
            <w:pPr>
              <w:spacing w:after="0"/>
              <w:rPr>
                <w:sz w:val="1"/>
                <w:szCs w:val="1"/>
                <w:color w:val="auto"/>
              </w:rPr>
            </w:pPr>
          </w:p>
        </w:tc>
      </w:tr>
      <w:tr>
        <w:trPr>
          <w:trHeight w:val="202"/>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from unconsolidated joint ventures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30,675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31,919</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Partners’ share of NOI from consolidated joint ventures (after income allocation to private REIT shareholders)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51,504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44,487</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NOI</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496,179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498,510</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215"/>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termination income from unconsolidated joint ventures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Partners’ share of termination income from consolidated joint ventures </w:t>
            </w:r>
            <w:r>
              <w:rPr>
                <w:rFonts w:ascii="Arial" w:cs="Arial" w:eastAsia="Arial" w:hAnsi="Arial"/>
                <w:sz w:val="18"/>
                <w:szCs w:val="18"/>
                <w:color w:val="auto"/>
                <w:vertAlign w:val="superscript"/>
              </w:rPr>
              <w:t>2</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NOI (excluding termination income)</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494,797</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486,331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517,008</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511,078</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210"/>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NOI from non Same Properties (excluding termination 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9,642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4,808</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Same Property NOI (excluding termination income)</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506,125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494,150</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140" w:type="dxa"/>
            <w:vAlign w:val="bottom"/>
          </w:tcPr>
          <w:p>
            <w:pPr>
              <w:ind w:left="520"/>
              <w:spacing w:after="0" w:line="157" w:lineRule="exact"/>
              <w:rPr>
                <w:sz w:val="20"/>
                <w:szCs w:val="20"/>
                <w:color w:val="auto"/>
              </w:rPr>
            </w:pPr>
            <w:r>
              <w:rPr>
                <w:rFonts w:ascii="Arial" w:cs="Arial" w:eastAsia="Arial" w:hAnsi="Arial"/>
                <w:sz w:val="14"/>
                <w:szCs w:val="14"/>
                <w:color w:val="auto"/>
              </w:rPr>
              <w:t>Partners’ share of NOI from consolidated joint ventures (excluding termination income and after income allocation to</w:t>
            </w:r>
          </w:p>
        </w:tc>
        <w:tc>
          <w:tcPr>
            <w:tcW w:w="24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51,504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44,469</w:t>
            </w:r>
          </w:p>
        </w:tc>
        <w:tc>
          <w:tcPr>
            <w:tcW w:w="0" w:type="dxa"/>
            <w:vAlign w:val="bottom"/>
          </w:tcPr>
          <w:p>
            <w:pPr>
              <w:spacing w:after="0"/>
              <w:rPr>
                <w:sz w:val="1"/>
                <w:szCs w:val="1"/>
                <w:color w:val="auto"/>
              </w:rPr>
            </w:pPr>
          </w:p>
        </w:tc>
      </w:tr>
      <w:tr>
        <w:trPr>
          <w:trHeight w:val="194"/>
        </w:trPr>
        <w:tc>
          <w:tcPr>
            <w:tcW w:w="8140" w:type="dxa"/>
            <w:vAlign w:val="bottom"/>
          </w:tcPr>
          <w:p>
            <w:pPr>
              <w:ind w:left="680"/>
              <w:spacing w:after="0"/>
              <w:rPr>
                <w:sz w:val="20"/>
                <w:szCs w:val="20"/>
                <w:color w:val="auto"/>
              </w:rPr>
            </w:pPr>
            <w:r>
              <w:rPr>
                <w:rFonts w:ascii="Arial" w:cs="Arial" w:eastAsia="Arial" w:hAnsi="Arial"/>
                <w:sz w:val="14"/>
                <w:szCs w:val="14"/>
                <w:color w:val="auto"/>
              </w:rPr>
              <w:t xml:space="preserve">private REIT shareholders) </w:t>
            </w:r>
            <w:r>
              <w:rPr>
                <w:rFonts w:ascii="Arial" w:cs="Arial" w:eastAsia="Arial" w:hAnsi="Arial"/>
                <w:sz w:val="9"/>
                <w:szCs w:val="9"/>
                <w:color w:val="auto"/>
              </w:rPr>
              <w:t>2</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140" w:type="dxa"/>
            <w:vAlign w:val="bottom"/>
          </w:tcPr>
          <w:p>
            <w:pPr>
              <w:ind w:left="520"/>
              <w:spacing w:after="0" w:line="157" w:lineRule="exact"/>
              <w:rPr>
                <w:sz w:val="20"/>
                <w:szCs w:val="20"/>
                <w:color w:val="auto"/>
              </w:rPr>
            </w:pPr>
            <w:r>
              <w:rPr>
                <w:rFonts w:ascii="Arial" w:cs="Arial" w:eastAsia="Arial" w:hAnsi="Arial"/>
                <w:sz w:val="14"/>
                <w:szCs w:val="14"/>
                <w:color w:val="auto"/>
              </w:rPr>
              <w:t>Partners’ share of NOI from non Same Properties from consolidated joint ventures (excluding termination income and</w:t>
            </w:r>
          </w:p>
        </w:tc>
        <w:tc>
          <w:tcPr>
            <w:tcW w:w="24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4,442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140" w:type="dxa"/>
            <w:vAlign w:val="bottom"/>
          </w:tcPr>
          <w:p>
            <w:pPr>
              <w:ind w:left="680"/>
              <w:spacing w:after="0"/>
              <w:rPr>
                <w:sz w:val="20"/>
                <w:szCs w:val="20"/>
                <w:color w:val="auto"/>
              </w:rPr>
            </w:pPr>
            <w:r>
              <w:rPr>
                <w:rFonts w:ascii="Arial" w:cs="Arial" w:eastAsia="Arial" w:hAnsi="Arial"/>
                <w:sz w:val="14"/>
                <w:szCs w:val="14"/>
                <w:color w:val="auto"/>
              </w:rPr>
              <w:t xml:space="preserve">after income allocation to private REIT shareholders) </w:t>
            </w:r>
            <w:r>
              <w:rPr>
                <w:rFonts w:ascii="Arial" w:cs="Arial" w:eastAsia="Arial" w:hAnsi="Arial"/>
                <w:sz w:val="9"/>
                <w:szCs w:val="9"/>
                <w:color w:val="auto"/>
              </w:rPr>
              <w:t>3</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from unconsolidated joint ventures (excluding termination income)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30,534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31,842</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from non Same Properties from unconsolidated joint ventures (excluding termination 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Same Property NOI (excluding termination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489,586</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481,249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7" w:lineRule="exact"/>
        <w:rPr>
          <w:sz w:val="20"/>
          <w:szCs w:val="20"/>
          <w:color w:val="auto"/>
        </w:rPr>
      </w:pPr>
    </w:p>
    <w:p>
      <w:pPr>
        <w:ind w:left="80" w:hanging="72"/>
        <w:spacing w:after="0"/>
        <w:tabs>
          <w:tab w:leader="none" w:pos="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2025, see page 65.</w:t>
      </w:r>
    </w:p>
    <w:p>
      <w:pPr>
        <w:ind w:left="80" w:hanging="72"/>
        <w:spacing w:after="0" w:line="222" w:lineRule="auto"/>
        <w:tabs>
          <w:tab w:leader="none" w:pos="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2025, see pages 62-63.</w:t>
      </w:r>
    </w:p>
    <w:p>
      <w:pPr>
        <w:spacing w:after="0" w:line="32" w:lineRule="exact"/>
        <w:rPr>
          <w:sz w:val="20"/>
          <w:szCs w:val="20"/>
          <w:color w:val="auto"/>
        </w:rPr>
      </w:pPr>
    </w:p>
    <w:p>
      <w:pPr>
        <w:ind w:left="80" w:right="320" w:hanging="72"/>
        <w:spacing w:after="0" w:line="226" w:lineRule="auto"/>
        <w:tabs>
          <w:tab w:leader="none" w:pos="78"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Pages 21-24 indicate by footnote the properties that are not included as part of Same Property NOI. In addition, Same Properties exclude properties that were sold prior to September 30, 2025 and therefore are no longer a part of the Company’s property portfolio.</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279" w:right="339" w:bottom="1440" w:gutter="0" w:footer="0" w:header="0"/>
          <w:type w:val="continuous"/>
        </w:sectPr>
      </w:pPr>
    </w:p>
    <w:bookmarkStart w:id="17" w:name="page18"/>
    <w:bookmarkEnd w:id="17"/>
    <w:p>
      <w:pPr>
        <w:ind w:left="10680"/>
        <w:spacing w:after="0"/>
        <w:rPr>
          <w:sz w:val="20"/>
          <w:szCs w:val="20"/>
          <w:color w:val="auto"/>
        </w:rPr>
      </w:pPr>
      <w:r>
        <w:rPr>
          <w:rFonts w:ascii="Arial" w:cs="Arial" w:eastAsia="Arial" w:hAnsi="Arial"/>
          <w:sz w:val="14"/>
          <w:szCs w:val="14"/>
          <w:color w:val="auto"/>
        </w:rPr>
        <w:t>Q3 2025</w:t>
      </w:r>
    </w:p>
    <w:p>
      <w:pPr>
        <w:spacing w:after="0" w:line="55" w:lineRule="exact"/>
        <w:rPr>
          <w:sz w:val="20"/>
          <w:szCs w:val="20"/>
          <w:color w:val="auto"/>
        </w:rPr>
      </w:pPr>
    </w:p>
    <w:p>
      <w:pPr>
        <w:jc w:val="right"/>
        <w:ind w:left="3460" w:right="20"/>
        <w:spacing w:after="0" w:line="294" w:lineRule="auto"/>
        <w:rPr>
          <w:sz w:val="20"/>
          <w:szCs w:val="20"/>
          <w:color w:val="auto"/>
        </w:rPr>
      </w:pPr>
      <w:r>
        <w:rPr>
          <w:rFonts w:ascii="Arial" w:cs="Arial" w:eastAsia="Arial" w:hAnsi="Arial"/>
          <w:sz w:val="14"/>
          <w:szCs w:val="14"/>
          <w:b w:val="1"/>
          <w:bCs w:val="1"/>
          <w:color w:val="00497F"/>
        </w:rPr>
        <w:t>Reconciliation of net income attributable to BXP, Inc. to BXP’s Share of same property net operating income (NOI) -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-243840</wp:posOffset>
            </wp:positionV>
            <wp:extent cx="25717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30-Sep-25</w:t>
            </w:r>
          </w:p>
        </w:tc>
        <w:tc>
          <w:tcPr>
            <w:tcW w:w="240" w:type="dxa"/>
            <w:vAlign w:val="bottom"/>
          </w:tcPr>
          <w:p>
            <w:pPr>
              <w:spacing w:after="0"/>
              <w:rPr>
                <w:sz w:val="16"/>
                <w:szCs w:val="16"/>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30-Sep-24</w:t>
            </w:r>
          </w:p>
        </w:tc>
        <w:tc>
          <w:tcPr>
            <w:tcW w:w="0" w:type="dxa"/>
            <w:vAlign w:val="bottom"/>
          </w:tcPr>
          <w:p>
            <w:pPr>
              <w:spacing w:after="0"/>
              <w:rPr>
                <w:sz w:val="1"/>
                <w:szCs w:val="1"/>
                <w:color w:val="auto"/>
              </w:rPr>
            </w:pPr>
          </w:p>
        </w:tc>
      </w:tr>
      <w:tr>
        <w:trPr>
          <w:trHeight w:val="190"/>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(121,712)</w:t>
            </w: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83,628</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(12,981)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9,587</w:t>
            </w:r>
          </w:p>
        </w:tc>
        <w:tc>
          <w:tcPr>
            <w:tcW w:w="0" w:type="dxa"/>
            <w:vAlign w:val="bottom"/>
          </w:tcPr>
          <w:p>
            <w:pPr>
              <w:spacing w:after="0"/>
              <w:rPr>
                <w:sz w:val="1"/>
                <w:szCs w:val="1"/>
                <w:color w:val="auto"/>
              </w:rPr>
            </w:pPr>
          </w:p>
        </w:tc>
      </w:tr>
      <w:tr>
        <w:trPr>
          <w:trHeight w:val="204"/>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17,853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15,237</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(116,840)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108,452</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164,299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163,194</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Impairment losses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68,901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Loss from unconsolidated joint ventures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148,329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7,011</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236,147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222,890</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Transaction costs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Payroll and related costs from management services contracts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3,649</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General and administrative expense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36,188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33,352</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Interest and other income (loss)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7,620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14,430</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Unrealized gain on non-real estate investments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Gains from investments in securities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2,400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1,932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3"/>
        </w:trPr>
        <w:tc>
          <w:tcPr>
            <w:tcW w:w="8140" w:type="dxa"/>
            <w:vAlign w:val="bottom"/>
          </w:tcPr>
          <w:p>
            <w:pPr>
              <w:ind w:left="52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3,649</w:t>
            </w:r>
          </w:p>
        </w:tc>
        <w:tc>
          <w:tcPr>
            <w:tcW w:w="0" w:type="dxa"/>
            <w:vAlign w:val="bottom"/>
          </w:tcPr>
          <w:p>
            <w:pPr>
              <w:spacing w:after="0"/>
              <w:rPr>
                <w:sz w:val="1"/>
                <w:szCs w:val="1"/>
                <w:color w:val="auto"/>
              </w:rPr>
            </w:pPr>
          </w:p>
        </w:tc>
      </w:tr>
      <w:tr>
        <w:trPr>
          <w:trHeight w:val="204"/>
        </w:trPr>
        <w:tc>
          <w:tcPr>
            <w:tcW w:w="8140" w:type="dxa"/>
            <w:vAlign w:val="bottom"/>
          </w:tcPr>
          <w:p>
            <w:pPr>
              <w:ind w:left="520"/>
              <w:spacing w:after="0"/>
              <w:rPr>
                <w:sz w:val="20"/>
                <w:szCs w:val="20"/>
                <w:color w:val="auto"/>
              </w:rPr>
            </w:pPr>
            <w:r>
              <w:rPr>
                <w:rFonts w:ascii="Arial" w:cs="Arial" w:eastAsia="Arial" w:hAnsi="Arial"/>
                <w:sz w:val="14"/>
                <w:szCs w:val="14"/>
                <w:color w:val="auto"/>
              </w:rPr>
              <w:t>Development and management services revenue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9,317</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6,770</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517,008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511,078</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480"/>
              <w:spacing w:after="0"/>
              <w:rPr>
                <w:sz w:val="20"/>
                <w:szCs w:val="20"/>
                <w:color w:val="auto"/>
              </w:rPr>
            </w:pPr>
            <w:r>
              <w:rPr>
                <w:rFonts w:ascii="Arial" w:cs="Arial" w:eastAsia="Arial" w:hAnsi="Arial"/>
                <w:sz w:val="14"/>
                <w:szCs w:val="14"/>
                <w:color w:val="auto"/>
              </w:rPr>
              <w:t>Straight-line rent</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30,105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29,578</w:t>
            </w:r>
          </w:p>
        </w:tc>
        <w:tc>
          <w:tcPr>
            <w:tcW w:w="0" w:type="dxa"/>
            <w:vAlign w:val="bottom"/>
          </w:tcPr>
          <w:p>
            <w:pPr>
              <w:spacing w:after="0"/>
              <w:rPr>
                <w:sz w:val="1"/>
                <w:szCs w:val="1"/>
                <w:color w:val="auto"/>
              </w:rPr>
            </w:pPr>
          </w:p>
        </w:tc>
      </w:tr>
      <w:tr>
        <w:trPr>
          <w:trHeight w:val="203"/>
        </w:trPr>
        <w:tc>
          <w:tcPr>
            <w:tcW w:w="8140" w:type="dxa"/>
            <w:vAlign w:val="bottom"/>
          </w:tcPr>
          <w:p>
            <w:pPr>
              <w:ind w:left="480"/>
              <w:spacing w:after="0"/>
              <w:rPr>
                <w:sz w:val="20"/>
                <w:szCs w:val="20"/>
                <w:color w:val="auto"/>
              </w:rPr>
            </w:pPr>
            <w:r>
              <w:rPr>
                <w:rFonts w:ascii="Arial" w:cs="Arial" w:eastAsia="Arial" w:hAnsi="Arial"/>
                <w:sz w:val="14"/>
                <w:szCs w:val="14"/>
                <w:color w:val="auto"/>
              </w:rPr>
              <w:t>Fair value lease revenue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1,906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203"/>
        </w:trPr>
        <w:tc>
          <w:tcPr>
            <w:tcW w:w="8140" w:type="dxa"/>
            <w:vAlign w:val="bottom"/>
          </w:tcPr>
          <w:p>
            <w:pPr>
              <w:ind w:left="480"/>
              <w:spacing w:after="0"/>
              <w:rPr>
                <w:sz w:val="20"/>
                <w:szCs w:val="20"/>
                <w:color w:val="auto"/>
              </w:rPr>
            </w:pPr>
            <w:r>
              <w:rPr>
                <w:rFonts w:ascii="Arial" w:cs="Arial" w:eastAsia="Arial" w:hAnsi="Arial"/>
                <w:sz w:val="14"/>
                <w:szCs w:val="14"/>
                <w:color w:val="auto"/>
              </w:rPr>
              <w:t>Amortization and accretion related to sales type lease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3"/>
        </w:trPr>
        <w:tc>
          <w:tcPr>
            <w:tcW w:w="8140" w:type="dxa"/>
            <w:vAlign w:val="bottom"/>
          </w:tcPr>
          <w:p>
            <w:pPr>
              <w:ind w:left="48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40" w:type="dxa"/>
            <w:vAlign w:val="bottom"/>
          </w:tcPr>
          <w:p>
            <w:pPr>
              <w:ind w:left="480"/>
              <w:spacing w:after="0"/>
              <w:rPr>
                <w:sz w:val="20"/>
                <w:szCs w:val="20"/>
                <w:color w:val="auto"/>
              </w:rPr>
            </w:pPr>
            <w:r>
              <w:rPr>
                <w:rFonts w:ascii="Arial" w:cs="Arial" w:eastAsia="Arial" w:hAnsi="Arial"/>
                <w:sz w:val="14"/>
                <w:szCs w:val="14"/>
                <w:color w:val="auto"/>
              </w:rPr>
              <w:t xml:space="preserve">Straight-line ground rent expense adjustment </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1"/>
        </w:trPr>
        <w:tc>
          <w:tcPr>
            <w:tcW w:w="8140" w:type="dxa"/>
            <w:vAlign w:val="bottom"/>
          </w:tcPr>
          <w:p>
            <w:pPr>
              <w:ind w:left="480"/>
              <w:spacing w:after="0" w:line="201" w:lineRule="exact"/>
              <w:rPr>
                <w:sz w:val="20"/>
                <w:szCs w:val="20"/>
                <w:color w:val="auto"/>
              </w:rPr>
            </w:pPr>
            <w:r>
              <w:rPr>
                <w:rFonts w:ascii="Arial" w:cs="Arial" w:eastAsia="Arial" w:hAnsi="Arial"/>
                <w:sz w:val="14"/>
                <w:szCs w:val="14"/>
                <w:color w:val="auto"/>
              </w:rPr>
              <w:t xml:space="preserve">Lease transaction costs that qualify as rent inducements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5,894</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4,983</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NOI - cash (excluding termination income)</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489,945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473,400</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NOI - cash from non Same Properties (excluding termination 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6,681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5,228</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Same Property NOI - cash (excluding termination income)</w:t>
            </w:r>
          </w:p>
        </w:tc>
        <w:tc>
          <w:tcPr>
            <w:tcW w:w="2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483,264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468,172</w:t>
            </w:r>
          </w:p>
        </w:tc>
        <w:tc>
          <w:tcPr>
            <w:tcW w:w="0" w:type="dxa"/>
            <w:vAlign w:val="bottom"/>
          </w:tcPr>
          <w:p>
            <w:pPr>
              <w:spacing w:after="0"/>
              <w:rPr>
                <w:sz w:val="1"/>
                <w:szCs w:val="1"/>
                <w:color w:val="auto"/>
              </w:rPr>
            </w:pPr>
          </w:p>
        </w:tc>
      </w:tr>
      <w:tr>
        <w:trPr>
          <w:trHeight w:val="203"/>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140" w:type="dxa"/>
            <w:vAlign w:val="bottom"/>
          </w:tcPr>
          <w:p>
            <w:pPr>
              <w:ind w:left="520"/>
              <w:spacing w:after="0" w:line="159" w:lineRule="exact"/>
              <w:rPr>
                <w:sz w:val="20"/>
                <w:szCs w:val="20"/>
                <w:color w:val="auto"/>
              </w:rPr>
            </w:pPr>
            <w:r>
              <w:rPr>
                <w:rFonts w:ascii="Arial" w:cs="Arial" w:eastAsia="Arial" w:hAnsi="Arial"/>
                <w:sz w:val="14"/>
                <w:szCs w:val="14"/>
                <w:color w:val="auto"/>
              </w:rPr>
              <w:t>Partners’ share of NOI - cash from consolidated joint ventures (excluding termination income and after income</w:t>
            </w:r>
          </w:p>
        </w:tc>
        <w:tc>
          <w:tcPr>
            <w:tcW w:w="24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44,504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38,849</w:t>
            </w:r>
          </w:p>
        </w:tc>
        <w:tc>
          <w:tcPr>
            <w:tcW w:w="0" w:type="dxa"/>
            <w:vAlign w:val="bottom"/>
          </w:tcPr>
          <w:p>
            <w:pPr>
              <w:spacing w:after="0"/>
              <w:rPr>
                <w:sz w:val="1"/>
                <w:szCs w:val="1"/>
                <w:color w:val="auto"/>
              </w:rPr>
            </w:pPr>
          </w:p>
        </w:tc>
      </w:tr>
      <w:tr>
        <w:trPr>
          <w:trHeight w:val="205"/>
        </w:trPr>
        <w:tc>
          <w:tcPr>
            <w:tcW w:w="8140" w:type="dxa"/>
            <w:vAlign w:val="bottom"/>
          </w:tcPr>
          <w:p>
            <w:pPr>
              <w:ind w:left="680"/>
              <w:spacing w:after="0" w:line="205" w:lineRule="exact"/>
              <w:rPr>
                <w:sz w:val="20"/>
                <w:szCs w:val="20"/>
                <w:color w:val="auto"/>
              </w:rPr>
            </w:pPr>
            <w:r>
              <w:rPr>
                <w:rFonts w:ascii="Arial" w:cs="Arial" w:eastAsia="Arial" w:hAnsi="Arial"/>
                <w:sz w:val="14"/>
                <w:szCs w:val="14"/>
                <w:color w:val="auto"/>
              </w:rPr>
              <w:t xml:space="preserve">allocation to private REIT shareholders) </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140" w:type="dxa"/>
            <w:vAlign w:val="bottom"/>
          </w:tcPr>
          <w:p>
            <w:pPr>
              <w:ind w:left="520"/>
              <w:spacing w:after="0" w:line="159" w:lineRule="exact"/>
              <w:rPr>
                <w:sz w:val="20"/>
                <w:szCs w:val="20"/>
                <w:color w:val="auto"/>
              </w:rPr>
            </w:pPr>
            <w:r>
              <w:rPr>
                <w:rFonts w:ascii="Arial" w:cs="Arial" w:eastAsia="Arial" w:hAnsi="Arial"/>
                <w:sz w:val="14"/>
                <w:szCs w:val="14"/>
                <w:color w:val="auto"/>
              </w:rPr>
              <w:t>Partners’ share of NOI - cash from non Same Properties from consolidated joint ventures (excluding termination income</w:t>
            </w:r>
          </w:p>
        </w:tc>
        <w:tc>
          <w:tcPr>
            <w:tcW w:w="24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3,143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140" w:type="dxa"/>
            <w:vAlign w:val="bottom"/>
          </w:tcPr>
          <w:p>
            <w:pPr>
              <w:ind w:left="680"/>
              <w:spacing w:after="0" w:line="202" w:lineRule="exact"/>
              <w:rPr>
                <w:sz w:val="20"/>
                <w:szCs w:val="20"/>
                <w:color w:val="auto"/>
              </w:rPr>
            </w:pPr>
            <w:r>
              <w:rPr>
                <w:rFonts w:ascii="Arial" w:cs="Arial" w:eastAsia="Arial" w:hAnsi="Arial"/>
                <w:sz w:val="14"/>
                <w:szCs w:val="14"/>
                <w:color w:val="auto"/>
              </w:rPr>
              <w:t xml:space="preserve">and after income allocation to private REIT shareholders) </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520"/>
              <w:spacing w:after="0" w:line="205" w:lineRule="exact"/>
              <w:rPr>
                <w:sz w:val="20"/>
                <w:szCs w:val="20"/>
                <w:color w:val="auto"/>
              </w:rPr>
            </w:pPr>
            <w:r>
              <w:rPr>
                <w:rFonts w:ascii="Arial" w:cs="Arial" w:eastAsia="Arial" w:hAnsi="Arial"/>
                <w:sz w:val="14"/>
                <w:szCs w:val="14"/>
                <w:color w:val="auto"/>
              </w:rPr>
              <w:t xml:space="preserve">BXP’s share of NOI - cash from unconsolidated joint ventures (excluding termination income) </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27,866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29,568</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140" w:type="dxa"/>
            <w:vAlign w:val="bottom"/>
          </w:tcPr>
          <w:p>
            <w:pPr>
              <w:ind w:left="520"/>
              <w:spacing w:after="0" w:line="159" w:lineRule="exact"/>
              <w:rPr>
                <w:sz w:val="20"/>
                <w:szCs w:val="20"/>
                <w:color w:val="auto"/>
              </w:rPr>
            </w:pPr>
            <w:r>
              <w:rPr>
                <w:rFonts w:ascii="Arial" w:cs="Arial" w:eastAsia="Arial" w:hAnsi="Arial"/>
                <w:sz w:val="14"/>
                <w:szCs w:val="14"/>
                <w:color w:val="auto"/>
              </w:rPr>
              <w:t>BXP’s share of NOI - cash from non Same Properties from unconsolidated joint ventures (excluding termination</w:t>
            </w:r>
          </w:p>
        </w:tc>
        <w:tc>
          <w:tcPr>
            <w:tcW w:w="2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(1,154)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1"/>
        </w:trPr>
        <w:tc>
          <w:tcPr>
            <w:tcW w:w="8140" w:type="dxa"/>
            <w:vAlign w:val="bottom"/>
          </w:tcPr>
          <w:p>
            <w:pPr>
              <w:ind w:left="680"/>
              <w:spacing w:after="0" w:line="201" w:lineRule="exact"/>
              <w:rPr>
                <w:sz w:val="20"/>
                <w:szCs w:val="20"/>
                <w:color w:val="auto"/>
              </w:rPr>
            </w:pPr>
            <w:r>
              <w:rPr>
                <w:rFonts w:ascii="Arial" w:cs="Arial" w:eastAsia="Arial" w:hAnsi="Arial"/>
                <w:sz w:val="14"/>
                <w:szCs w:val="14"/>
                <w:color w:val="auto"/>
              </w:rPr>
              <w:t xml:space="preserve">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Same Property NOI - cash (excluding termination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470,923</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458,834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42" w:lineRule="exact"/>
        <w:rPr>
          <w:sz w:val="20"/>
          <w:szCs w:val="20"/>
          <w:color w:val="auto"/>
        </w:rPr>
      </w:pPr>
    </w:p>
    <w:p>
      <w:pPr>
        <w:ind w:left="80" w:right="160" w:hanging="72"/>
        <w:spacing w:after="0" w:line="253" w:lineRule="auto"/>
        <w:tabs>
          <w:tab w:leader="none" w:pos="78"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 light of the front-ended, uneven rental payments required by the Company’s 99-year ground and air rights lease for the 100 Clarendon Street garage and Back Bay Transit Station in Boston, MA, and to make period-to-period comparisons more meaningful to investors, the adjustment does not include the straight-line impact of approximately $(1,061) and $(44) for the three months ended September 30, 2025 and 2024, respectively. As of September 30, 2025, the Company has remaining lease payments aggregating approximately $29.3 million, all of which it expects to incur by the end of 2027 with no payments thereafter. Under GAAP, the Company recognizes expense of $(111) per quarter on a straight-line basis over the term of the lease. However, unlike more traditional ground and air rights leases, the timing and amounts of the rental payments by the Company correlate to the uneven timing and funding by the Company of capital expenditures related to improvements at Back Bay Transit Station. As a result, the amounts excluded from the adjustment each quarter through 2027 may vary significantly.</w:t>
      </w:r>
    </w:p>
    <w:p>
      <w:pPr>
        <w:spacing w:after="0" w:line="6" w:lineRule="exact"/>
        <w:rPr>
          <w:sz w:val="20"/>
          <w:szCs w:val="20"/>
          <w:color w:val="auto"/>
        </w:rPr>
      </w:pPr>
    </w:p>
    <w:p>
      <w:pPr>
        <w:ind w:left="80" w:right="580" w:hanging="72"/>
        <w:spacing w:after="0" w:line="290" w:lineRule="auto"/>
        <w:tabs>
          <w:tab w:leader="none" w:pos="78" w:val="left"/>
        </w:tabs>
        <w:numPr>
          <w:ilvl w:val="0"/>
          <w:numId w:val="23"/>
        </w:numPr>
        <w:rPr>
          <w:rFonts w:ascii="Arial" w:cs="Arial" w:eastAsia="Arial" w:hAnsi="Arial"/>
          <w:sz w:val="9"/>
          <w:szCs w:val="9"/>
          <w:color w:val="auto"/>
        </w:rPr>
      </w:pPr>
      <w:r>
        <w:rPr>
          <w:rFonts w:ascii="Arial" w:cs="Arial" w:eastAsia="Arial" w:hAnsi="Arial"/>
          <w:sz w:val="14"/>
          <w:szCs w:val="14"/>
          <w:color w:val="auto"/>
        </w:rPr>
        <w:t>Consists of lease transaction costs that qualify as rent inducements in accordance with GAAP. Lease transaction costs are generally included in 2nd generation tenant improvements and leasing commissions in the Company’s FAD calculation on page 8.</w:t>
      </w:r>
    </w:p>
    <w:p>
      <w:pPr>
        <w:spacing w:after="0" w:line="2" w:lineRule="exact"/>
        <w:rPr>
          <w:sz w:val="20"/>
          <w:szCs w:val="20"/>
          <w:color w:val="auto"/>
        </w:rPr>
      </w:pPr>
    </w:p>
    <w:p>
      <w:pPr>
        <w:ind w:left="80" w:right="320" w:hanging="72"/>
        <w:spacing w:after="0" w:line="229" w:lineRule="auto"/>
        <w:tabs>
          <w:tab w:leader="none" w:pos="78"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Pages 21-24 indicate by footnote the properties that are not included as part of Same Property NOI. In addition, Same Properties exclude properties that were sold prior to September 30, 2025 and therefore are no longer a part of the Company’s property portfolio.</w:t>
      </w:r>
    </w:p>
    <w:p>
      <w:pPr>
        <w:ind w:left="80" w:hanging="72"/>
        <w:spacing w:after="0" w:line="238" w:lineRule="auto"/>
        <w:tabs>
          <w:tab w:leader="none" w:pos="8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2025, see page 63.</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For a quantitative reconciliation for the three months ended September 30, 2025, see page 65.</w:t>
      </w:r>
    </w:p>
    <w:p>
      <w:pPr>
        <w:sectPr>
          <w:pgSz w:w="11900" w:h="16838" w:orient="portrait"/>
          <w:cols w:equalWidth="0" w:num="1">
            <w:col w:w="11240"/>
          </w:cols>
          <w:pgMar w:left="320" w:top="319" w:right="339" w:bottom="1440" w:gutter="0" w:footer="0" w:header="0"/>
        </w:sectPr>
      </w:pPr>
    </w:p>
    <w:p>
      <w:pPr>
        <w:spacing w:after="0" w:line="17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319" w:right="339" w:bottom="1440" w:gutter="0" w:footer="0" w:header="0"/>
          <w:type w:val="continuous"/>
        </w:sectPr>
      </w:pPr>
    </w:p>
    <w:bookmarkStart w:id="18" w:name="page19"/>
    <w:bookmarkEnd w:id="18"/>
    <w:p>
      <w:pPr>
        <w:jc w:val="right"/>
        <w:ind w:right="6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-69850</wp:posOffset>
            </wp:positionV>
            <wp:extent cx="25717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00497F"/>
        </w:rPr>
        <w:t>Same property net operating income (NOI)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32385</wp:posOffset>
            </wp:positionV>
            <wp:extent cx="7071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3"/>
                <w:szCs w:val="13"/>
                <w:b w:val="1"/>
                <w:bCs w:val="1"/>
                <w:color w:val="auto"/>
              </w:rPr>
              <w:t xml:space="preserve">Office </w:t>
            </w:r>
            <w:r>
              <w:rPr>
                <w:rFonts w:ascii="Arial" w:cs="Arial" w:eastAsia="Arial" w:hAnsi="Arial"/>
                <w:sz w:val="17"/>
                <w:szCs w:val="17"/>
                <w:b w:val="1"/>
                <w:bCs w:val="1"/>
                <w:color w:val="auto"/>
                <w:vertAlign w:val="superscript"/>
              </w:rPr>
              <w:t>1</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3"/>
                <w:szCs w:val="13"/>
                <w:b w:val="1"/>
                <w:bCs w:val="1"/>
                <w:color w:val="auto"/>
              </w:rPr>
              <w:t>Hotel &amp; Residential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6"/>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30-Sep-25</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30-Sep-24</w:t>
            </w: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30-Sep-25</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6"/>
        </w:trPr>
        <w:tc>
          <w:tcPr>
            <w:tcW w:w="3240" w:type="dxa"/>
            <w:vAlign w:val="bottom"/>
          </w:tcPr>
          <w:p>
            <w:pPr>
              <w:spacing w:after="0" w:line="186"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815,032</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803,593</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26,007</w:t>
            </w: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27,199</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5,140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line="190" w:lineRule="exact"/>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813,791</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798,453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15,338</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1.9 %</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26,007</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27,199</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(1,192)</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317,950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315,681</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2,269</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0.7 %</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15,821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88"/>
        </w:trPr>
        <w:tc>
          <w:tcPr>
            <w:tcW w:w="3240" w:type="dxa"/>
            <w:vAlign w:val="bottom"/>
          </w:tcPr>
          <w:p>
            <w:pPr>
              <w:spacing w:after="0" w:line="189" w:lineRule="exact"/>
              <w:rPr>
                <w:sz w:val="20"/>
                <w:szCs w:val="20"/>
                <w:color w:val="auto"/>
              </w:rPr>
            </w:pPr>
            <w:r>
              <w:rPr>
                <w:rFonts w:ascii="Arial" w:cs="Arial" w:eastAsia="Arial" w:hAnsi="Arial"/>
                <w:sz w:val="13"/>
                <w:szCs w:val="13"/>
                <w:color w:val="auto"/>
              </w:rPr>
              <w:t xml:space="preserve">NOI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495,841</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482,772</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13,069</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2.7 %</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10,284</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11,378</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(1,094)</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813,791</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798,453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15,338</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1.9 %</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26,007</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27,199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(1,192)</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Less: Straight-line rent and fair value lease revenue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40"/>
              <w:spacing w:after="0" w:line="135" w:lineRule="exact"/>
              <w:rPr>
                <w:sz w:val="20"/>
                <w:szCs w:val="20"/>
                <w:color w:val="auto"/>
              </w:rPr>
            </w:pPr>
            <w:r>
              <w:rPr>
                <w:rFonts w:ascii="Arial" w:cs="Arial" w:eastAsia="Arial" w:hAnsi="Arial"/>
                <w:sz w:val="13"/>
                <w:szCs w:val="13"/>
                <w:color w:val="auto"/>
              </w:rPr>
              <w:t>and amortization and accretion from sales-type</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29,149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31,399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(2,250)</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137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6"/>
        </w:trPr>
        <w:tc>
          <w:tcPr>
            <w:tcW w:w="3240" w:type="dxa"/>
            <w:vAlign w:val="bottom"/>
          </w:tcPr>
          <w:p>
            <w:pPr>
              <w:ind w:left="340"/>
              <w:spacing w:after="0"/>
              <w:rPr>
                <w:sz w:val="20"/>
                <w:szCs w:val="20"/>
                <w:color w:val="auto"/>
              </w:rPr>
            </w:pPr>
            <w:r>
              <w:rPr>
                <w:rFonts w:ascii="Arial" w:cs="Arial" w:eastAsia="Arial" w:hAnsi="Arial"/>
                <w:sz w:val="13"/>
                <w:szCs w:val="13"/>
                <w:color w:val="auto"/>
              </w:rPr>
              <w:t>lease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8" w:lineRule="exact"/>
              <w:rPr>
                <w:sz w:val="20"/>
                <w:szCs w:val="20"/>
                <w:color w:val="auto"/>
              </w:rPr>
            </w:pPr>
            <w:r>
              <w:rPr>
                <w:rFonts w:ascii="Arial" w:cs="Arial" w:eastAsia="Arial" w:hAnsi="Arial"/>
                <w:sz w:val="13"/>
                <w:szCs w:val="13"/>
                <w:color w:val="auto"/>
              </w:rPr>
              <w:t>Add: Lease transaction costs that qualify as rent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5,745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4,834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911</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18.8 %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8"/>
        </w:trPr>
        <w:tc>
          <w:tcPr>
            <w:tcW w:w="324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inducements </w:t>
            </w:r>
            <w:r>
              <w:rPr>
                <w:rFonts w:ascii="Arial" w:cs="Arial" w:eastAsia="Arial" w:hAnsi="Arial"/>
                <w:sz w:val="17"/>
                <w:szCs w:val="17"/>
                <w:color w:val="auto"/>
                <w:vertAlign w:val="superscript"/>
              </w:rPr>
              <w:t>4</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40" w:type="dxa"/>
            <w:vAlign w:val="bottom"/>
          </w:tcPr>
          <w:p>
            <w:pPr>
              <w:spacing w:after="0"/>
              <w:rPr>
                <w:sz w:val="20"/>
                <w:szCs w:val="20"/>
                <w:color w:val="auto"/>
              </w:rPr>
            </w:pPr>
            <w:r>
              <w:rPr>
                <w:rFonts w:ascii="Arial" w:cs="Arial" w:eastAsia="Arial" w:hAnsi="Arial"/>
                <w:sz w:val="13"/>
                <w:szCs w:val="13"/>
                <w:color w:val="auto"/>
              </w:rPr>
              <w:t>Subtotal</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790,387</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771,888</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18,499</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2.4 %</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26,019</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27,201</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(1,182)</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317,950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315,681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2,269</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0.7 %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15,723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15,821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1"/>
        </w:trPr>
        <w:tc>
          <w:tcPr>
            <w:tcW w:w="3240" w:type="dxa"/>
            <w:vAlign w:val="bottom"/>
          </w:tcPr>
          <w:p>
            <w:pPr>
              <w:spacing w:after="0"/>
              <w:rPr>
                <w:sz w:val="20"/>
                <w:szCs w:val="20"/>
                <w:color w:val="auto"/>
              </w:rPr>
            </w:pPr>
            <w:r>
              <w:rPr>
                <w:rFonts w:ascii="Arial" w:cs="Arial" w:eastAsia="Arial" w:hAnsi="Arial"/>
                <w:sz w:val="13"/>
                <w:szCs w:val="13"/>
                <w:color w:val="auto"/>
              </w:rPr>
              <w:t xml:space="preserve">Add: Straight-line ground rent expense </w:t>
            </w:r>
            <w:r>
              <w:rPr>
                <w:rFonts w:ascii="Arial" w:cs="Arial" w:eastAsia="Arial" w:hAnsi="Arial"/>
                <w:sz w:val="17"/>
                <w:szCs w:val="17"/>
                <w:color w:val="auto"/>
                <w:vertAlign w:val="superscript"/>
              </w:rPr>
              <w:t>5</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3"/>
        </w:trPr>
        <w:tc>
          <w:tcPr>
            <w:tcW w:w="3240" w:type="dxa"/>
            <w:vAlign w:val="bottom"/>
          </w:tcPr>
          <w:p>
            <w:pPr>
              <w:spacing w:after="0" w:line="183" w:lineRule="exact"/>
              <w:rPr>
                <w:sz w:val="20"/>
                <w:szCs w:val="20"/>
                <w:color w:val="auto"/>
              </w:rPr>
            </w:pPr>
            <w:r>
              <w:rPr>
                <w:rFonts w:ascii="Arial" w:cs="Arial" w:eastAsia="Arial" w:hAnsi="Arial"/>
                <w:sz w:val="13"/>
                <w:szCs w:val="13"/>
                <w:color w:val="auto"/>
              </w:rPr>
              <w:t xml:space="preserve">NOI - cash (excluding termination income) </w:t>
            </w:r>
            <w:r>
              <w:rPr>
                <w:rFonts w:ascii="Arial" w:cs="Arial" w:eastAsia="Arial" w:hAnsi="Arial"/>
                <w:sz w:val="17"/>
                <w:szCs w:val="17"/>
                <w:color w:val="auto"/>
                <w:vertAlign w:val="superscript"/>
              </w:rPr>
              <w:t>2, 3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472,968</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456,792</w:t>
            </w:r>
          </w:p>
        </w:tc>
        <w:tc>
          <w:tcPr>
            <w:tcW w:w="1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16,176</w:t>
            </w:r>
          </w:p>
        </w:tc>
        <w:tc>
          <w:tcPr>
            <w:tcW w:w="1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3.5 %</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10,296</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11,380</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(1,084)</w:t>
            </w:r>
          </w:p>
        </w:tc>
        <w:tc>
          <w:tcPr>
            <w:tcW w:w="1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3"/>
                <w:szCs w:val="13"/>
                <w:b w:val="1"/>
                <w:bCs w:val="1"/>
                <w:color w:val="auto"/>
              </w:rPr>
              <w:t xml:space="preserve">Consolidated Total </w:t>
            </w:r>
            <w:r>
              <w:rPr>
                <w:rFonts w:ascii="Arial" w:cs="Arial" w:eastAsia="Arial" w:hAnsi="Arial"/>
                <w:sz w:val="17"/>
                <w:szCs w:val="17"/>
                <w:b w:val="1"/>
                <w:bCs w:val="1"/>
                <w:color w:val="auto"/>
                <w:vertAlign w:val="superscript"/>
              </w:rPr>
              <w:t>1</w:t>
            </w:r>
            <w:r>
              <w:rPr>
                <w:rFonts w:ascii="Arial" w:cs="Arial" w:eastAsia="Arial" w:hAnsi="Arial"/>
                <w:sz w:val="13"/>
                <w:szCs w:val="13"/>
                <w:b w:val="1"/>
                <w:bCs w:val="1"/>
                <w:color w:val="auto"/>
              </w:rPr>
              <w:t xml:space="preserve"> (A)</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9"/>
          </w:tcPr>
          <w:p>
            <w:pPr>
              <w:jc w:val="center"/>
              <w:ind w:right="53"/>
              <w:spacing w:after="0"/>
              <w:rPr>
                <w:sz w:val="20"/>
                <w:szCs w:val="20"/>
                <w:color w:val="auto"/>
              </w:rPr>
            </w:pPr>
            <w:r>
              <w:rPr>
                <w:rFonts w:ascii="Arial" w:cs="Arial" w:eastAsia="Arial" w:hAnsi="Arial"/>
                <w:sz w:val="13"/>
                <w:szCs w:val="13"/>
                <w:b w:val="1"/>
                <w:bCs w:val="1"/>
                <w:color w:val="auto"/>
              </w:rPr>
              <w:t>BXP’s share of Unconsolidated Joint Ventures (B)</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6"/>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5"/>
                <w:szCs w:val="15"/>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30-Sep-25</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30-Sep-24</w:t>
            </w: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30-Sep-25</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6"/>
        </w:trPr>
        <w:tc>
          <w:tcPr>
            <w:tcW w:w="3240" w:type="dxa"/>
            <w:vAlign w:val="bottom"/>
          </w:tcPr>
          <w:p>
            <w:pPr>
              <w:spacing w:after="0" w:line="186"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841,039</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830,792</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51,833</w:t>
            </w: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53,878</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line="190" w:lineRule="exact"/>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839,798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825,652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14,146</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51,692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53,801</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(2,109)</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333,673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331,502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2,171</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0.7 %</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21,169</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22,233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88"/>
        </w:trPr>
        <w:tc>
          <w:tcPr>
            <w:tcW w:w="3240" w:type="dxa"/>
            <w:vAlign w:val="bottom"/>
          </w:tcPr>
          <w:p>
            <w:pPr>
              <w:spacing w:after="0" w:line="189" w:lineRule="exact"/>
              <w:rPr>
                <w:sz w:val="20"/>
                <w:szCs w:val="20"/>
                <w:color w:val="auto"/>
              </w:rPr>
            </w:pPr>
            <w:r>
              <w:rPr>
                <w:rFonts w:ascii="Arial" w:cs="Arial" w:eastAsia="Arial" w:hAnsi="Arial"/>
                <w:sz w:val="13"/>
                <w:szCs w:val="13"/>
                <w:color w:val="auto"/>
              </w:rPr>
              <w:t xml:space="preserve">NOI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506,125</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494,150</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11,975</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2.4 %</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30,523</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31,568</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839,798</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825,652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14,146</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1.7 %</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51,692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53,801</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(2,109)</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Less: Straight-line rent and fair value lease revenue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40"/>
              <w:spacing w:after="0" w:line="135" w:lineRule="exact"/>
              <w:rPr>
                <w:sz w:val="20"/>
                <w:szCs w:val="20"/>
                <w:color w:val="auto"/>
              </w:rPr>
            </w:pPr>
            <w:r>
              <w:rPr>
                <w:rFonts w:ascii="Arial" w:cs="Arial" w:eastAsia="Arial" w:hAnsi="Arial"/>
                <w:sz w:val="13"/>
                <w:szCs w:val="13"/>
                <w:color w:val="auto"/>
              </w:rPr>
              <w:t>and amortization and accretion from sales-type</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29,286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31,546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(2,260)</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1,626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2,195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(569)</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76"/>
        </w:trPr>
        <w:tc>
          <w:tcPr>
            <w:tcW w:w="3240" w:type="dxa"/>
            <w:vAlign w:val="bottom"/>
          </w:tcPr>
          <w:p>
            <w:pPr>
              <w:ind w:left="340"/>
              <w:spacing w:after="0"/>
              <w:rPr>
                <w:sz w:val="20"/>
                <w:szCs w:val="20"/>
                <w:color w:val="auto"/>
              </w:rPr>
            </w:pPr>
            <w:r>
              <w:rPr>
                <w:rFonts w:ascii="Arial" w:cs="Arial" w:eastAsia="Arial" w:hAnsi="Arial"/>
                <w:sz w:val="13"/>
                <w:szCs w:val="13"/>
                <w:color w:val="auto"/>
              </w:rPr>
              <w:t>lease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8" w:lineRule="exact"/>
              <w:rPr>
                <w:sz w:val="20"/>
                <w:szCs w:val="20"/>
                <w:color w:val="auto"/>
              </w:rPr>
            </w:pPr>
            <w:r>
              <w:rPr>
                <w:rFonts w:ascii="Arial" w:cs="Arial" w:eastAsia="Arial" w:hAnsi="Arial"/>
                <w:sz w:val="13"/>
                <w:szCs w:val="13"/>
                <w:color w:val="auto"/>
              </w:rPr>
              <w:t>Add: Lease transaction costs that qualify as rent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5,894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4,983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911</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18.3 %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8"/>
        </w:trPr>
        <w:tc>
          <w:tcPr>
            <w:tcW w:w="324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inducements </w:t>
            </w:r>
            <w:r>
              <w:rPr>
                <w:rFonts w:ascii="Arial" w:cs="Arial" w:eastAsia="Arial" w:hAnsi="Arial"/>
                <w:sz w:val="17"/>
                <w:szCs w:val="17"/>
                <w:color w:val="auto"/>
                <w:vertAlign w:val="superscript"/>
              </w:rPr>
              <w:t>4</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40" w:type="dxa"/>
            <w:vAlign w:val="bottom"/>
          </w:tcPr>
          <w:p>
            <w:pPr>
              <w:spacing w:after="0"/>
              <w:rPr>
                <w:sz w:val="20"/>
                <w:szCs w:val="20"/>
                <w:color w:val="auto"/>
              </w:rPr>
            </w:pPr>
            <w:r>
              <w:rPr>
                <w:rFonts w:ascii="Arial" w:cs="Arial" w:eastAsia="Arial" w:hAnsi="Arial"/>
                <w:sz w:val="13"/>
                <w:szCs w:val="13"/>
                <w:color w:val="auto"/>
              </w:rPr>
              <w:t>Subtotal</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816,406</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799,089</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17,317</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2.2 %</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50,066</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51,606</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(1,540)</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333,673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331,502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2,171</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0.7 %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21,169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22,233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(1,064)</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01"/>
        </w:trPr>
        <w:tc>
          <w:tcPr>
            <w:tcW w:w="3240" w:type="dxa"/>
            <w:vAlign w:val="bottom"/>
          </w:tcPr>
          <w:p>
            <w:pPr>
              <w:spacing w:after="0"/>
              <w:rPr>
                <w:sz w:val="20"/>
                <w:szCs w:val="20"/>
                <w:color w:val="auto"/>
              </w:rPr>
            </w:pPr>
            <w:r>
              <w:rPr>
                <w:rFonts w:ascii="Arial" w:cs="Arial" w:eastAsia="Arial" w:hAnsi="Arial"/>
                <w:sz w:val="13"/>
                <w:szCs w:val="13"/>
                <w:color w:val="auto"/>
              </w:rPr>
              <w:t xml:space="preserve">Add: Straight-line ground rent expense </w:t>
            </w:r>
            <w:r>
              <w:rPr>
                <w:rFonts w:ascii="Arial" w:cs="Arial" w:eastAsia="Arial" w:hAnsi="Arial"/>
                <w:sz w:val="17"/>
                <w:szCs w:val="17"/>
                <w:color w:val="auto"/>
                <w:vertAlign w:val="superscript"/>
              </w:rPr>
              <w:t>5</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83"/>
        </w:trPr>
        <w:tc>
          <w:tcPr>
            <w:tcW w:w="3240" w:type="dxa"/>
            <w:vAlign w:val="bottom"/>
          </w:tcPr>
          <w:p>
            <w:pPr>
              <w:spacing w:after="0" w:line="183" w:lineRule="exact"/>
              <w:rPr>
                <w:sz w:val="20"/>
                <w:szCs w:val="20"/>
                <w:color w:val="auto"/>
              </w:rPr>
            </w:pPr>
            <w:r>
              <w:rPr>
                <w:rFonts w:ascii="Arial" w:cs="Arial" w:eastAsia="Arial" w:hAnsi="Arial"/>
                <w:sz w:val="13"/>
                <w:szCs w:val="13"/>
                <w:color w:val="auto"/>
              </w:rPr>
              <w:t xml:space="preserve">NOI - cash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483,264</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468,172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15,092</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3.2 %</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29,020</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29,511</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11"/>
          </w:tcPr>
          <w:p>
            <w:pPr>
              <w:ind w:left="200"/>
              <w:spacing w:after="0"/>
              <w:rPr>
                <w:sz w:val="20"/>
                <w:szCs w:val="20"/>
                <w:color w:val="auto"/>
              </w:rPr>
            </w:pPr>
            <w:r>
              <w:rPr>
                <w:rFonts w:ascii="Arial" w:cs="Arial" w:eastAsia="Arial" w:hAnsi="Arial"/>
                <w:sz w:val="13"/>
                <w:szCs w:val="13"/>
                <w:b w:val="1"/>
                <w:bCs w:val="1"/>
                <w:color w:val="auto"/>
              </w:rPr>
              <w:t>Partners’ share of Consolidated Joint Ventures (C)</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8"/>
              </w:rPr>
              <w:t xml:space="preserve">BXP’s Share </w:t>
            </w:r>
            <w:r>
              <w:rPr>
                <w:rFonts w:ascii="Arial" w:cs="Arial" w:eastAsia="Arial" w:hAnsi="Arial"/>
                <w:sz w:val="17"/>
                <w:szCs w:val="17"/>
                <w:b w:val="1"/>
                <w:bCs w:val="1"/>
                <w:color w:val="auto"/>
                <w:w w:val="98"/>
                <w:vertAlign w:val="superscript"/>
              </w:rPr>
              <w:t>2, 6</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6"/>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2"/>
              </w:rPr>
              <w:t>$</w:t>
            </w: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30-Sep-25</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30-Sep-24</w:t>
            </w: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30-Sep-25</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30-Sep-24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6"/>
        </w:trPr>
        <w:tc>
          <w:tcPr>
            <w:tcW w:w="3240" w:type="dxa"/>
            <w:vAlign w:val="bottom"/>
          </w:tcPr>
          <w:p>
            <w:pPr>
              <w:spacing w:after="0" w:line="186"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82,803</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78,919</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810,069</w:t>
            </w: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805,751</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1,382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5,199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line="190" w:lineRule="exact"/>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82,803</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78,901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3,902</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4.9 %</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808,687</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800,552</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8,135</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35,741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34,432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1,309</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3.8 %</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319,101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319,303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88"/>
        </w:trPr>
        <w:tc>
          <w:tcPr>
            <w:tcW w:w="3240" w:type="dxa"/>
            <w:vAlign w:val="bottom"/>
          </w:tcPr>
          <w:p>
            <w:pPr>
              <w:spacing w:after="0" w:line="189" w:lineRule="exact"/>
              <w:rPr>
                <w:sz w:val="20"/>
                <w:szCs w:val="20"/>
                <w:color w:val="auto"/>
              </w:rPr>
            </w:pPr>
            <w:r>
              <w:rPr>
                <w:rFonts w:ascii="Arial" w:cs="Arial" w:eastAsia="Arial" w:hAnsi="Arial"/>
                <w:sz w:val="13"/>
                <w:szCs w:val="13"/>
                <w:color w:val="auto"/>
              </w:rPr>
              <w:t xml:space="preserve">NOI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47,062</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44,469</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2,593</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5.8 %</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489,586</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481,249</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8,337</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82,803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78,901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3,902</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4.9 %</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808,687</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800,552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8,135</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Less: Straight-line rent and fair value lease revenue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40"/>
              <w:spacing w:after="0" w:line="135" w:lineRule="exact"/>
              <w:rPr>
                <w:sz w:val="20"/>
                <w:szCs w:val="20"/>
                <w:color w:val="auto"/>
              </w:rPr>
            </w:pPr>
            <w:r>
              <w:rPr>
                <w:rFonts w:ascii="Arial" w:cs="Arial" w:eastAsia="Arial" w:hAnsi="Arial"/>
                <w:sz w:val="13"/>
                <w:szCs w:val="13"/>
                <w:color w:val="auto"/>
              </w:rPr>
              <w:t>and amortization and accretion from sales-type</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6,596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5,533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1,063</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19.2 %</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24,316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28,208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(3,892)</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76"/>
        </w:trPr>
        <w:tc>
          <w:tcPr>
            <w:tcW w:w="3240" w:type="dxa"/>
            <w:vAlign w:val="bottom"/>
          </w:tcPr>
          <w:p>
            <w:pPr>
              <w:ind w:left="340"/>
              <w:spacing w:after="0"/>
              <w:rPr>
                <w:sz w:val="20"/>
                <w:szCs w:val="20"/>
                <w:color w:val="auto"/>
              </w:rPr>
            </w:pPr>
            <w:r>
              <w:rPr>
                <w:rFonts w:ascii="Arial" w:cs="Arial" w:eastAsia="Arial" w:hAnsi="Arial"/>
                <w:sz w:val="13"/>
                <w:szCs w:val="13"/>
                <w:color w:val="auto"/>
              </w:rPr>
              <w:t>lease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8" w:lineRule="exact"/>
              <w:rPr>
                <w:sz w:val="20"/>
                <w:szCs w:val="20"/>
                <w:color w:val="auto"/>
              </w:rPr>
            </w:pPr>
            <w:r>
              <w:rPr>
                <w:rFonts w:ascii="Arial" w:cs="Arial" w:eastAsia="Arial" w:hAnsi="Arial"/>
                <w:sz w:val="13"/>
                <w:szCs w:val="13"/>
                <w:color w:val="auto"/>
              </w:rPr>
              <w:t>Add: Lease transaction costs that qualify as rent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982</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1,128.7 %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4,999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5,070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8"/>
        </w:trPr>
        <w:tc>
          <w:tcPr>
            <w:tcW w:w="324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inducements </w:t>
            </w:r>
            <w:r>
              <w:rPr>
                <w:rFonts w:ascii="Arial" w:cs="Arial" w:eastAsia="Arial" w:hAnsi="Arial"/>
                <w:sz w:val="17"/>
                <w:szCs w:val="17"/>
                <w:color w:val="auto"/>
                <w:vertAlign w:val="superscript"/>
              </w:rPr>
              <w:t>4</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40" w:type="dxa"/>
            <w:vAlign w:val="bottom"/>
          </w:tcPr>
          <w:p>
            <w:pPr>
              <w:spacing w:after="0"/>
              <w:rPr>
                <w:sz w:val="20"/>
                <w:szCs w:val="20"/>
                <w:color w:val="auto"/>
              </w:rPr>
            </w:pPr>
            <w:r>
              <w:rPr>
                <w:rFonts w:ascii="Arial" w:cs="Arial" w:eastAsia="Arial" w:hAnsi="Arial"/>
                <w:sz w:val="13"/>
                <w:szCs w:val="13"/>
                <w:color w:val="auto"/>
              </w:rPr>
              <w:t>Subtotal</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77,102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73,281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3,821</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789,370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777,414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11,956</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35,741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34,432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1,309</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3.8 %</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319,101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319,303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(202)</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1"/>
        </w:trPr>
        <w:tc>
          <w:tcPr>
            <w:tcW w:w="3240" w:type="dxa"/>
            <w:vAlign w:val="bottom"/>
          </w:tcPr>
          <w:p>
            <w:pPr>
              <w:spacing w:after="0"/>
              <w:rPr>
                <w:sz w:val="20"/>
                <w:szCs w:val="20"/>
                <w:color w:val="auto"/>
              </w:rPr>
            </w:pPr>
            <w:r>
              <w:rPr>
                <w:rFonts w:ascii="Arial" w:cs="Arial" w:eastAsia="Arial" w:hAnsi="Arial"/>
                <w:sz w:val="13"/>
                <w:szCs w:val="13"/>
                <w:color w:val="auto"/>
              </w:rPr>
              <w:t xml:space="preserve">Add: Straight-line ground rent expense </w:t>
            </w:r>
            <w:r>
              <w:rPr>
                <w:rFonts w:ascii="Arial" w:cs="Arial" w:eastAsia="Arial" w:hAnsi="Arial"/>
                <w:sz w:val="17"/>
                <w:szCs w:val="17"/>
                <w:color w:val="auto"/>
                <w:vertAlign w:val="superscript"/>
              </w:rPr>
              <w:t>5</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723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83"/>
        </w:trPr>
        <w:tc>
          <w:tcPr>
            <w:tcW w:w="3240" w:type="dxa"/>
            <w:vAlign w:val="bottom"/>
          </w:tcPr>
          <w:p>
            <w:pPr>
              <w:spacing w:after="0" w:line="183" w:lineRule="exact"/>
              <w:rPr>
                <w:sz w:val="20"/>
                <w:szCs w:val="20"/>
                <w:color w:val="auto"/>
              </w:rPr>
            </w:pPr>
            <w:r>
              <w:rPr>
                <w:rFonts w:ascii="Arial" w:cs="Arial" w:eastAsia="Arial" w:hAnsi="Arial"/>
                <w:sz w:val="13"/>
                <w:szCs w:val="13"/>
                <w:color w:val="auto"/>
              </w:rPr>
              <w:t xml:space="preserve">NOI - cash (excluding termination income) </w:t>
            </w:r>
            <w:r>
              <w:rPr>
                <w:rFonts w:ascii="Arial" w:cs="Arial" w:eastAsia="Arial" w:hAnsi="Arial"/>
                <w:sz w:val="17"/>
                <w:szCs w:val="17"/>
                <w:color w:val="auto"/>
                <w:vertAlign w:val="superscript"/>
              </w:rPr>
              <w:t>2, 3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41,361</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38,849</w:t>
            </w:r>
          </w:p>
        </w:tc>
        <w:tc>
          <w:tcPr>
            <w:tcW w:w="1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2,512</w:t>
            </w:r>
          </w:p>
        </w:tc>
        <w:tc>
          <w:tcPr>
            <w:tcW w:w="1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6.5 %</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470,923</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458,834</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12,089</w:t>
            </w:r>
          </w:p>
        </w:tc>
        <w:tc>
          <w:tcPr>
            <w:tcW w:w="1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ind w:left="80" w:hanging="72"/>
        <w:spacing w:after="0" w:line="229" w:lineRule="auto"/>
        <w:tabs>
          <w:tab w:leader="none" w:pos="80" w:val="left"/>
        </w:tabs>
        <w:numPr>
          <w:ilvl w:val="0"/>
          <w:numId w:val="26"/>
        </w:numPr>
        <w:rPr>
          <w:rFonts w:ascii="Arial" w:cs="Arial" w:eastAsia="Arial" w:hAnsi="Arial"/>
          <w:sz w:val="19"/>
          <w:szCs w:val="19"/>
          <w:color w:val="auto"/>
          <w:vertAlign w:val="superscript"/>
        </w:rPr>
      </w:pPr>
      <w:r>
        <w:rPr>
          <w:rFonts w:ascii="Arial" w:cs="Arial" w:eastAsia="Arial" w:hAnsi="Arial"/>
          <w:sz w:val="13"/>
          <w:szCs w:val="13"/>
          <w:color w:val="auto"/>
        </w:rPr>
        <w:t>Includes 100% share of consolidated joint ventures that are a Same Property.</w:t>
      </w:r>
    </w:p>
    <w:p>
      <w:pPr>
        <w:ind w:left="80" w:hanging="72"/>
        <w:spacing w:after="0" w:line="222" w:lineRule="auto"/>
        <w:tabs>
          <w:tab w:leader="none" w:pos="80" w:val="left"/>
        </w:tabs>
        <w:numPr>
          <w:ilvl w:val="0"/>
          <w:numId w:val="27"/>
        </w:numPr>
        <w:rPr>
          <w:rFonts w:ascii="Arial" w:cs="Arial" w:eastAsia="Arial" w:hAnsi="Arial"/>
          <w:sz w:val="19"/>
          <w:szCs w:val="19"/>
          <w:color w:val="auto"/>
          <w:vertAlign w:val="superscript"/>
        </w:rPr>
      </w:pPr>
      <w:r>
        <w:rPr>
          <w:rFonts w:ascii="Arial" w:cs="Arial" w:eastAsia="Arial" w:hAnsi="Arial"/>
          <w:sz w:val="13"/>
          <w:szCs w:val="13"/>
          <w:color w:val="auto"/>
        </w:rPr>
        <w:t>See the Definitions and Reconciliations sections of this Supplemental package starting on page 56.</w:t>
      </w:r>
    </w:p>
    <w:p>
      <w:pPr>
        <w:spacing w:after="0" w:line="23" w:lineRule="exact"/>
        <w:rPr>
          <w:sz w:val="20"/>
          <w:szCs w:val="20"/>
          <w:color w:val="auto"/>
        </w:rPr>
      </w:pPr>
    </w:p>
    <w:p>
      <w:pPr>
        <w:ind w:left="80" w:right="80" w:hanging="72"/>
        <w:spacing w:after="0" w:line="221" w:lineRule="auto"/>
        <w:tabs>
          <w:tab w:leader="none" w:pos="78" w:val="left"/>
        </w:tabs>
        <w:numPr>
          <w:ilvl w:val="0"/>
          <w:numId w:val="28"/>
        </w:numPr>
        <w:rPr>
          <w:rFonts w:ascii="Arial" w:cs="Arial" w:eastAsia="Arial" w:hAnsi="Arial"/>
          <w:sz w:val="18"/>
          <w:szCs w:val="18"/>
          <w:color w:val="auto"/>
          <w:vertAlign w:val="superscript"/>
        </w:rPr>
      </w:pPr>
      <w:r>
        <w:rPr>
          <w:rFonts w:ascii="Arial" w:cs="Arial" w:eastAsia="Arial" w:hAnsi="Arial"/>
          <w:sz w:val="13"/>
          <w:szCs w:val="13"/>
          <w:color w:val="auto"/>
        </w:rPr>
        <w:t>For a quantitative reconciliation of net income (loss) attributable to BXP, Inc. to net operating income (NOI) (excluding termination income) and NOI - cash (excluding termination income), see pages 9-10.</w:t>
      </w:r>
    </w:p>
    <w:p>
      <w:pPr>
        <w:sectPr>
          <w:pgSz w:w="11900" w:h="16838" w:orient="portrait"/>
          <w:cols w:equalWidth="0" w:num="1">
            <w:col w:w="11240"/>
          </w:cols>
          <w:pgMar w:left="320" w:top="279" w:right="339" w:bottom="1440" w:gutter="0" w:footer="0" w:header="0"/>
        </w:sectPr>
      </w:pPr>
    </w:p>
    <w:p>
      <w:pPr>
        <w:spacing w:after="0" w:line="206"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40"/>
          </w:cols>
          <w:pgMar w:left="320" w:top="279" w:right="339" w:bottom="1440" w:gutter="0" w:footer="0" w:header="0"/>
          <w:type w:val="continuous"/>
        </w:sectPr>
      </w:pPr>
    </w:p>
    <w:bookmarkStart w:id="19" w:name="page20"/>
    <w:bookmarkEnd w:id="19"/>
    <w:p>
      <w:pPr>
        <w:jc w:val="right"/>
        <w:ind w:right="6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-69850</wp:posOffset>
            </wp:positionV>
            <wp:extent cx="257175"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00497F"/>
        </w:rPr>
        <w:t>Same property net operating income (NOI) by reportable segment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32385</wp:posOffset>
            </wp:positionV>
            <wp:extent cx="70719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80" w:right="80" w:hanging="72"/>
        <w:spacing w:after="0" w:line="227" w:lineRule="auto"/>
        <w:tabs>
          <w:tab w:leader="none" w:pos="78" w:val="left"/>
        </w:tabs>
        <w:numPr>
          <w:ilvl w:val="0"/>
          <w:numId w:val="29"/>
        </w:numPr>
        <w:rPr>
          <w:rFonts w:ascii="Arial" w:cs="Arial" w:eastAsia="Arial" w:hAnsi="Arial"/>
          <w:sz w:val="18"/>
          <w:szCs w:val="18"/>
          <w:color w:val="auto"/>
          <w:vertAlign w:val="superscript"/>
        </w:rPr>
      </w:pPr>
      <w:r>
        <w:rPr>
          <w:rFonts w:ascii="Arial" w:cs="Arial" w:eastAsia="Arial" w:hAnsi="Arial"/>
          <w:sz w:val="13"/>
          <w:szCs w:val="13"/>
          <w:color w:val="auto"/>
        </w:rPr>
        <w:t>Consists of lease transaction costs that qualify as rent inducements in accordance with GAAP. Lease transaction costs are generally included in 2nd generation tenant improvements and leasing commissions in the Company’s FAD calculation on page 8.</w:t>
      </w:r>
    </w:p>
    <w:p>
      <w:pPr>
        <w:spacing w:after="0" w:line="14" w:lineRule="exact"/>
        <w:rPr>
          <w:sz w:val="20"/>
          <w:szCs w:val="20"/>
          <w:color w:val="auto"/>
        </w:rPr>
      </w:pPr>
    </w:p>
    <w:p>
      <w:pPr>
        <w:ind w:left="80" w:right="140" w:hanging="72"/>
        <w:spacing w:after="0" w:line="227" w:lineRule="auto"/>
        <w:tabs>
          <w:tab w:leader="none" w:pos="78" w:val="left"/>
        </w:tabs>
        <w:numPr>
          <w:ilvl w:val="0"/>
          <w:numId w:val="30"/>
        </w:numPr>
        <w:rPr>
          <w:rFonts w:ascii="Arial" w:cs="Arial" w:eastAsia="Arial" w:hAnsi="Arial"/>
          <w:sz w:val="18"/>
          <w:szCs w:val="18"/>
          <w:color w:val="auto"/>
          <w:vertAlign w:val="superscript"/>
        </w:rPr>
      </w:pPr>
      <w:r>
        <w:rPr>
          <w:rFonts w:ascii="Arial" w:cs="Arial" w:eastAsia="Arial" w:hAnsi="Arial"/>
          <w:sz w:val="13"/>
          <w:szCs w:val="13"/>
          <w:color w:val="auto"/>
        </w:rPr>
        <w:t>Excludes the straight-line impact of approximately $(1,061) and $(44) for the three months ended September 30, 2025 and 2024, respectively, in connection with the Company’s 99-year ground and air rights lease at 100 Clarendon Street garage and Back Bay Transit Station.</w:t>
      </w:r>
    </w:p>
    <w:p>
      <w:pPr>
        <w:ind w:left="80" w:hanging="72"/>
        <w:spacing w:after="0" w:line="223" w:lineRule="auto"/>
        <w:tabs>
          <w:tab w:leader="none" w:pos="80" w:val="left"/>
        </w:tabs>
        <w:numPr>
          <w:ilvl w:val="0"/>
          <w:numId w:val="31"/>
        </w:numPr>
        <w:rPr>
          <w:rFonts w:ascii="Arial" w:cs="Arial" w:eastAsia="Arial" w:hAnsi="Arial"/>
          <w:sz w:val="19"/>
          <w:szCs w:val="19"/>
          <w:color w:val="auto"/>
          <w:vertAlign w:val="superscript"/>
        </w:rPr>
      </w:pPr>
      <w:r>
        <w:rPr>
          <w:rFonts w:ascii="Arial" w:cs="Arial" w:eastAsia="Arial" w:hAnsi="Arial"/>
          <w:sz w:val="13"/>
          <w:szCs w:val="13"/>
          <w:color w:val="auto"/>
        </w:rPr>
        <w:t>BXP’s Share equals (A) + (B) - (C).</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279" w:right="339" w:bottom="1440" w:gutter="0" w:footer="0" w:header="0"/>
        </w:sectPr>
      </w:pPr>
    </w:p>
    <w:bookmarkStart w:id="20" w:name="page21"/>
    <w:bookmarkEnd w:id="20"/>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Capital expenditures, tenant improvement costs and leasing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PSF amounts)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EXPENDITURES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30-Sep-25</w:t>
            </w:r>
          </w:p>
        </w:tc>
        <w:tc>
          <w:tcPr>
            <w:tcW w:w="1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30-Jun-25</w:t>
            </w:r>
          </w:p>
        </w:tc>
      </w:tr>
      <w:tr>
        <w:trPr>
          <w:trHeight w:val="190"/>
        </w:trPr>
        <w:tc>
          <w:tcPr>
            <w:tcW w:w="8740" w:type="dxa"/>
            <w:vAlign w:val="bottom"/>
          </w:tcPr>
          <w:p>
            <w:pPr>
              <w:ind w:left="20"/>
              <w:spacing w:after="0"/>
              <w:rPr>
                <w:sz w:val="20"/>
                <w:szCs w:val="20"/>
                <w:color w:val="auto"/>
              </w:rPr>
            </w:pPr>
            <w:r>
              <w:rPr>
                <w:rFonts w:ascii="Arial" w:cs="Arial" w:eastAsia="Arial" w:hAnsi="Arial"/>
                <w:sz w:val="14"/>
                <w:szCs w:val="14"/>
                <w:color w:val="auto"/>
              </w:rPr>
              <w:t>Maintenance capital expenditures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25,996</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32,934</w:t>
            </w:r>
          </w:p>
        </w:tc>
      </w:tr>
      <w:tr>
        <w:trPr>
          <w:trHeight w:val="203"/>
        </w:trPr>
        <w:tc>
          <w:tcPr>
            <w:tcW w:w="8740" w:type="dxa"/>
            <w:vAlign w:val="bottom"/>
          </w:tcPr>
          <w:p>
            <w:pPr>
              <w:ind w:left="20"/>
              <w:spacing w:after="0"/>
              <w:rPr>
                <w:sz w:val="20"/>
                <w:szCs w:val="20"/>
                <w:color w:val="auto"/>
              </w:rPr>
            </w:pPr>
            <w:r>
              <w:rPr>
                <w:rFonts w:ascii="Arial" w:cs="Arial" w:eastAsia="Arial" w:hAnsi="Arial"/>
                <w:sz w:val="14"/>
                <w:szCs w:val="14"/>
                <w:color w:val="auto"/>
              </w:rPr>
              <w:t>Planned capital expenditures associated with acquisition properties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5,020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5,977</w:t>
            </w:r>
          </w:p>
        </w:tc>
      </w:tr>
      <w:tr>
        <w:trPr>
          <w:trHeight w:val="203"/>
        </w:trPr>
        <w:tc>
          <w:tcPr>
            <w:tcW w:w="8740" w:type="dxa"/>
            <w:vAlign w:val="bottom"/>
          </w:tcPr>
          <w:p>
            <w:pPr>
              <w:ind w:left="20"/>
              <w:spacing w:after="0"/>
              <w:rPr>
                <w:sz w:val="20"/>
                <w:szCs w:val="20"/>
                <w:color w:val="auto"/>
              </w:rPr>
            </w:pPr>
            <w:r>
              <w:rPr>
                <w:rFonts w:ascii="Arial" w:cs="Arial" w:eastAsia="Arial" w:hAnsi="Arial"/>
                <w:sz w:val="14"/>
                <w:szCs w:val="14"/>
                <w:color w:val="auto"/>
              </w:rPr>
              <w:t>Repositioning capital expenditures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13,150</w:t>
            </w:r>
          </w:p>
        </w:tc>
      </w:tr>
      <w:tr>
        <w:trPr>
          <w:trHeight w:val="204"/>
        </w:trPr>
        <w:tc>
          <w:tcPr>
            <w:tcW w:w="8740" w:type="dxa"/>
            <w:vAlign w:val="bottom"/>
          </w:tcPr>
          <w:p>
            <w:pPr>
              <w:ind w:left="20"/>
              <w:spacing w:after="0"/>
              <w:rPr>
                <w:sz w:val="20"/>
                <w:szCs w:val="20"/>
                <w:color w:val="auto"/>
              </w:rPr>
            </w:pPr>
            <w:r>
              <w:rPr>
                <w:rFonts w:ascii="Arial" w:cs="Arial" w:eastAsia="Arial" w:hAnsi="Arial"/>
                <w:sz w:val="14"/>
                <w:szCs w:val="14"/>
                <w:color w:val="auto"/>
              </w:rPr>
              <w:t>Hotel improvements, equipment upgrades and replacements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r>
      <w:tr>
        <w:trPr>
          <w:trHeight w:val="194"/>
        </w:trPr>
        <w:tc>
          <w:tcPr>
            <w:tcW w:w="8740" w:type="dxa"/>
            <w:vAlign w:val="bottom"/>
          </w:tcPr>
          <w:p>
            <w:pPr>
              <w:ind w:left="220"/>
              <w:spacing w:after="0"/>
              <w:rPr>
                <w:sz w:val="20"/>
                <w:szCs w:val="20"/>
                <w:color w:val="auto"/>
              </w:rPr>
            </w:pPr>
            <w:r>
              <w:rPr>
                <w:rFonts w:ascii="Arial" w:cs="Arial" w:eastAsia="Arial" w:hAnsi="Arial"/>
                <w:sz w:val="14"/>
                <w:szCs w:val="14"/>
                <w:color w:val="auto"/>
              </w:rPr>
              <w:t>Subtotal</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42,281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52,920</w:t>
            </w:r>
          </w:p>
        </w:tc>
      </w:tr>
      <w:tr>
        <w:trPr>
          <w:trHeight w:val="203"/>
        </w:trPr>
        <w:tc>
          <w:tcPr>
            <w:tcW w:w="8740" w:type="dxa"/>
            <w:vAlign w:val="bottom"/>
          </w:tcPr>
          <w:p>
            <w:pPr>
              <w:ind w:left="20"/>
              <w:spacing w:after="0"/>
              <w:rPr>
                <w:sz w:val="20"/>
                <w:szCs w:val="20"/>
                <w:color w:val="auto"/>
              </w:rPr>
            </w:pPr>
            <w:r>
              <w:rPr>
                <w:rFonts w:ascii="Arial" w:cs="Arial" w:eastAsia="Arial" w:hAnsi="Arial"/>
                <w:sz w:val="14"/>
                <w:szCs w:val="14"/>
                <w:color w:val="auto"/>
              </w:rPr>
              <w:t>Add: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BXP’s share of maintenance capital expenditures from unconsolidated joint ventures (JVs)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703</w:t>
            </w: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BXP’s share of planned capital expenditures associated with acquisition properties from unconsolidated JVs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BXP’s share of repositioning capital expenditures from unconsolidated JVs</w:t>
            </w:r>
          </w:p>
        </w:tc>
        <w:tc>
          <w:tcPr>
            <w:tcW w:w="16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740" w:type="dxa"/>
            <w:vAlign w:val="bottom"/>
          </w:tcPr>
          <w:p>
            <w:pPr>
              <w:ind w:left="20"/>
              <w:spacing w:after="0"/>
              <w:rPr>
                <w:sz w:val="20"/>
                <w:szCs w:val="20"/>
                <w:color w:val="auto"/>
              </w:rPr>
            </w:pPr>
            <w:r>
              <w:rPr>
                <w:rFonts w:ascii="Arial" w:cs="Arial" w:eastAsia="Arial" w:hAnsi="Arial"/>
                <w:sz w:val="14"/>
                <w:szCs w:val="14"/>
                <w:color w:val="auto"/>
              </w:rPr>
              <w:t>Less: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Partners’ share of maintenance capital expenditures from consolidated JVs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3,426</w:t>
            </w:r>
          </w:p>
        </w:tc>
      </w:tr>
      <w:tr>
        <w:trPr>
          <w:trHeight w:val="203"/>
        </w:trPr>
        <w:tc>
          <w:tcPr>
            <w:tcW w:w="8740" w:type="dxa"/>
            <w:vAlign w:val="bottom"/>
          </w:tcPr>
          <w:p>
            <w:pPr>
              <w:ind w:left="220"/>
              <w:spacing w:after="0"/>
              <w:rPr>
                <w:sz w:val="20"/>
                <w:szCs w:val="20"/>
                <w:color w:val="auto"/>
              </w:rPr>
            </w:pPr>
            <w:r>
              <w:rPr>
                <w:rFonts w:ascii="Arial" w:cs="Arial" w:eastAsia="Arial" w:hAnsi="Arial"/>
                <w:sz w:val="14"/>
                <w:szCs w:val="14"/>
                <w:color w:val="auto"/>
              </w:rPr>
              <w:t>Partners’ share of planned capital expenditures associated with acquisition properties from consolidated JVs</w:t>
            </w:r>
          </w:p>
        </w:tc>
        <w:tc>
          <w:tcPr>
            <w:tcW w:w="16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740" w:type="dxa"/>
            <w:vAlign w:val="bottom"/>
          </w:tcPr>
          <w:p>
            <w:pPr>
              <w:ind w:left="220"/>
              <w:spacing w:after="0"/>
              <w:rPr>
                <w:sz w:val="20"/>
                <w:szCs w:val="20"/>
                <w:color w:val="auto"/>
              </w:rPr>
            </w:pPr>
            <w:r>
              <w:rPr>
                <w:rFonts w:ascii="Arial" w:cs="Arial" w:eastAsia="Arial" w:hAnsi="Arial"/>
                <w:sz w:val="14"/>
                <w:szCs w:val="14"/>
                <w:color w:val="auto"/>
              </w:rPr>
              <w:t>Partners’ share of repositioning capital expenditures from consolidated JVs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0"/>
        </w:trPr>
        <w:tc>
          <w:tcPr>
            <w:tcW w:w="8740" w:type="dxa"/>
            <w:vAlign w:val="bottom"/>
          </w:tcPr>
          <w:p>
            <w:pPr>
              <w:ind w:left="20"/>
              <w:spacing w:after="0"/>
              <w:rPr>
                <w:sz w:val="20"/>
                <w:szCs w:val="20"/>
                <w:color w:val="auto"/>
              </w:rPr>
            </w:pPr>
            <w:r>
              <w:rPr>
                <w:rFonts w:ascii="Arial" w:cs="Arial" w:eastAsia="Arial" w:hAnsi="Arial"/>
                <w:sz w:val="14"/>
                <w:szCs w:val="14"/>
                <w:color w:val="auto"/>
              </w:rPr>
              <w:t xml:space="preserve">BXP’s Share of Capital Expenditures </w:t>
            </w:r>
            <w:r>
              <w:rPr>
                <w:rFonts w:ascii="Arial" w:cs="Arial" w:eastAsia="Arial" w:hAnsi="Arial"/>
                <w:sz w:val="9"/>
                <w:szCs w:val="9"/>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39,740</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50,089</w:t>
            </w:r>
          </w:p>
        </w:tc>
      </w:tr>
      <w:tr>
        <w:trPr>
          <w:trHeight w:val="20"/>
        </w:trPr>
        <w:tc>
          <w:tcPr>
            <w:tcW w:w="8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2nd GENERATION TENANT IMPROVEMENTS AND LEASING COMMISSIONS </w:t>
      </w:r>
      <w:r>
        <w:rPr>
          <w:rFonts w:ascii="Arial" w:cs="Arial" w:eastAsia="Arial" w:hAnsi="Arial"/>
          <w:sz w:val="18"/>
          <w:szCs w:val="18"/>
          <w:b w:val="1"/>
          <w:bCs w:val="1"/>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18415</wp:posOffset>
            </wp:positionV>
            <wp:extent cx="15862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 w:lineRule="exact"/>
        <w:rPr>
          <w:sz w:val="20"/>
          <w:szCs w:val="20"/>
          <w:color w:val="auto"/>
        </w:rPr>
      </w:pPr>
    </w:p>
    <w:p>
      <w:pPr>
        <w:ind w:left="8980"/>
        <w:spacing w:after="0"/>
        <w:tabs>
          <w:tab w:leader="none" w:pos="10320" w:val="left"/>
        </w:tabs>
        <w:rPr>
          <w:sz w:val="20"/>
          <w:szCs w:val="20"/>
          <w:color w:val="auto"/>
        </w:rPr>
      </w:pPr>
      <w:r>
        <w:rPr>
          <w:rFonts w:ascii="Arial" w:cs="Arial" w:eastAsia="Arial" w:hAnsi="Arial"/>
          <w:sz w:val="14"/>
          <w:szCs w:val="14"/>
          <w:b w:val="1"/>
          <w:bCs w:val="1"/>
          <w:color w:val="auto"/>
        </w:rPr>
        <w:t>30-Sep-25</w:t>
      </w:r>
      <w:r>
        <w:rPr>
          <w:sz w:val="20"/>
          <w:szCs w:val="20"/>
          <w:color w:val="auto"/>
        </w:rPr>
        <w:tab/>
      </w:r>
      <w:r>
        <w:rPr>
          <w:rFonts w:ascii="Arial" w:cs="Arial" w:eastAsia="Arial" w:hAnsi="Arial"/>
          <w:sz w:val="14"/>
          <w:szCs w:val="14"/>
          <w:b w:val="1"/>
          <w:bCs w:val="1"/>
          <w:color w:val="auto"/>
        </w:rPr>
        <w:t>30-Jun-25</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720" w:type="dxa"/>
            <w:vAlign w:val="bottom"/>
          </w:tcPr>
          <w:p>
            <w:pPr>
              <w:spacing w:after="0"/>
              <w:rPr>
                <w:sz w:val="20"/>
                <w:szCs w:val="20"/>
                <w:color w:val="auto"/>
              </w:rPr>
            </w:pPr>
            <w:r>
              <w:rPr>
                <w:rFonts w:ascii="Arial" w:cs="Arial" w:eastAsia="Arial" w:hAnsi="Arial"/>
                <w:sz w:val="14"/>
                <w:szCs w:val="14"/>
                <w:color w:val="auto"/>
              </w:rPr>
              <w:t>Square feet</w:t>
            </w:r>
          </w:p>
        </w:tc>
        <w:tc>
          <w:tcPr>
            <w:tcW w:w="3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957,858</w:t>
            </w:r>
          </w:p>
        </w:tc>
        <w:tc>
          <w:tcPr>
            <w:tcW w:w="2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852,284</w:t>
            </w:r>
          </w:p>
        </w:tc>
      </w:tr>
      <w:tr>
        <w:trPr>
          <w:trHeight w:val="198"/>
        </w:trPr>
        <w:tc>
          <w:tcPr>
            <w:tcW w:w="8720" w:type="dxa"/>
            <w:vAlign w:val="bottom"/>
          </w:tcPr>
          <w:p>
            <w:pPr>
              <w:spacing w:after="0"/>
              <w:rPr>
                <w:sz w:val="20"/>
                <w:szCs w:val="20"/>
                <w:color w:val="auto"/>
              </w:rPr>
            </w:pPr>
            <w:r>
              <w:rPr>
                <w:rFonts w:ascii="Arial" w:cs="Arial" w:eastAsia="Arial" w:hAnsi="Arial"/>
                <w:sz w:val="14"/>
                <w:szCs w:val="14"/>
                <w:color w:val="auto"/>
              </w:rPr>
              <w:t>Tenant improvements and lease commissions PSF</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77.47</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spacing w:after="0" w:line="36" w:lineRule="exact"/>
        <w:rPr>
          <w:sz w:val="20"/>
          <w:szCs w:val="20"/>
          <w:color w:val="auto"/>
        </w:rPr>
      </w:pPr>
    </w:p>
    <w:p>
      <w:pPr>
        <w:ind w:left="80" w:hanging="72"/>
        <w:spacing w:after="0"/>
        <w:tabs>
          <w:tab w:leader="none" w:pos="80" w:val="left"/>
        </w:tabs>
        <w:numPr>
          <w:ilvl w:val="0"/>
          <w:numId w:val="32"/>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100% of unconsolidated joint ventures.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265" w:right="339" w:bottom="1440" w:gutter="0" w:footer="0" w:header="0"/>
          <w:type w:val="continuous"/>
        </w:sectPr>
      </w:pPr>
    </w:p>
    <w:bookmarkStart w:id="21" w:name="page22"/>
    <w:bookmarkEnd w:id="21"/>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period from January 1, 2025 through September 30,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BXP’s Share of Investment</w:t>
            </w:r>
          </w:p>
        </w:tc>
        <w:tc>
          <w:tcPr>
            <w:tcW w:w="7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40" w:type="dxa"/>
            <w:vAlign w:val="bottom"/>
            <w:vMerge w:val="restart"/>
          </w:tcPr>
          <w:p>
            <w:pPr>
              <w:spacing w:after="0"/>
              <w:rPr>
                <w:sz w:val="12"/>
                <w:szCs w:val="12"/>
                <w:color w:val="auto"/>
              </w:rPr>
            </w:pPr>
          </w:p>
        </w:tc>
        <w:tc>
          <w:tcPr>
            <w:tcW w:w="12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Location</w:t>
            </w:r>
          </w:p>
        </w:tc>
        <w:tc>
          <w:tcPr>
            <w:tcW w:w="160" w:type="dxa"/>
            <w:vAlign w:val="bottom"/>
            <w:vMerge w:val="restart"/>
          </w:tcPr>
          <w:p>
            <w:pPr>
              <w:spacing w:after="0"/>
              <w:rPr>
                <w:sz w:val="12"/>
                <w:szCs w:val="12"/>
                <w:color w:val="auto"/>
              </w:rPr>
            </w:pPr>
          </w:p>
        </w:tc>
        <w:tc>
          <w:tcPr>
            <w:tcW w:w="14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Date Acquired</w:t>
            </w:r>
          </w:p>
        </w:tc>
        <w:tc>
          <w:tcPr>
            <w:tcW w:w="140" w:type="dxa"/>
            <w:vAlign w:val="bottom"/>
            <w:vMerge w:val="restart"/>
          </w:tcPr>
          <w:p>
            <w:pPr>
              <w:spacing w:after="0"/>
              <w:rPr>
                <w:sz w:val="12"/>
                <w:szCs w:val="12"/>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Square Feet</w:t>
            </w:r>
          </w:p>
        </w:tc>
        <w:tc>
          <w:tcPr>
            <w:tcW w:w="1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Initial</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Anticipated</w:t>
            </w:r>
          </w:p>
        </w:tc>
        <w:tc>
          <w:tcPr>
            <w:tcW w:w="340" w:type="dxa"/>
            <w:vAlign w:val="bottom"/>
          </w:tcPr>
          <w:p>
            <w:pPr>
              <w:spacing w:after="0"/>
              <w:rPr>
                <w:sz w:val="12"/>
                <w:szCs w:val="12"/>
                <w:color w:val="auto"/>
              </w:rPr>
            </w:pPr>
          </w:p>
        </w:tc>
        <w:tc>
          <w:tcPr>
            <w:tcW w:w="7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In-service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6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Future</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Leased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0" w:type="dxa"/>
            <w:vAlign w:val="bottom"/>
          </w:tcPr>
          <w:p>
            <w:pPr>
              <w:ind w:left="20"/>
              <w:spacing w:after="0" w:line="144" w:lineRule="exact"/>
              <w:rPr>
                <w:sz w:val="20"/>
                <w:szCs w:val="20"/>
                <w:color w:val="auto"/>
              </w:rPr>
            </w:pPr>
            <w:r>
              <w:rPr>
                <w:rFonts w:ascii="Arial" w:cs="Arial" w:eastAsia="Arial" w:hAnsi="Arial"/>
                <w:sz w:val="14"/>
                <w:szCs w:val="14"/>
                <w:color w:val="auto"/>
              </w:rPr>
              <w:t>290</w:t>
            </w:r>
          </w:p>
        </w:tc>
        <w:tc>
          <w:tcPr>
            <w:tcW w:w="202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Coles Street (670 Units)</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Jersey City, NJ</w:t>
            </w:r>
          </w:p>
        </w:tc>
        <w:tc>
          <w:tcPr>
            <w:tcW w:w="1600" w:type="dxa"/>
            <w:vAlign w:val="bottom"/>
            <w:gridSpan w:val="2"/>
            <w:vMerge w:val="restart"/>
          </w:tcPr>
          <w:p>
            <w:pPr>
              <w:ind w:left="20"/>
              <w:spacing w:after="0"/>
              <w:rPr>
                <w:sz w:val="20"/>
                <w:szCs w:val="20"/>
                <w:color w:val="auto"/>
              </w:rPr>
            </w:pPr>
            <w:r>
              <w:rPr>
                <w:rFonts w:ascii="Arial" w:cs="Arial" w:eastAsia="Arial" w:hAnsi="Arial"/>
                <w:sz w:val="14"/>
                <w:szCs w:val="14"/>
                <w:color w:val="auto"/>
              </w:rPr>
              <w:t>March 5, 2025</w:t>
            </w: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560,000</w:t>
            </w:r>
          </w:p>
        </w:tc>
        <w:tc>
          <w:tcPr>
            <w:tcW w:w="14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68,700</w:t>
            </w:r>
          </w:p>
        </w:tc>
        <w:tc>
          <w:tcPr>
            <w:tcW w:w="140" w:type="dxa"/>
            <w:vAlign w:val="bottom"/>
          </w:tcPr>
          <w:p>
            <w:pPr>
              <w:spacing w:after="0"/>
              <w:rPr>
                <w:sz w:val="12"/>
                <w:szCs w:val="12"/>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88,700</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300" w:type="dxa"/>
            <w:vAlign w:val="bottom"/>
            <w:gridSpan w:val="3"/>
          </w:tcPr>
          <w:p>
            <w:pPr>
              <w:ind w:left="180"/>
              <w:spacing w:after="0" w:line="205" w:lineRule="exact"/>
              <w:rPr>
                <w:sz w:val="20"/>
                <w:szCs w:val="20"/>
                <w:color w:val="auto"/>
              </w:rPr>
            </w:pPr>
            <w:r>
              <w:rPr>
                <w:rFonts w:ascii="Arial" w:cs="Arial" w:eastAsia="Arial" w:hAnsi="Arial"/>
                <w:sz w:val="14"/>
                <w:szCs w:val="14"/>
                <w:color w:val="auto"/>
              </w:rPr>
              <w:t xml:space="preserve">(19.46% ownership) </w:t>
            </w:r>
            <w:r>
              <w:rPr>
                <w:rFonts w:ascii="Arial" w:cs="Arial" w:eastAsia="Arial" w:hAnsi="Arial"/>
                <w:sz w:val="18"/>
                <w:szCs w:val="18"/>
                <w:color w:val="auto"/>
                <w:vertAlign w:val="superscript"/>
              </w:rPr>
              <w:t>1</w:t>
            </w:r>
          </w:p>
        </w:tc>
        <w:tc>
          <w:tcPr>
            <w:tcW w:w="144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0" w:type="dxa"/>
            <w:vAlign w:val="bottom"/>
          </w:tcPr>
          <w:p>
            <w:pPr>
              <w:ind w:left="20"/>
              <w:spacing w:after="0"/>
              <w:rPr>
                <w:sz w:val="20"/>
                <w:szCs w:val="20"/>
                <w:color w:val="auto"/>
              </w:rPr>
            </w:pPr>
            <w:r>
              <w:rPr>
                <w:rFonts w:ascii="Arial" w:cs="Arial" w:eastAsia="Arial" w:hAnsi="Arial"/>
                <w:sz w:val="14"/>
                <w:szCs w:val="14"/>
                <w:color w:val="auto"/>
              </w:rPr>
              <w:t>343</w:t>
            </w:r>
          </w:p>
        </w:tc>
        <w:tc>
          <w:tcPr>
            <w:tcW w:w="2020" w:type="dxa"/>
            <w:vAlign w:val="bottom"/>
            <w:gridSpan w:val="2"/>
          </w:tcPr>
          <w:p>
            <w:pPr>
              <w:jc w:val="right"/>
              <w:ind w:right="840"/>
              <w:spacing w:after="0"/>
              <w:rPr>
                <w:sz w:val="20"/>
                <w:szCs w:val="20"/>
                <w:color w:val="auto"/>
              </w:rPr>
            </w:pPr>
            <w:r>
              <w:rPr>
                <w:rFonts w:ascii="Arial" w:cs="Arial" w:eastAsia="Arial" w:hAnsi="Arial"/>
                <w:sz w:val="14"/>
                <w:szCs w:val="14"/>
                <w:color w:val="auto"/>
              </w:rPr>
              <w:t xml:space="preserve">Madison Avenue </w:t>
            </w:r>
            <w:r>
              <w:rPr>
                <w:rFonts w:ascii="Arial" w:cs="Arial" w:eastAsia="Arial" w:hAnsi="Arial"/>
                <w:sz w:val="9"/>
                <w:szCs w:val="9"/>
                <w:color w:val="auto"/>
              </w:rPr>
              <w:t>2</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1600" w:type="dxa"/>
            <w:vAlign w:val="bottom"/>
            <w:gridSpan w:val="2"/>
          </w:tcPr>
          <w:p>
            <w:pPr>
              <w:ind w:left="20"/>
              <w:spacing w:after="0"/>
              <w:rPr>
                <w:sz w:val="20"/>
                <w:szCs w:val="20"/>
                <w:color w:val="auto"/>
              </w:rPr>
            </w:pPr>
            <w:r>
              <w:rPr>
                <w:rFonts w:ascii="Arial" w:cs="Arial" w:eastAsia="Arial" w:hAnsi="Arial"/>
                <w:sz w:val="14"/>
                <w:szCs w:val="14"/>
                <w:color w:val="auto"/>
              </w:rPr>
              <w:t>August 27, 2025</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930,000</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43,532</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843,418</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886,950</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2020" w:type="dxa"/>
            <w:vAlign w:val="bottom"/>
            <w:gridSpan w:val="2"/>
          </w:tcPr>
          <w:p>
            <w:pPr>
              <w:jc w:val="right"/>
              <w:ind w:right="840"/>
              <w:spacing w:after="0"/>
              <w:rPr>
                <w:sz w:val="20"/>
                <w:szCs w:val="20"/>
                <w:color w:val="auto"/>
              </w:rPr>
            </w:pPr>
            <w:r>
              <w:rPr>
                <w:rFonts w:ascii="Arial" w:cs="Arial" w:eastAsia="Arial" w:hAnsi="Arial"/>
                <w:sz w:val="14"/>
                <w:szCs w:val="14"/>
                <w:color w:val="auto"/>
              </w:rPr>
              <w:t>Total Acquisitions</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1,490,000</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63,532</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912,118</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975,650</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DISPOSITIONS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BXP’s Share</w:t>
            </w:r>
          </w:p>
        </w:tc>
        <w:tc>
          <w:tcPr>
            <w:tcW w:w="116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BXP’s Share</w:t>
            </w: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BXP’s Share of</w:t>
            </w:r>
          </w:p>
        </w:tc>
        <w:tc>
          <w:tcPr>
            <w:tcW w:w="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60" w:type="dxa"/>
            <w:vAlign w:val="bottom"/>
            <w:vMerge w:val="restart"/>
          </w:tcPr>
          <w:p>
            <w:pPr>
              <w:spacing w:after="0"/>
              <w:rPr>
                <w:sz w:val="11"/>
                <w:szCs w:val="11"/>
                <w:color w:val="auto"/>
              </w:rPr>
            </w:pPr>
          </w:p>
        </w:tc>
        <w:tc>
          <w:tcPr>
            <w:tcW w:w="13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Location</w:t>
            </w:r>
          </w:p>
        </w:tc>
        <w:tc>
          <w:tcPr>
            <w:tcW w:w="160" w:type="dxa"/>
            <w:vAlign w:val="bottom"/>
            <w:vMerge w:val="restart"/>
          </w:tcPr>
          <w:p>
            <w:pPr>
              <w:spacing w:after="0"/>
              <w:rPr>
                <w:sz w:val="11"/>
                <w:szCs w:val="11"/>
                <w:color w:val="auto"/>
              </w:rPr>
            </w:pPr>
          </w:p>
        </w:tc>
        <w:tc>
          <w:tcPr>
            <w:tcW w:w="21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Date Disposed</w:t>
            </w:r>
          </w:p>
        </w:tc>
        <w:tc>
          <w:tcPr>
            <w:tcW w:w="140" w:type="dxa"/>
            <w:vAlign w:val="bottom"/>
            <w:vMerge w:val="restart"/>
          </w:tcPr>
          <w:p>
            <w:pPr>
              <w:spacing w:after="0"/>
              <w:rPr>
                <w:sz w:val="11"/>
                <w:szCs w:val="11"/>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Square Feet</w:t>
            </w:r>
          </w:p>
        </w:tc>
        <w:tc>
          <w:tcPr>
            <w:tcW w:w="1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rPr>
              <w:t>of Gross</w:t>
            </w:r>
          </w:p>
        </w:tc>
        <w:tc>
          <w:tcPr>
            <w:tcW w:w="10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Arial" w:cs="Arial" w:eastAsia="Arial" w:hAnsi="Arial"/>
                <w:sz w:val="14"/>
                <w:szCs w:val="14"/>
                <w:b w:val="1"/>
                <w:bCs w:val="1"/>
                <w:color w:val="auto"/>
              </w:rPr>
              <w:t>of Net Cash</w:t>
            </w:r>
          </w:p>
        </w:tc>
        <w:tc>
          <w:tcPr>
            <w:tcW w:w="140" w:type="dxa"/>
            <w:vAlign w:val="bottom"/>
          </w:tcPr>
          <w:p>
            <w:pPr>
              <w:spacing w:after="0"/>
              <w:rPr>
                <w:sz w:val="11"/>
                <w:szCs w:val="11"/>
                <w:color w:val="auto"/>
              </w:rPr>
            </w:pPr>
          </w:p>
        </w:tc>
        <w:tc>
          <w:tcPr>
            <w:tcW w:w="940" w:type="dxa"/>
            <w:vAlign w:val="bottom"/>
          </w:tcPr>
          <w:p>
            <w:pPr>
              <w:jc w:val="right"/>
              <w:ind w:right="108"/>
              <w:spacing w:after="0" w:line="137" w:lineRule="exact"/>
              <w:rPr>
                <w:sz w:val="20"/>
                <w:szCs w:val="20"/>
                <w:color w:val="auto"/>
              </w:rPr>
            </w:pPr>
            <w:r>
              <w:rPr>
                <w:rFonts w:ascii="Arial" w:cs="Arial" w:eastAsia="Arial" w:hAnsi="Arial"/>
                <w:sz w:val="14"/>
                <w:szCs w:val="14"/>
                <w:b w:val="1"/>
                <w:bCs w:val="1"/>
                <w:color w:val="auto"/>
              </w:rPr>
              <w:t>Book Gain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20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16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Sales Price</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Proceeds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08"/>
              <w:spacing w:after="0" w:line="201" w:lineRule="exact"/>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8"/>
                <w:szCs w:val="18"/>
                <w:b w:val="1"/>
                <w:bCs w:val="1"/>
                <w:color w:val="auto"/>
                <w:vertAlign w:val="superscript"/>
              </w:rPr>
              <w:t>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60" w:type="dxa"/>
            <w:vAlign w:val="bottom"/>
            <w:gridSpan w:val="2"/>
          </w:tcPr>
          <w:p>
            <w:pPr>
              <w:ind w:left="20"/>
              <w:spacing w:after="0" w:line="201" w:lineRule="exact"/>
              <w:rPr>
                <w:sz w:val="20"/>
                <w:szCs w:val="20"/>
                <w:color w:val="auto"/>
              </w:rPr>
            </w:pPr>
            <w:r>
              <w:rPr>
                <w:rFonts w:ascii="Arial" w:cs="Arial" w:eastAsia="Arial" w:hAnsi="Arial"/>
                <w:sz w:val="14"/>
                <w:szCs w:val="14"/>
                <w:color w:val="auto"/>
              </w:rPr>
              <w:t xml:space="preserve">17 Hartwell Avenue </w:t>
            </w:r>
            <w:r>
              <w:rPr>
                <w:rFonts w:ascii="Arial" w:cs="Arial" w:eastAsia="Arial" w:hAnsi="Arial"/>
                <w:sz w:val="18"/>
                <w:szCs w:val="18"/>
                <w:color w:val="auto"/>
                <w:vertAlign w:val="superscript"/>
              </w:rPr>
              <w:t>4</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Lexington, MA</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June 27, 2025</w:t>
            </w:r>
          </w:p>
        </w:tc>
        <w:tc>
          <w:tcPr>
            <w:tcW w:w="1020" w:type="dxa"/>
            <w:vAlign w:val="bottom"/>
          </w:tcPr>
          <w:p>
            <w:pPr>
              <w:jc w:val="right"/>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21,840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21,840</w:t>
            </w:r>
          </w:p>
        </w:tc>
        <w:tc>
          <w:tcPr>
            <w:tcW w:w="14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18,390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3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Beach Cities Media Campus</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El Segundo, CA</w:t>
            </w:r>
          </w:p>
        </w:tc>
        <w:tc>
          <w:tcPr>
            <w:tcW w:w="2300" w:type="dxa"/>
            <w:vAlign w:val="bottom"/>
            <w:gridSpan w:val="2"/>
            <w:vMerge w:val="restart"/>
          </w:tcPr>
          <w:p>
            <w:pPr>
              <w:ind w:left="20"/>
              <w:spacing w:after="0"/>
              <w:rPr>
                <w:sz w:val="20"/>
                <w:szCs w:val="20"/>
                <w:color w:val="auto"/>
              </w:rPr>
            </w:pPr>
            <w:r>
              <w:rPr>
                <w:rFonts w:ascii="Arial" w:cs="Arial" w:eastAsia="Arial" w:hAnsi="Arial"/>
                <w:sz w:val="14"/>
                <w:szCs w:val="14"/>
                <w:color w:val="auto"/>
              </w:rPr>
              <w:t>September 17, 2025</w:t>
            </w:r>
          </w:p>
        </w:tc>
        <w:tc>
          <w:tcPr>
            <w:tcW w:w="1180" w:type="dxa"/>
            <w:vAlign w:val="bottom"/>
            <w:gridSpan w:val="2"/>
            <w:vMerge w:val="restart"/>
          </w:tcPr>
          <w:p>
            <w:pPr>
              <w:ind w:left="78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26,571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2,236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60" w:type="dxa"/>
            <w:vAlign w:val="bottom"/>
            <w:gridSpan w:val="2"/>
          </w:tcPr>
          <w:p>
            <w:pPr>
              <w:ind w:left="180"/>
              <w:spacing w:after="0"/>
              <w:rPr>
                <w:sz w:val="20"/>
                <w:szCs w:val="20"/>
                <w:color w:val="auto"/>
              </w:rPr>
            </w:pPr>
            <w:r>
              <w:rPr>
                <w:rFonts w:ascii="Arial" w:cs="Arial" w:eastAsia="Arial" w:hAnsi="Arial"/>
                <w:sz w:val="14"/>
                <w:szCs w:val="14"/>
                <w:color w:val="auto"/>
              </w:rPr>
              <w:t>(50% ownership)</w:t>
            </w:r>
          </w:p>
        </w:tc>
        <w:tc>
          <w:tcPr>
            <w:tcW w:w="146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gridSpan w:val="2"/>
          </w:tcPr>
          <w:p>
            <w:pPr>
              <w:ind w:left="340"/>
              <w:spacing w:after="0"/>
              <w:rPr>
                <w:sz w:val="20"/>
                <w:szCs w:val="20"/>
                <w:color w:val="auto"/>
              </w:rPr>
            </w:pPr>
            <w:r>
              <w:rPr>
                <w:rFonts w:ascii="Arial" w:cs="Arial" w:eastAsia="Arial" w:hAnsi="Arial"/>
                <w:sz w:val="14"/>
                <w:szCs w:val="14"/>
                <w:color w:val="auto"/>
              </w:rPr>
              <w:t>Total Dispositions</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49,845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48,411</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spacing w:after="0" w:line="36" w:lineRule="exact"/>
        <w:rPr>
          <w:sz w:val="20"/>
          <w:szCs w:val="20"/>
          <w:color w:val="auto"/>
        </w:rPr>
      </w:pPr>
    </w:p>
    <w:p>
      <w:pPr>
        <w:ind w:left="80" w:right="20" w:hanging="72"/>
        <w:spacing w:after="0" w:line="297" w:lineRule="auto"/>
        <w:tabs>
          <w:tab w:leader="none" w:pos="77" w:val="left"/>
        </w:tabs>
        <w:numPr>
          <w:ilvl w:val="0"/>
          <w:numId w:val="33"/>
        </w:numPr>
        <w:rPr>
          <w:rFonts w:ascii="Arial" w:cs="Arial" w:eastAsia="Arial" w:hAnsi="Arial"/>
          <w:sz w:val="9"/>
          <w:szCs w:val="9"/>
          <w:color w:val="auto"/>
        </w:rPr>
      </w:pPr>
      <w:r>
        <w:rPr>
          <w:rFonts w:ascii="Arial" w:cs="Arial" w:eastAsia="Arial" w:hAnsi="Arial"/>
          <w:sz w:val="14"/>
          <w:szCs w:val="14"/>
          <w:color w:val="auto"/>
        </w:rPr>
        <w:t xml:space="preserve">The Company has agreed to fund up to $65.0 million in preferred equity. The joint venture has also entered into a $225.0 million construction loan, of which the Company’s share is approximately $43.8 million. As of September 30, 2025, </w:t>
      </w:r>
      <w:r>
        <w:rPr>
          <w:rFonts w:ascii="Arial" w:cs="Arial" w:eastAsia="Arial" w:hAnsi="Arial"/>
          <w:sz w:val="13"/>
          <w:szCs w:val="13"/>
          <w:color w:val="auto"/>
        </w:rPr>
        <w:t>$11.9 million</w:t>
      </w:r>
      <w:r>
        <w:rPr>
          <w:rFonts w:ascii="Arial" w:cs="Arial" w:eastAsia="Arial" w:hAnsi="Arial"/>
          <w:sz w:val="14"/>
          <w:szCs w:val="14"/>
          <w:color w:val="auto"/>
        </w:rPr>
        <w:t xml:space="preserve"> of preferred equity has been contributed and no amounts have been drawn under the construction loan.</w:t>
      </w:r>
    </w:p>
    <w:p>
      <w:pPr>
        <w:spacing w:after="0" w:line="140" w:lineRule="exact"/>
        <w:rPr>
          <w:sz w:val="20"/>
          <w:szCs w:val="20"/>
          <w:color w:val="auto"/>
        </w:rPr>
      </w:pPr>
    </w:p>
    <w:p>
      <w:pPr>
        <w:ind w:left="100" w:hanging="92"/>
        <w:spacing w:after="0"/>
        <w:tabs>
          <w:tab w:leader="none" w:pos="10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The Company acquired its partner’s 45% ownership interest at cost, resulting in the Company owning 100% of the project. See page 15 for additional details.</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Excludes approximately $1.9 million of gain related to a sale that occurred in a prior period.</w:t>
      </w:r>
    </w:p>
    <w:p>
      <w:pPr>
        <w:spacing w:after="0" w:line="1" w:lineRule="exact"/>
        <w:rPr>
          <w:sz w:val="20"/>
          <w:szCs w:val="20"/>
          <w:color w:val="auto"/>
        </w:rPr>
      </w:pPr>
    </w:p>
    <w:p>
      <w:pPr>
        <w:ind w:left="80" w:right="120" w:hanging="72"/>
        <w:spacing w:after="0" w:line="247" w:lineRule="auto"/>
        <w:tabs>
          <w:tab w:leader="none" w:pos="91"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The Company entered into a joint venture with a third party to redevelop, own and operate 17 Hartwell Avenue. The Company sold 17 Hartwell Avenue to the joint venture for approximately $21.8 million in cash. The Company also contributed development costs of approximately $5.6 million for its 20% ownership interest. The Company will be the development manager for the project. Upon formation of the joint venture, the Company ceased accounting for the property on a consolidated basis and is accounting for the joint venture entity on an unconsolidated basis using the equity method of accounting, as it does not have a controlling financial or operating interest in the joint venture entity. The Company recognized a gain upon sale of the real estate of approximately $18.4 million within Gain on Sale of Real Estate on the Consolidated Statement of Operations, as the fair value of the real estate exceeded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27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11240" w:type="dxa"/>
            <w:vAlign w:val="bottom"/>
            <w:gridSpan w:val="60"/>
          </w:tcPr>
          <w:p>
            <w:pPr>
              <w:spacing w:after="0"/>
              <w:rPr>
                <w:sz w:val="20"/>
                <w:szCs w:val="20"/>
                <w:color w:val="auto"/>
              </w:rPr>
            </w:pPr>
            <w:r>
              <w:rPr>
                <w:rFonts w:ascii="Arial" w:cs="Arial" w:eastAsia="Arial" w:hAnsi="Arial"/>
                <w:sz w:val="14"/>
                <w:szCs w:val="14"/>
                <w:color w:val="auto"/>
              </w:rPr>
              <w:t>Q3 2025</w:t>
            </w:r>
          </w:p>
        </w:tc>
        <w:tc>
          <w:tcPr>
            <w:tcW w:w="0" w:type="dxa"/>
            <w:vAlign w:val="bottom"/>
          </w:tcPr>
          <w:p>
            <w:pPr>
              <w:spacing w:after="0"/>
              <w:rPr>
                <w:sz w:val="1"/>
                <w:szCs w:val="1"/>
                <w:color w:val="auto"/>
              </w:rPr>
            </w:pPr>
          </w:p>
        </w:tc>
      </w:tr>
      <w:tr>
        <w:trPr>
          <w:trHeight w:val="231"/>
        </w:trPr>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00497F"/>
              </w:rPr>
              <w:t>Construction in progress</w:t>
            </w:r>
          </w:p>
        </w:tc>
        <w:tc>
          <w:tcPr>
            <w:tcW w:w="0" w:type="dxa"/>
            <w:vAlign w:val="bottom"/>
          </w:tcPr>
          <w:p>
            <w:pPr>
              <w:spacing w:after="0"/>
              <w:rPr>
                <w:sz w:val="1"/>
                <w:szCs w:val="1"/>
                <w:color w:val="auto"/>
              </w:rPr>
            </w:pPr>
          </w:p>
        </w:tc>
      </w:tr>
      <w:tr>
        <w:trPr>
          <w:trHeight w:val="518"/>
        </w:trPr>
        <w:tc>
          <w:tcPr>
            <w:tcW w:w="2000" w:type="dxa"/>
            <w:vAlign w:val="bottom"/>
            <w:gridSpan w:val="10"/>
          </w:tcPr>
          <w:p>
            <w:pPr>
              <w:spacing w:after="0"/>
              <w:rPr>
                <w:sz w:val="20"/>
                <w:szCs w:val="20"/>
                <w:color w:val="auto"/>
              </w:rPr>
            </w:pPr>
            <w:r>
              <w:rPr>
                <w:rFonts w:ascii="Arial" w:cs="Arial" w:eastAsia="Arial" w:hAnsi="Arial"/>
                <w:sz w:val="14"/>
                <w:szCs w:val="14"/>
                <w:color w:val="auto"/>
              </w:rPr>
              <w:t>(dollars in thousands)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400" w:type="dxa"/>
            <w:vAlign w:val="bottom"/>
            <w:tcBorders>
              <w:bottom w:val="single" w:sz="8" w:color="auto"/>
            </w:tcBorders>
            <w:gridSpan w:val="21"/>
          </w:tcPr>
          <w:p>
            <w:pPr>
              <w:spacing w:after="0"/>
              <w:rPr>
                <w:sz w:val="20"/>
                <w:szCs w:val="20"/>
                <w:color w:val="auto"/>
              </w:rPr>
            </w:pPr>
            <w:r>
              <w:rPr>
                <w:rFonts w:ascii="Arial" w:cs="Arial" w:eastAsia="Arial" w:hAnsi="Arial"/>
                <w:sz w:val="14"/>
                <w:szCs w:val="14"/>
                <w:b w:val="1"/>
                <w:bCs w:val="1"/>
                <w:i w:val="1"/>
                <w:iCs w:val="1"/>
                <w:color w:val="auto"/>
              </w:rPr>
              <w:t xml:space="preserve">CONSTRUCTION IN PROGRESS AT SEPTEMBER 30, 2025 </w:t>
            </w:r>
            <w:r>
              <w:rPr>
                <w:rFonts w:ascii="Arial" w:cs="Arial" w:eastAsia="Arial" w:hAnsi="Arial"/>
                <w:sz w:val="18"/>
                <w:szCs w:val="18"/>
                <w:b w:val="1"/>
                <w:bCs w:val="1"/>
                <w:i w:val="1"/>
                <w:iCs w:val="1"/>
                <w:color w:val="auto"/>
                <w:vertAlign w:val="superscript"/>
              </w:rPr>
              <w:t>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140"/>
              <w:spacing w:after="0"/>
              <w:rPr>
                <w:sz w:val="20"/>
                <w:szCs w:val="20"/>
                <w:color w:val="auto"/>
              </w:rPr>
            </w:pPr>
            <w:r>
              <w:rPr>
                <w:rFonts w:ascii="Arial" w:cs="Arial" w:eastAsia="Arial" w:hAnsi="Arial"/>
                <w:sz w:val="13"/>
                <w:szCs w:val="13"/>
                <w:b w:val="1"/>
                <w:bCs w:val="1"/>
                <w:color w:val="auto"/>
              </w:rPr>
              <w:t>Actual/Estimated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8"/>
          </w:tcPr>
          <w:p>
            <w:pPr>
              <w:jc w:val="right"/>
              <w:ind w:right="157"/>
              <w:spacing w:after="0"/>
              <w:rPr>
                <w:sz w:val="20"/>
                <w:szCs w:val="20"/>
                <w:color w:val="auto"/>
              </w:rPr>
            </w:pPr>
            <w:r>
              <w:rPr>
                <w:rFonts w:ascii="Arial" w:cs="Arial" w:eastAsia="Arial" w:hAnsi="Arial"/>
                <w:sz w:val="13"/>
                <w:szCs w:val="13"/>
                <w:b w:val="1"/>
                <w:bCs w:val="1"/>
                <w:color w:val="auto"/>
                <w:w w:val="97"/>
              </w:rPr>
              <w:t>BXP’s share</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200" w:type="dxa"/>
            <w:vAlign w:val="bottom"/>
            <w:gridSpan w:val="6"/>
          </w:tcPr>
          <w:p>
            <w:pPr>
              <w:spacing w:after="0"/>
              <w:rPr>
                <w:sz w:val="9"/>
                <w:szCs w:val="9"/>
                <w:color w:val="auto"/>
              </w:rPr>
            </w:pPr>
          </w:p>
        </w:tc>
        <w:tc>
          <w:tcPr>
            <w:tcW w:w="1580" w:type="dxa"/>
            <w:vAlign w:val="bottom"/>
            <w:tcBorders>
              <w:top w:val="single" w:sz="8" w:color="auto"/>
            </w:tcBorders>
            <w:gridSpan w:val="7"/>
          </w:tcPr>
          <w:p>
            <w:pPr>
              <w:spacing w:after="0"/>
              <w:rPr>
                <w:sz w:val="9"/>
                <w:szCs w:val="9"/>
                <w:color w:val="auto"/>
              </w:rPr>
            </w:pPr>
          </w:p>
        </w:tc>
        <w:tc>
          <w:tcPr>
            <w:tcW w:w="1700" w:type="dxa"/>
            <w:vAlign w:val="bottom"/>
            <w:gridSpan w:val="9"/>
          </w:tcPr>
          <w:p>
            <w:pPr>
              <w:spacing w:after="0"/>
              <w:rPr>
                <w:sz w:val="9"/>
                <w:szCs w:val="9"/>
                <w:color w:val="auto"/>
              </w:rPr>
            </w:pPr>
          </w:p>
        </w:tc>
        <w:tc>
          <w:tcPr>
            <w:tcW w:w="4000" w:type="dxa"/>
            <w:vAlign w:val="bottom"/>
            <w:tcBorders>
              <w:top w:val="single" w:sz="8" w:color="auto"/>
            </w:tcBorders>
            <w:gridSpan w:val="25"/>
          </w:tcPr>
          <w:p>
            <w:pPr>
              <w:spacing w:after="0"/>
              <w:rPr>
                <w:sz w:val="9"/>
                <w:szCs w:val="9"/>
                <w:color w:val="auto"/>
              </w:rPr>
            </w:pPr>
          </w:p>
        </w:tc>
        <w:tc>
          <w:tcPr>
            <w:tcW w:w="2760" w:type="dxa"/>
            <w:vAlign w:val="bottom"/>
            <w:gridSpan w:val="13"/>
          </w:tcPr>
          <w:p>
            <w:pPr>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Estimated</w:t>
            </w:r>
          </w:p>
        </w:tc>
        <w:tc>
          <w:tcPr>
            <w:tcW w:w="80" w:type="dxa"/>
            <w:vAlign w:val="bottom"/>
          </w:tcPr>
          <w:p>
            <w:pPr>
              <w:spacing w:after="0"/>
              <w:rPr>
                <w:sz w:val="14"/>
                <w:szCs w:val="14"/>
                <w:color w:val="auto"/>
              </w:rPr>
            </w:pPr>
          </w:p>
        </w:tc>
        <w:tc>
          <w:tcPr>
            <w:tcW w:w="900" w:type="dxa"/>
            <w:vAlign w:val="bottom"/>
            <w:gridSpan w:val="3"/>
            <w:vMerge w:val="restart"/>
          </w:tcPr>
          <w:p>
            <w:pPr>
              <w:jc w:val="right"/>
              <w:ind w:right="99"/>
              <w:spacing w:after="0"/>
              <w:rPr>
                <w:sz w:val="20"/>
                <w:szCs w:val="20"/>
                <w:color w:val="auto"/>
              </w:rPr>
            </w:pPr>
            <w:r>
              <w:rPr>
                <w:rFonts w:ascii="Arial" w:cs="Arial" w:eastAsia="Arial" w:hAnsi="Arial"/>
                <w:sz w:val="13"/>
                <w:szCs w:val="13"/>
                <w:b w:val="1"/>
                <w:bCs w:val="1"/>
                <w:color w:val="auto"/>
              </w:rPr>
              <w:t>Percentage</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4"/>
              </w:rPr>
              <w:t>Operating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Future</w:t>
            </w:r>
          </w:p>
        </w:tc>
        <w:tc>
          <w:tcPr>
            <w:tcW w:w="8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6"/>
              </w:rPr>
              <w:t>Percentage</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tcPr>
          <w:p>
            <w:pPr>
              <w:jc w:val="center"/>
              <w:ind w:right="160"/>
              <w:spacing w:after="0" w:line="95" w:lineRule="exact"/>
              <w:rPr>
                <w:sz w:val="20"/>
                <w:szCs w:val="20"/>
                <w:color w:val="auto"/>
              </w:rPr>
            </w:pPr>
            <w:r>
              <w:rPr>
                <w:rFonts w:ascii="Arial" w:cs="Arial" w:eastAsia="Arial" w:hAnsi="Arial"/>
                <w:sz w:val="10"/>
                <w:szCs w:val="10"/>
                <w:b w:val="1"/>
                <w:bCs w:val="1"/>
                <w:color w:val="auto"/>
              </w:rPr>
              <w:t>Income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tcPr>
          <w:p>
            <w:pPr>
              <w:jc w:val="center"/>
              <w:ind w:right="140"/>
              <w:spacing w:after="0" w:line="108" w:lineRule="exact"/>
              <w:rPr>
                <w:sz w:val="20"/>
                <w:szCs w:val="20"/>
                <w:color w:val="auto"/>
              </w:rPr>
            </w:pPr>
            <w:r>
              <w:rPr>
                <w:rFonts w:ascii="Arial" w:cs="Arial" w:eastAsia="Arial" w:hAnsi="Arial"/>
                <w:sz w:val="10"/>
                <w:szCs w:val="10"/>
                <w:b w:val="1"/>
                <w:bCs w:val="1"/>
                <w:color w:val="auto"/>
              </w:rPr>
              <w:t xml:space="preserve">(Loss) </w:t>
            </w:r>
            <w:r>
              <w:rPr>
                <w:rFonts w:ascii="Arial" w:cs="Arial" w:eastAsia="Arial" w:hAnsi="Arial"/>
                <w:sz w:val="12"/>
                <w:szCs w:val="12"/>
                <w:b w:val="1"/>
                <w:bCs w:val="1"/>
                <w:color w:val="auto"/>
                <w:vertAlign w:val="superscript"/>
              </w:rPr>
              <w:t>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9"/>
              </w:rPr>
              <w:t>Initial</w:t>
            </w:r>
          </w:p>
        </w:tc>
        <w:tc>
          <w:tcPr>
            <w:tcW w:w="8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6"/>
              </w:rPr>
              <w:t>Stabilization</w:t>
            </w: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Square</w:t>
            </w:r>
          </w:p>
        </w:tc>
        <w:tc>
          <w:tcPr>
            <w:tcW w:w="80" w:type="dxa"/>
            <w:vAlign w:val="bottom"/>
          </w:tcPr>
          <w:p>
            <w:pPr>
              <w:spacing w:after="0"/>
              <w:rPr>
                <w:sz w:val="4"/>
                <w:szCs w:val="4"/>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Investment</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3"/>
          </w:tcPr>
          <w:p>
            <w:pPr>
              <w:jc w:val="center"/>
              <w:ind w:left="162"/>
              <w:spacing w:after="0" w:line="54" w:lineRule="exact"/>
              <w:rPr>
                <w:sz w:val="20"/>
                <w:szCs w:val="20"/>
                <w:color w:val="auto"/>
              </w:rPr>
            </w:pPr>
            <w:r>
              <w:rPr>
                <w:rFonts w:ascii="Arial" w:cs="Arial" w:eastAsia="Arial" w:hAnsi="Arial"/>
                <w:sz w:val="6"/>
                <w:szCs w:val="6"/>
                <w:b w:val="1"/>
                <w:bCs w:val="1"/>
                <w:color w:val="auto"/>
              </w:rPr>
              <w:t>Total</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4"/>
                <w:szCs w:val="4"/>
                <w:color w:val="auto"/>
              </w:rPr>
            </w:pPr>
          </w:p>
        </w:tc>
        <w:tc>
          <w:tcPr>
            <w:tcW w:w="720" w:type="dxa"/>
            <w:vAlign w:val="bottom"/>
            <w:gridSpan w:val="2"/>
          </w:tcPr>
          <w:p>
            <w:pPr>
              <w:jc w:val="center"/>
              <w:ind w:right="100"/>
              <w:spacing w:after="0" w:line="54" w:lineRule="exact"/>
              <w:rPr>
                <w:sz w:val="20"/>
                <w:szCs w:val="20"/>
                <w:color w:val="auto"/>
              </w:rPr>
            </w:pPr>
            <w:r>
              <w:rPr>
                <w:rFonts w:ascii="Arial" w:cs="Arial" w:eastAsia="Arial" w:hAnsi="Arial"/>
                <w:sz w:val="6"/>
                <w:szCs w:val="6"/>
                <w:b w:val="1"/>
                <w:bCs w:val="1"/>
                <w:color w:val="auto"/>
              </w:rPr>
              <w:t>Equity</w:t>
            </w: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placed in-</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5"/>
              </w:rPr>
              <w:t>(BXP’s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6"/>
              </w:rPr>
              <w:t>Investment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5"/>
            <w:vMerge w:val="continue"/>
          </w:tcPr>
          <w:p>
            <w:pPr>
              <w:spacing w:after="0"/>
              <w:rPr>
                <w:sz w:val="10"/>
                <w:szCs w:val="10"/>
                <w:color w:val="auto"/>
              </w:rPr>
            </w:pPr>
          </w:p>
        </w:tc>
        <w:tc>
          <w:tcPr>
            <w:tcW w:w="82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w w:val="98"/>
              </w:rPr>
              <w:t>Requirement</w:t>
            </w:r>
          </w:p>
        </w:tc>
        <w:tc>
          <w:tcPr>
            <w:tcW w:w="8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 xml:space="preserve">Leased </w:t>
            </w:r>
            <w:r>
              <w:rPr>
                <w:rFonts w:ascii="Arial" w:cs="Arial" w:eastAsia="Arial" w:hAnsi="Arial"/>
                <w:sz w:val="16"/>
                <w:szCs w:val="16"/>
                <w:b w:val="1"/>
                <w:bCs w:val="1"/>
                <w:color w:val="auto"/>
                <w:vertAlign w:val="superscript"/>
              </w:rPr>
              <w:t>3</w:t>
            </w:r>
          </w:p>
        </w:tc>
        <w:tc>
          <w:tcPr>
            <w:tcW w:w="6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Occupancy</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Date</w:t>
            </w:r>
          </w:p>
        </w:tc>
        <w:tc>
          <w:tcPr>
            <w:tcW w:w="80" w:type="dxa"/>
            <w:vAlign w:val="bottom"/>
          </w:tcPr>
          <w:p>
            <w:pPr>
              <w:spacing w:after="0"/>
              <w:rPr>
                <w:sz w:val="11"/>
                <w:szCs w:val="11"/>
                <w:color w:val="auto"/>
              </w:rPr>
            </w:pPr>
          </w:p>
        </w:tc>
        <w:tc>
          <w:tcPr>
            <w:tcW w:w="68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Feet</w:t>
            </w:r>
          </w:p>
        </w:tc>
        <w:tc>
          <w:tcPr>
            <w:tcW w:w="80" w:type="dxa"/>
            <w:vAlign w:val="bottom"/>
          </w:tcPr>
          <w:p>
            <w:pPr>
              <w:spacing w:after="0"/>
              <w:rPr>
                <w:sz w:val="11"/>
                <w:szCs w:val="11"/>
                <w:color w:val="auto"/>
              </w:rPr>
            </w:pPr>
          </w:p>
        </w:tc>
        <w:tc>
          <w:tcPr>
            <w:tcW w:w="720" w:type="dxa"/>
            <w:vAlign w:val="bottom"/>
            <w:tcBorders>
              <w:bottom w:val="single" w:sz="8" w:color="auto"/>
            </w:tcBorders>
            <w:gridSpan w:val="3"/>
          </w:tcPr>
          <w:p>
            <w:pPr>
              <w:jc w:val="right"/>
              <w:ind w:right="17"/>
              <w:spacing w:after="0" w:line="135" w:lineRule="exact"/>
              <w:rPr>
                <w:sz w:val="20"/>
                <w:szCs w:val="20"/>
                <w:color w:val="auto"/>
              </w:rPr>
            </w:pPr>
            <w:r>
              <w:rPr>
                <w:rFonts w:ascii="Arial" w:cs="Arial" w:eastAsia="Arial" w:hAnsi="Arial"/>
                <w:sz w:val="12"/>
                <w:szCs w:val="12"/>
                <w:b w:val="1"/>
                <w:bCs w:val="1"/>
                <w:color w:val="auto"/>
              </w:rPr>
              <w:t xml:space="preserve">to Date </w:t>
            </w:r>
            <w:r>
              <w:rPr>
                <w:rFonts w:ascii="Arial" w:cs="Arial" w:eastAsia="Arial" w:hAnsi="Arial"/>
                <w:sz w:val="15"/>
                <w:szCs w:val="15"/>
                <w:b w:val="1"/>
                <w:bCs w:val="1"/>
                <w:color w:val="auto"/>
                <w:vertAlign w:val="superscript"/>
              </w:rPr>
              <w:t>2</w:t>
            </w: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center"/>
              <w:ind w:right="8"/>
              <w:spacing w:after="0"/>
              <w:rPr>
                <w:sz w:val="20"/>
                <w:szCs w:val="20"/>
                <w:color w:val="auto"/>
              </w:rPr>
            </w:pPr>
            <w:r>
              <w:rPr>
                <w:rFonts w:ascii="Arial" w:cs="Arial" w:eastAsia="Arial" w:hAnsi="Arial"/>
                <w:sz w:val="8"/>
                <w:szCs w:val="8"/>
                <w:b w:val="1"/>
                <w:bCs w:val="1"/>
                <w:color w:val="auto"/>
                <w:w w:val="88"/>
              </w:rPr>
              <w:t>2</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gridSpan w:val="4"/>
          </w:tcPr>
          <w:p>
            <w:pPr>
              <w:jc w:val="center"/>
              <w:spacing w:after="0" w:line="135" w:lineRule="exact"/>
              <w:rPr>
                <w:sz w:val="20"/>
                <w:szCs w:val="20"/>
                <w:color w:val="auto"/>
              </w:rPr>
            </w:pPr>
            <w:r>
              <w:rPr>
                <w:rFonts w:ascii="Arial" w:cs="Arial" w:eastAsia="Arial" w:hAnsi="Arial"/>
                <w:sz w:val="13"/>
                <w:szCs w:val="13"/>
                <w:b w:val="1"/>
                <w:bCs w:val="1"/>
                <w:color w:val="auto"/>
                <w:w w:val="97"/>
              </w:rPr>
              <w:t>Financing</w:t>
            </w: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3"/>
                <w:szCs w:val="13"/>
                <w:b w:val="1"/>
                <w:bCs w:val="1"/>
                <w:color w:val="auto"/>
              </w:rPr>
              <w:t>Drawn</w:t>
            </w:r>
          </w:p>
        </w:tc>
        <w:tc>
          <w:tcPr>
            <w:tcW w:w="1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w:t>
            </w: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bottom w:val="single" w:sz="8" w:color="auto"/>
            </w:tcBorders>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rPr>
              <w:t xml:space="preserve">service </w:t>
            </w:r>
            <w:r>
              <w:rPr>
                <w:rFonts w:ascii="Arial" w:cs="Arial" w:eastAsia="Arial" w:hAnsi="Arial"/>
                <w:sz w:val="15"/>
                <w:szCs w:val="15"/>
                <w:b w:val="1"/>
                <w:bCs w:val="1"/>
                <w:color w:val="auto"/>
                <w:vertAlign w:val="superscript"/>
              </w:rPr>
              <w:t>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9"/>
              <w:spacing w:after="0" w:line="135" w:lineRule="exact"/>
              <w:rPr>
                <w:sz w:val="20"/>
                <w:szCs w:val="20"/>
                <w:color w:val="auto"/>
              </w:rPr>
            </w:pPr>
            <w:r>
              <w:rPr>
                <w:rFonts w:ascii="Arial" w:cs="Arial" w:eastAsia="Arial" w:hAnsi="Arial"/>
                <w:sz w:val="13"/>
                <w:szCs w:val="13"/>
                <w:b w:val="1"/>
                <w:bCs w:val="1"/>
                <w:color w:val="auto"/>
                <w:w w:val="97"/>
              </w:rPr>
              <w:t>share)</w:t>
            </w: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80" w:type="dxa"/>
            <w:vAlign w:val="bottom"/>
            <w:gridSpan w:val="5"/>
          </w:tcPr>
          <w:p>
            <w:pPr>
              <w:spacing w:after="0" w:line="115" w:lineRule="exact"/>
              <w:rPr>
                <w:sz w:val="20"/>
                <w:szCs w:val="20"/>
                <w:color w:val="auto"/>
              </w:rPr>
            </w:pPr>
            <w:r>
              <w:rPr>
                <w:rFonts w:ascii="Arial" w:cs="Arial" w:eastAsia="Arial" w:hAnsi="Arial"/>
                <w:sz w:val="13"/>
                <w:szCs w:val="13"/>
                <w:b w:val="1"/>
                <w:bCs w:val="1"/>
                <w:color w:val="auto"/>
              </w:rPr>
              <w:t>Office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7"/>
            <w:vMerge w:val="restart"/>
          </w:tcPr>
          <w:p>
            <w:pPr>
              <w:ind w:left="20"/>
              <w:spacing w:after="0"/>
              <w:rPr>
                <w:sz w:val="20"/>
                <w:szCs w:val="20"/>
                <w:color w:val="auto"/>
              </w:rPr>
            </w:pPr>
            <w:r>
              <w:rPr>
                <w:rFonts w:ascii="Arial" w:cs="Arial" w:eastAsia="Arial" w:hAnsi="Arial"/>
                <w:sz w:val="13"/>
                <w:szCs w:val="13"/>
                <w:color w:val="auto"/>
              </w:rPr>
              <w:t>Washington,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6"/>
          </w:tcPr>
          <w:p>
            <w:pPr>
              <w:ind w:left="80"/>
              <w:spacing w:after="0"/>
              <w:rPr>
                <w:sz w:val="20"/>
                <w:szCs w:val="20"/>
                <w:color w:val="auto"/>
              </w:rPr>
            </w:pPr>
            <w:r>
              <w:rPr>
                <w:rFonts w:ascii="Arial" w:cs="Arial" w:eastAsia="Arial" w:hAnsi="Arial"/>
                <w:sz w:val="13"/>
                <w:szCs w:val="13"/>
                <w:color w:val="auto"/>
              </w:rPr>
              <w:t>725 12th Street</w:t>
            </w:r>
          </w:p>
        </w:tc>
        <w:tc>
          <w:tcPr>
            <w:tcW w:w="780" w:type="dxa"/>
            <w:vAlign w:val="bottom"/>
            <w:gridSpan w:val="3"/>
          </w:tcPr>
          <w:p>
            <w:pPr>
              <w:jc w:val="center"/>
              <w:ind w:right="100"/>
              <w:spacing w:after="0"/>
              <w:rPr>
                <w:sz w:val="20"/>
                <w:szCs w:val="20"/>
                <w:color w:val="auto"/>
              </w:rPr>
            </w:pPr>
            <w:r>
              <w:rPr>
                <w:rFonts w:ascii="Arial" w:cs="Arial" w:eastAsia="Arial" w:hAnsi="Arial"/>
                <w:sz w:val="13"/>
                <w:szCs w:val="13"/>
                <w:color w:val="auto"/>
                <w:w w:val="96"/>
              </w:rPr>
              <w:t>Q1 2029</w:t>
            </w:r>
          </w:p>
        </w:tc>
        <w:tc>
          <w:tcPr>
            <w:tcW w:w="6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3"/>
                <w:szCs w:val="13"/>
                <w:color w:val="auto"/>
                <w:w w:val="96"/>
              </w:rPr>
              <w:t>Q4 2030</w:t>
            </w: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DC</w:t>
            </w:r>
          </w:p>
        </w:tc>
        <w:tc>
          <w:tcPr>
            <w:tcW w:w="820" w:type="dxa"/>
            <w:vAlign w:val="bottom"/>
            <w:gridSpan w:val="4"/>
          </w:tcPr>
          <w:p>
            <w:pPr>
              <w:jc w:val="right"/>
              <w:ind w:right="20"/>
              <w:spacing w:after="0"/>
              <w:rPr>
                <w:sz w:val="20"/>
                <w:szCs w:val="20"/>
                <w:color w:val="auto"/>
              </w:rPr>
            </w:pPr>
            <w:r>
              <w:rPr>
                <w:rFonts w:ascii="Arial" w:cs="Arial" w:eastAsia="Arial" w:hAnsi="Arial"/>
                <w:sz w:val="13"/>
                <w:szCs w:val="13"/>
                <w:color w:val="auto"/>
              </w:rPr>
              <w:t>320,000</w:t>
            </w:r>
          </w:p>
        </w:tc>
        <w:tc>
          <w:tcPr>
            <w:tcW w:w="4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   76,838</w:t>
            </w:r>
          </w:p>
        </w:tc>
        <w:tc>
          <w:tcPr>
            <w:tcW w:w="880" w:type="dxa"/>
            <w:vAlign w:val="bottom"/>
            <w:gridSpan w:val="7"/>
          </w:tcPr>
          <w:p>
            <w:pPr>
              <w:jc w:val="right"/>
              <w:spacing w:after="0"/>
              <w:rPr>
                <w:sz w:val="20"/>
                <w:szCs w:val="20"/>
                <w:color w:val="auto"/>
              </w:rPr>
            </w:pPr>
            <w:r>
              <w:rPr>
                <w:rFonts w:ascii="Arial" w:cs="Arial" w:eastAsia="Arial" w:hAnsi="Arial"/>
                <w:sz w:val="13"/>
                <w:szCs w:val="13"/>
                <w:color w:val="auto"/>
              </w:rPr>
              <w:t>$  349,600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4"/>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272,762</w:t>
            </w: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87 %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ind w:left="4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0" w:type="dxa"/>
            <w:vAlign w:val="bottom"/>
            <w:gridSpan w:val="6"/>
          </w:tcPr>
          <w:p>
            <w:pPr>
              <w:ind w:left="80"/>
              <w:spacing w:after="0" w:line="145" w:lineRule="exact"/>
              <w:rPr>
                <w:sz w:val="20"/>
                <w:szCs w:val="20"/>
                <w:color w:val="auto"/>
              </w:rPr>
            </w:pPr>
            <w:r>
              <w:rPr>
                <w:rFonts w:ascii="Arial" w:cs="Arial" w:eastAsia="Arial" w:hAnsi="Arial"/>
                <w:sz w:val="13"/>
                <w:szCs w:val="13"/>
                <w:color w:val="auto"/>
              </w:rPr>
              <w:t>343 Madison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New York,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00" w:type="dxa"/>
            <w:vAlign w:val="bottom"/>
            <w:gridSpan w:val="6"/>
          </w:tcPr>
          <w:p>
            <w:pPr>
              <w:ind w:left="240"/>
              <w:spacing w:after="0"/>
              <w:rPr>
                <w:sz w:val="20"/>
                <w:szCs w:val="20"/>
                <w:color w:val="auto"/>
              </w:rPr>
            </w:pPr>
            <w:r>
              <w:rPr>
                <w:rFonts w:ascii="Arial" w:cs="Arial" w:eastAsia="Arial" w:hAnsi="Arial"/>
                <w:sz w:val="13"/>
                <w:szCs w:val="13"/>
                <w:color w:val="auto"/>
              </w:rPr>
              <w:t>Avenue</w:t>
            </w:r>
          </w:p>
        </w:tc>
        <w:tc>
          <w:tcPr>
            <w:tcW w:w="780" w:type="dxa"/>
            <w:vAlign w:val="bottom"/>
            <w:gridSpan w:val="3"/>
          </w:tcPr>
          <w:p>
            <w:pPr>
              <w:jc w:val="center"/>
              <w:ind w:right="100"/>
              <w:spacing w:after="0"/>
              <w:rPr>
                <w:sz w:val="20"/>
                <w:szCs w:val="20"/>
                <w:color w:val="auto"/>
              </w:rPr>
            </w:pPr>
            <w:r>
              <w:rPr>
                <w:rFonts w:ascii="Arial" w:cs="Arial" w:eastAsia="Arial" w:hAnsi="Arial"/>
                <w:sz w:val="13"/>
                <w:szCs w:val="13"/>
                <w:color w:val="auto"/>
                <w:w w:val="96"/>
              </w:rPr>
              <w:t>Q3 2029</w:t>
            </w:r>
          </w:p>
        </w:tc>
        <w:tc>
          <w:tcPr>
            <w:tcW w:w="60" w:type="dxa"/>
            <w:vAlign w:val="bottom"/>
          </w:tcPr>
          <w:p>
            <w:pPr>
              <w:spacing w:after="0"/>
              <w:rPr>
                <w:sz w:val="15"/>
                <w:szCs w:val="15"/>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3"/>
                <w:szCs w:val="13"/>
                <w:color w:val="auto"/>
                <w:w w:val="96"/>
              </w:rPr>
              <w:t>Q2 2031</w:t>
            </w: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NY</w:t>
            </w:r>
          </w:p>
        </w:tc>
        <w:tc>
          <w:tcPr>
            <w:tcW w:w="820" w:type="dxa"/>
            <w:vAlign w:val="bottom"/>
            <w:gridSpan w:val="4"/>
          </w:tcPr>
          <w:p>
            <w:pPr>
              <w:jc w:val="right"/>
              <w:ind w:right="20"/>
              <w:spacing w:after="0"/>
              <w:rPr>
                <w:sz w:val="20"/>
                <w:szCs w:val="20"/>
                <w:color w:val="auto"/>
              </w:rPr>
            </w:pPr>
            <w:r>
              <w:rPr>
                <w:rFonts w:ascii="Arial" w:cs="Arial" w:eastAsia="Arial" w:hAnsi="Arial"/>
                <w:sz w:val="13"/>
                <w:szCs w:val="13"/>
                <w:color w:val="auto"/>
              </w:rPr>
              <w:t>930,000</w:t>
            </w:r>
          </w:p>
        </w:tc>
        <w:tc>
          <w:tcPr>
            <w:tcW w:w="4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183,665</w:t>
            </w:r>
          </w:p>
        </w:tc>
        <w:tc>
          <w:tcPr>
            <w:tcW w:w="880" w:type="dxa"/>
            <w:vAlign w:val="bottom"/>
            <w:gridSpan w:val="7"/>
          </w:tcPr>
          <w:p>
            <w:pPr>
              <w:jc w:val="right"/>
              <w:spacing w:after="0"/>
              <w:rPr>
                <w:sz w:val="20"/>
                <w:szCs w:val="20"/>
                <w:color w:val="auto"/>
              </w:rPr>
            </w:pPr>
            <w:r>
              <w:rPr>
                <w:rFonts w:ascii="Arial" w:cs="Arial" w:eastAsia="Arial" w:hAnsi="Arial"/>
                <w:sz w:val="13"/>
                <w:szCs w:val="13"/>
                <w:color w:val="auto"/>
              </w:rPr>
              <w:t>1,971,000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4"/>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1,787,335</w:t>
            </w:r>
          </w:p>
        </w:tc>
        <w:tc>
          <w:tcPr>
            <w:tcW w:w="80" w:type="dxa"/>
            <w:vAlign w:val="bottom"/>
          </w:tcPr>
          <w:p>
            <w:pPr>
              <w:spacing w:after="0"/>
              <w:rPr>
                <w:sz w:val="15"/>
                <w:szCs w:val="15"/>
                <w:color w:val="auto"/>
              </w:rPr>
            </w:pPr>
          </w:p>
        </w:tc>
        <w:tc>
          <w:tcPr>
            <w:tcW w:w="900" w:type="dxa"/>
            <w:vAlign w:val="bottom"/>
            <w:gridSpan w:val="3"/>
          </w:tcPr>
          <w:p>
            <w:pPr>
              <w:jc w:val="right"/>
              <w:ind w:right="39"/>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4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gridSpan w:val="13"/>
          </w:tcPr>
          <w:p>
            <w:pPr>
              <w:ind w:left="60"/>
              <w:spacing w:after="0"/>
              <w:rPr>
                <w:sz w:val="20"/>
                <w:szCs w:val="20"/>
                <w:color w:val="auto"/>
              </w:rPr>
            </w:pPr>
            <w:r>
              <w:rPr>
                <w:rFonts w:ascii="Arial" w:cs="Arial" w:eastAsia="Arial" w:hAnsi="Arial"/>
                <w:sz w:val="13"/>
                <w:szCs w:val="13"/>
                <w:b w:val="1"/>
                <w:bCs w:val="1"/>
                <w:color w:val="auto"/>
              </w:rPr>
              <w:t>Total Office Properties under Construction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96"/>
              </w:rPr>
              <w:t>1,250,000</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260,503</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3"/>
                <w:szCs w:val="13"/>
                <w:color w:val="auto"/>
              </w:rPr>
              <w:t>2,320,600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2,060,097</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22 %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color w:val="auto"/>
                <w:w w:val="92"/>
              </w:rPr>
              <w:t>N/A</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0" w:type="dxa"/>
            <w:vAlign w:val="bottom"/>
            <w:gridSpan w:val="6"/>
          </w:tcPr>
          <w:p>
            <w:pPr>
              <w:spacing w:after="0"/>
              <w:rPr>
                <w:sz w:val="20"/>
                <w:szCs w:val="20"/>
                <w:color w:val="auto"/>
              </w:rPr>
            </w:pPr>
            <w:r>
              <w:rPr>
                <w:rFonts w:ascii="Arial" w:cs="Arial" w:eastAsia="Arial" w:hAnsi="Arial"/>
                <w:sz w:val="13"/>
                <w:szCs w:val="13"/>
                <w:b w:val="1"/>
                <w:bCs w:val="1"/>
                <w:color w:val="auto"/>
              </w:rPr>
              <w:t>Lab/Life Sciences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40" w:type="dxa"/>
            <w:vAlign w:val="bottom"/>
            <w:gridSpan w:val="6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200" w:type="dxa"/>
            <w:vAlign w:val="bottom"/>
            <w:gridSpan w:val="6"/>
          </w:tcPr>
          <w:p>
            <w:pPr>
              <w:ind w:left="80"/>
              <w:spacing w:after="0"/>
              <w:rPr>
                <w:sz w:val="20"/>
                <w:szCs w:val="20"/>
                <w:color w:val="auto"/>
              </w:rPr>
            </w:pPr>
            <w:r>
              <w:rPr>
                <w:rFonts w:ascii="Arial" w:cs="Arial" w:eastAsia="Arial" w:hAnsi="Arial"/>
                <w:sz w:val="13"/>
                <w:szCs w:val="13"/>
                <w:color w:val="auto"/>
              </w:rPr>
              <w:t>290 Binney Street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w w:val="95"/>
              </w:rPr>
              <w:t>Cambridge,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700" w:type="dxa"/>
            <w:vAlign w:val="bottom"/>
            <w:gridSpan w:val="4"/>
          </w:tcPr>
          <w:p>
            <w:pPr>
              <w:ind w:left="260"/>
              <w:spacing w:after="0" w:line="126" w:lineRule="exact"/>
              <w:rPr>
                <w:sz w:val="20"/>
                <w:szCs w:val="20"/>
                <w:color w:val="auto"/>
              </w:rPr>
            </w:pPr>
            <w:r>
              <w:rPr>
                <w:rFonts w:ascii="Arial" w:cs="Arial" w:eastAsia="Arial" w:hAnsi="Arial"/>
                <w:sz w:val="13"/>
                <w:szCs w:val="13"/>
                <w:color w:val="auto"/>
              </w:rPr>
              <w:t>(55%</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3"/>
                <w:szCs w:val="13"/>
                <w:color w:val="auto"/>
                <w:w w:val="96"/>
              </w:rPr>
              <w:t>Q2 2026</w:t>
            </w:r>
          </w:p>
        </w:tc>
        <w:tc>
          <w:tcPr>
            <w:tcW w:w="60" w:type="dxa"/>
            <w:vAlign w:val="bottom"/>
          </w:tcPr>
          <w:p>
            <w:pPr>
              <w:spacing w:after="0"/>
              <w:rPr>
                <w:sz w:val="10"/>
                <w:szCs w:val="10"/>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3"/>
                <w:szCs w:val="13"/>
                <w:color w:val="auto"/>
                <w:w w:val="96"/>
              </w:rPr>
              <w:t>Q2 2026</w:t>
            </w:r>
          </w:p>
        </w:tc>
        <w:tc>
          <w:tcPr>
            <w:tcW w:w="680" w:type="dxa"/>
            <w:vAlign w:val="bottom"/>
            <w:gridSpan w:val="2"/>
            <w:vMerge w:val="continue"/>
          </w:tcPr>
          <w:p>
            <w:pPr>
              <w:spacing w:after="0"/>
              <w:rPr>
                <w:sz w:val="10"/>
                <w:szCs w:val="10"/>
                <w:color w:val="auto"/>
              </w:rPr>
            </w:pP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3"/>
                <w:szCs w:val="13"/>
                <w:color w:val="auto"/>
              </w:rPr>
              <w:t>573,000</w:t>
            </w:r>
          </w:p>
        </w:tc>
        <w:tc>
          <w:tcPr>
            <w:tcW w:w="40" w:type="dxa"/>
            <w:vAlign w:val="bottom"/>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3"/>
                <w:szCs w:val="13"/>
                <w:color w:val="auto"/>
              </w:rPr>
              <w:t>335,288</w:t>
            </w:r>
          </w:p>
        </w:tc>
        <w:tc>
          <w:tcPr>
            <w:tcW w:w="880" w:type="dxa"/>
            <w:vAlign w:val="bottom"/>
            <w:gridSpan w:val="7"/>
            <w:vMerge w:val="restart"/>
          </w:tcPr>
          <w:p>
            <w:pPr>
              <w:jc w:val="right"/>
              <w:spacing w:after="0"/>
              <w:rPr>
                <w:sz w:val="20"/>
                <w:szCs w:val="20"/>
                <w:color w:val="auto"/>
              </w:rPr>
            </w:pPr>
            <w:r>
              <w:rPr>
                <w:rFonts w:ascii="Arial" w:cs="Arial" w:eastAsia="Arial" w:hAnsi="Arial"/>
                <w:sz w:val="13"/>
                <w:szCs w:val="13"/>
                <w:color w:val="auto"/>
              </w:rPr>
              <w:t>508,000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vMerge w:val="restart"/>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172,712</w:t>
            </w:r>
          </w:p>
        </w:tc>
        <w:tc>
          <w:tcPr>
            <w:tcW w:w="80" w:type="dxa"/>
            <w:vAlign w:val="bottom"/>
          </w:tcPr>
          <w:p>
            <w:pPr>
              <w:spacing w:after="0"/>
              <w:rPr>
                <w:sz w:val="10"/>
                <w:szCs w:val="10"/>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100 %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restart"/>
          </w:tcPr>
          <w:p>
            <w:pPr>
              <w:ind w:left="4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gridSpan w:val="6"/>
          </w:tcPr>
          <w:p>
            <w:pPr>
              <w:ind w:left="240"/>
              <w:spacing w:after="0" w:line="171" w:lineRule="exact"/>
              <w:rPr>
                <w:sz w:val="20"/>
                <w:szCs w:val="20"/>
                <w:color w:val="auto"/>
              </w:rPr>
            </w:pPr>
            <w:r>
              <w:rPr>
                <w:rFonts w:ascii="Arial" w:cs="Arial" w:eastAsia="Arial" w:hAnsi="Arial"/>
                <w:sz w:val="13"/>
                <w:szCs w:val="13"/>
                <w:color w:val="auto"/>
              </w:rPr>
              <w:t xml:space="preserve">ownership) </w:t>
            </w:r>
            <w:r>
              <w:rPr>
                <w:rFonts w:ascii="Arial" w:cs="Arial" w:eastAsia="Arial" w:hAnsi="Arial"/>
                <w:sz w:val="16"/>
                <w:szCs w:val="16"/>
                <w:color w:val="auto"/>
                <w:vertAlign w:val="superscript"/>
              </w:rPr>
              <w:t>6</w:t>
            </w: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8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88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6"/>
            <w:vMerge w:val="restart"/>
          </w:tcPr>
          <w:p>
            <w:pPr>
              <w:ind w:left="80"/>
              <w:spacing w:after="0"/>
              <w:rPr>
                <w:sz w:val="20"/>
                <w:szCs w:val="20"/>
                <w:color w:val="auto"/>
              </w:rPr>
            </w:pPr>
            <w:r>
              <w:rPr>
                <w:rFonts w:ascii="Arial" w:cs="Arial" w:eastAsia="Arial" w:hAnsi="Arial"/>
                <w:sz w:val="13"/>
                <w:szCs w:val="13"/>
                <w:color w:val="auto"/>
                <w:w w:val="99"/>
              </w:rPr>
              <w:t>651 Gateway (50%</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South San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gridSpan w:val="6"/>
            <w:vMerge w:val="continue"/>
          </w:tcPr>
          <w:p>
            <w:pPr>
              <w:spacing w:after="0"/>
              <w:rPr>
                <w:sz w:val="10"/>
                <w:szCs w:val="10"/>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3"/>
                <w:szCs w:val="13"/>
                <w:color w:val="auto"/>
                <w:w w:val="96"/>
              </w:rPr>
              <w:t>Q1 2024</w:t>
            </w:r>
          </w:p>
        </w:tc>
        <w:tc>
          <w:tcPr>
            <w:tcW w:w="60" w:type="dxa"/>
            <w:vAlign w:val="bottom"/>
          </w:tcPr>
          <w:p>
            <w:pPr>
              <w:spacing w:after="0"/>
              <w:rPr>
                <w:sz w:val="10"/>
                <w:szCs w:val="10"/>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3"/>
                <w:szCs w:val="13"/>
                <w:color w:val="auto"/>
                <w:w w:val="96"/>
              </w:rPr>
              <w:t>Q3 2027</w:t>
            </w:r>
          </w:p>
        </w:tc>
        <w:tc>
          <w:tcPr>
            <w:tcW w:w="680" w:type="dxa"/>
            <w:vAlign w:val="bottom"/>
            <w:gridSpan w:val="2"/>
          </w:tcPr>
          <w:p>
            <w:pPr>
              <w:ind w:left="20"/>
              <w:spacing w:after="0" w:line="126" w:lineRule="exact"/>
              <w:rPr>
                <w:sz w:val="20"/>
                <w:szCs w:val="20"/>
                <w:color w:val="auto"/>
              </w:rPr>
            </w:pPr>
            <w:r>
              <w:rPr>
                <w:rFonts w:ascii="Arial" w:cs="Arial" w:eastAsia="Arial" w:hAnsi="Arial"/>
                <w:sz w:val="13"/>
                <w:szCs w:val="13"/>
                <w:color w:val="auto"/>
              </w:rPr>
              <w:t>Francisco,</w:t>
            </w: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3"/>
                <w:szCs w:val="13"/>
                <w:color w:val="auto"/>
              </w:rPr>
              <w:t>327,000</w:t>
            </w:r>
          </w:p>
        </w:tc>
        <w:tc>
          <w:tcPr>
            <w:tcW w:w="40" w:type="dxa"/>
            <w:vAlign w:val="bottom"/>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3"/>
                <w:szCs w:val="13"/>
                <w:color w:val="auto"/>
              </w:rPr>
              <w:t>134,783</w:t>
            </w:r>
          </w:p>
        </w:tc>
        <w:tc>
          <w:tcPr>
            <w:tcW w:w="880" w:type="dxa"/>
            <w:vAlign w:val="bottom"/>
            <w:gridSpan w:val="7"/>
            <w:vMerge w:val="restart"/>
          </w:tcPr>
          <w:p>
            <w:pPr>
              <w:jc w:val="right"/>
              <w:spacing w:after="0"/>
              <w:rPr>
                <w:sz w:val="20"/>
                <w:szCs w:val="20"/>
                <w:color w:val="auto"/>
              </w:rPr>
            </w:pPr>
            <w:r>
              <w:rPr>
                <w:rFonts w:ascii="Arial" w:cs="Arial" w:eastAsia="Arial" w:hAnsi="Arial"/>
                <w:sz w:val="13"/>
                <w:szCs w:val="13"/>
                <w:color w:val="auto"/>
              </w:rPr>
              <w:t>167,100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vMerge w:val="restart"/>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32,317</w:t>
            </w:r>
          </w:p>
        </w:tc>
        <w:tc>
          <w:tcPr>
            <w:tcW w:w="80" w:type="dxa"/>
            <w:vAlign w:val="bottom"/>
          </w:tcPr>
          <w:p>
            <w:pPr>
              <w:spacing w:after="0"/>
              <w:rPr>
                <w:sz w:val="10"/>
                <w:szCs w:val="10"/>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21 %</w:t>
            </w:r>
          </w:p>
        </w:tc>
        <w:tc>
          <w:tcPr>
            <w:tcW w:w="60" w:type="dxa"/>
            <w:vAlign w:val="bottom"/>
          </w:tcPr>
          <w:p>
            <w:pPr>
              <w:spacing w:after="0"/>
              <w:rPr>
                <w:sz w:val="10"/>
                <w:szCs w:val="10"/>
                <w:color w:val="auto"/>
              </w:rPr>
            </w:pPr>
          </w:p>
        </w:tc>
        <w:tc>
          <w:tcPr>
            <w:tcW w:w="8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27 %</w:t>
            </w:r>
          </w:p>
        </w:tc>
        <w:tc>
          <w:tcPr>
            <w:tcW w:w="1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center"/>
              <w:ind w:left="339"/>
              <w:spacing w:after="0"/>
              <w:rPr>
                <w:sz w:val="20"/>
                <w:szCs w:val="20"/>
                <w:color w:val="auto"/>
              </w:rPr>
            </w:pPr>
            <w:r>
              <w:rPr>
                <w:rFonts w:ascii="Arial" w:cs="Arial" w:eastAsia="Arial" w:hAnsi="Arial"/>
                <w:sz w:val="13"/>
                <w:szCs w:val="13"/>
                <w:color w:val="auto"/>
                <w:w w:val="96"/>
              </w:rPr>
              <w:t>51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0" w:type="dxa"/>
            <w:vAlign w:val="bottom"/>
            <w:gridSpan w:val="6"/>
          </w:tcPr>
          <w:p>
            <w:pPr>
              <w:ind w:left="240"/>
              <w:spacing w:after="0" w:line="175" w:lineRule="exact"/>
              <w:rPr>
                <w:sz w:val="20"/>
                <w:szCs w:val="20"/>
                <w:color w:val="auto"/>
              </w:rPr>
            </w:pPr>
            <w:r>
              <w:rPr>
                <w:rFonts w:ascii="Arial" w:cs="Arial" w:eastAsia="Arial" w:hAnsi="Arial"/>
                <w:sz w:val="13"/>
                <w:szCs w:val="13"/>
                <w:color w:val="auto"/>
              </w:rPr>
              <w:t xml:space="preserve">ownership) </w:t>
            </w:r>
            <w:r>
              <w:rPr>
                <w:rFonts w:ascii="Arial" w:cs="Arial" w:eastAsia="Arial" w:hAnsi="Arial"/>
                <w:sz w:val="16"/>
                <w:szCs w:val="16"/>
                <w:color w:val="auto"/>
                <w:vertAlign w:val="superscript"/>
              </w:rPr>
              <w:t>7</w:t>
            </w:r>
          </w:p>
        </w:tc>
        <w:tc>
          <w:tcPr>
            <w:tcW w:w="7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CA</w:t>
            </w:r>
          </w:p>
        </w:tc>
        <w:tc>
          <w:tcPr>
            <w:tcW w:w="8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88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gridSpan w:val="11"/>
          </w:tcPr>
          <w:p>
            <w:pPr>
              <w:ind w:left="60"/>
              <w:spacing w:after="0" w:line="111" w:lineRule="exact"/>
              <w:rPr>
                <w:sz w:val="20"/>
                <w:szCs w:val="20"/>
                <w:color w:val="auto"/>
              </w:rPr>
            </w:pPr>
            <w:r>
              <w:rPr>
                <w:rFonts w:ascii="Arial" w:cs="Arial" w:eastAsia="Arial" w:hAnsi="Arial"/>
                <w:sz w:val="12"/>
                <w:szCs w:val="12"/>
                <w:b w:val="1"/>
                <w:bCs w:val="1"/>
                <w:color w:val="auto"/>
              </w:rPr>
              <w:t>Total Lab/Life Sciences Properties under</w:t>
            </w: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Arial" w:cs="Arial" w:eastAsia="Arial" w:hAnsi="Arial"/>
                <w:sz w:val="13"/>
                <w:szCs w:val="13"/>
                <w:b w:val="1"/>
                <w:bCs w:val="1"/>
                <w:color w:val="auto"/>
                <w:w w:val="93"/>
              </w:rPr>
              <w:t>Construction</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3"/>
                <w:szCs w:val="13"/>
                <w:color w:val="auto"/>
              </w:rPr>
              <w:t>900,000</w:t>
            </w:r>
          </w:p>
        </w:tc>
        <w:tc>
          <w:tcPr>
            <w:tcW w:w="4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470,071</w:t>
            </w:r>
          </w:p>
        </w:tc>
        <w:tc>
          <w:tcPr>
            <w:tcW w:w="880" w:type="dxa"/>
            <w:vAlign w:val="bottom"/>
            <w:gridSpan w:val="7"/>
          </w:tcPr>
          <w:p>
            <w:pPr>
              <w:jc w:val="right"/>
              <w:spacing w:after="0"/>
              <w:rPr>
                <w:sz w:val="20"/>
                <w:szCs w:val="20"/>
                <w:color w:val="auto"/>
              </w:rPr>
            </w:pPr>
            <w:r>
              <w:rPr>
                <w:rFonts w:ascii="Arial" w:cs="Arial" w:eastAsia="Arial" w:hAnsi="Arial"/>
                <w:sz w:val="13"/>
                <w:szCs w:val="13"/>
                <w:color w:val="auto"/>
              </w:rPr>
              <w:t>675,100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4"/>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205,029</w:t>
            </w:r>
          </w:p>
        </w:tc>
        <w:tc>
          <w:tcPr>
            <w:tcW w:w="8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71 %</w:t>
            </w:r>
          </w:p>
        </w:tc>
        <w:tc>
          <w:tcPr>
            <w:tcW w:w="60" w:type="dxa"/>
            <w:vAlign w:val="bottom"/>
          </w:tcPr>
          <w:p>
            <w:pPr>
              <w:spacing w:after="0"/>
              <w:rPr>
                <w:sz w:val="15"/>
                <w:szCs w:val="15"/>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10 %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left="339"/>
              <w:spacing w:after="0"/>
              <w:rPr>
                <w:sz w:val="20"/>
                <w:szCs w:val="20"/>
                <w:color w:val="auto"/>
              </w:rPr>
            </w:pPr>
            <w:r>
              <w:rPr>
                <w:rFonts w:ascii="Arial" w:cs="Arial" w:eastAsia="Arial" w:hAnsi="Arial"/>
                <w:sz w:val="13"/>
                <w:szCs w:val="13"/>
                <w:color w:val="auto"/>
                <w:w w:val="96"/>
              </w:rPr>
              <w:t>51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5"/>
              </w:rPr>
              <w:t>Residential</w:t>
            </w:r>
          </w:p>
        </w:tc>
        <w:tc>
          <w:tcPr>
            <w:tcW w:w="3060" w:type="dxa"/>
            <w:vAlign w:val="bottom"/>
            <w:gridSpan w:val="14"/>
          </w:tcPr>
          <w:p>
            <w:pPr>
              <w:spacing w:after="0"/>
              <w:rPr>
                <w:sz w:val="19"/>
                <w:szCs w:val="19"/>
                <w:color w:val="auto"/>
              </w:rPr>
            </w:pPr>
          </w:p>
        </w:tc>
        <w:tc>
          <w:tcPr>
            <w:tcW w:w="640" w:type="dxa"/>
            <w:vAlign w:val="bottom"/>
            <w:tcBorders>
              <w:top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gridSpan w:val="4"/>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gridSpan w:val="5"/>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gridSpan w:val="5"/>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gridSpan w:val="3"/>
          </w:tcPr>
          <w:p>
            <w:pPr>
              <w:spacing w:after="0"/>
              <w:rPr>
                <w:sz w:val="19"/>
                <w:szCs w:val="19"/>
                <w:color w:val="auto"/>
              </w:rPr>
            </w:pPr>
          </w:p>
        </w:tc>
        <w:tc>
          <w:tcPr>
            <w:tcW w:w="100" w:type="dxa"/>
            <w:vAlign w:val="bottom"/>
            <w:gridSpan w:val="2"/>
          </w:tcPr>
          <w:p>
            <w:pPr>
              <w:spacing w:after="0"/>
              <w:rPr>
                <w:sz w:val="19"/>
                <w:szCs w:val="19"/>
                <w:color w:val="auto"/>
              </w:rPr>
            </w:pPr>
          </w:p>
        </w:tc>
        <w:tc>
          <w:tcPr>
            <w:tcW w:w="820" w:type="dxa"/>
            <w:vAlign w:val="bottom"/>
            <w:tcBorders>
              <w:top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820" w:type="dxa"/>
            <w:vAlign w:val="bottom"/>
            <w:tcBorders>
              <w:top w:val="single" w:sz="8" w:color="auto"/>
            </w:tcBorders>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760" w:type="dxa"/>
            <w:vAlign w:val="bottom"/>
            <w:tcBorders>
              <w:top w:val="single" w:sz="8" w:color="auto"/>
            </w:tcBorders>
            <w:gridSpan w:val="2"/>
          </w:tcPr>
          <w:p>
            <w:pPr>
              <w:spacing w:after="0"/>
              <w:rPr>
                <w:sz w:val="19"/>
                <w:szCs w:val="19"/>
                <w:color w:val="auto"/>
              </w:rPr>
            </w:pP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00" w:type="dxa"/>
            <w:vAlign w:val="bottom"/>
            <w:gridSpan w:val="6"/>
          </w:tcPr>
          <w:p>
            <w:pPr>
              <w:ind w:left="80"/>
              <w:spacing w:after="0"/>
              <w:rPr>
                <w:sz w:val="20"/>
                <w:szCs w:val="20"/>
                <w:color w:val="auto"/>
              </w:rPr>
            </w:pPr>
            <w:r>
              <w:rPr>
                <w:rFonts w:ascii="Arial" w:cs="Arial" w:eastAsia="Arial" w:hAnsi="Arial"/>
                <w:sz w:val="13"/>
                <w:szCs w:val="13"/>
                <w:color w:val="auto"/>
              </w:rPr>
              <w:t>17 Hartwell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gridSpan w:val="6"/>
          </w:tcPr>
          <w:p>
            <w:pPr>
              <w:ind w:left="240"/>
              <w:spacing w:after="0" w:line="126" w:lineRule="exact"/>
              <w:rPr>
                <w:sz w:val="20"/>
                <w:szCs w:val="20"/>
                <w:color w:val="auto"/>
              </w:rPr>
            </w:pPr>
            <w:r>
              <w:rPr>
                <w:rFonts w:ascii="Arial" w:cs="Arial" w:eastAsia="Arial" w:hAnsi="Arial"/>
                <w:sz w:val="13"/>
                <w:szCs w:val="13"/>
                <w:color w:val="auto"/>
              </w:rPr>
              <w:t>Avenue (312</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rPr>
              <w:t>Lexington,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0" w:type="dxa"/>
            <w:vAlign w:val="bottom"/>
            <w:gridSpan w:val="6"/>
          </w:tcPr>
          <w:p>
            <w:pPr>
              <w:ind w:left="240"/>
              <w:spacing w:after="0" w:line="122" w:lineRule="exact"/>
              <w:rPr>
                <w:sz w:val="20"/>
                <w:szCs w:val="20"/>
                <w:color w:val="auto"/>
              </w:rPr>
            </w:pPr>
            <w:r>
              <w:rPr>
                <w:rFonts w:ascii="Arial" w:cs="Arial" w:eastAsia="Arial" w:hAnsi="Arial"/>
                <w:sz w:val="13"/>
                <w:szCs w:val="13"/>
                <w:color w:val="auto"/>
              </w:rPr>
              <w:t>units) (20%</w:t>
            </w: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3"/>
                <w:szCs w:val="13"/>
                <w:color w:val="auto"/>
                <w:w w:val="96"/>
              </w:rPr>
              <w:t>Q2 2027</w:t>
            </w:r>
          </w:p>
        </w:tc>
        <w:tc>
          <w:tcPr>
            <w:tcW w:w="60" w:type="dxa"/>
            <w:vAlign w:val="bottom"/>
          </w:tcPr>
          <w:p>
            <w:pPr>
              <w:spacing w:after="0"/>
              <w:rPr>
                <w:sz w:val="10"/>
                <w:szCs w:val="10"/>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3"/>
                <w:szCs w:val="13"/>
                <w:color w:val="auto"/>
                <w:w w:val="96"/>
              </w:rPr>
              <w:t>Q2 2028</w:t>
            </w:r>
          </w:p>
        </w:tc>
        <w:tc>
          <w:tcPr>
            <w:tcW w:w="680" w:type="dxa"/>
            <w:vAlign w:val="bottom"/>
            <w:gridSpan w:val="2"/>
            <w:vMerge w:val="continue"/>
          </w:tcPr>
          <w:p>
            <w:pPr>
              <w:spacing w:after="0"/>
              <w:rPr>
                <w:sz w:val="10"/>
                <w:szCs w:val="10"/>
                <w:color w:val="auto"/>
              </w:rPr>
            </w:pP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3"/>
                <w:szCs w:val="13"/>
                <w:color w:val="auto"/>
              </w:rPr>
              <w:t>288,000</w:t>
            </w:r>
          </w:p>
        </w:tc>
        <w:tc>
          <w:tcPr>
            <w:tcW w:w="40" w:type="dxa"/>
            <w:vAlign w:val="bottom"/>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3"/>
                <w:szCs w:val="13"/>
                <w:color w:val="auto"/>
              </w:rPr>
              <w:t>8,460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gridSpan w:val="4"/>
            <w:vMerge w:val="restart"/>
          </w:tcPr>
          <w:p>
            <w:pPr>
              <w:jc w:val="right"/>
              <w:spacing w:after="0"/>
              <w:rPr>
                <w:sz w:val="20"/>
                <w:szCs w:val="20"/>
                <w:color w:val="auto"/>
              </w:rPr>
            </w:pPr>
            <w:r>
              <w:rPr>
                <w:rFonts w:ascii="Arial" w:cs="Arial" w:eastAsia="Arial" w:hAnsi="Arial"/>
                <w:sz w:val="13"/>
                <w:szCs w:val="13"/>
                <w:color w:val="auto"/>
                <w:w w:val="90"/>
              </w:rPr>
              <w:t>35,900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auto"/>
              </w:rPr>
              <w:t>19,747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vMerge w:val="restart"/>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7,693</w:t>
            </w:r>
          </w:p>
        </w:tc>
        <w:tc>
          <w:tcPr>
            <w:tcW w:w="80" w:type="dxa"/>
            <w:vAlign w:val="bottom"/>
          </w:tcPr>
          <w:p>
            <w:pPr>
              <w:spacing w:after="0"/>
              <w:rPr>
                <w:sz w:val="10"/>
                <w:szCs w:val="10"/>
                <w:color w:val="auto"/>
              </w:rPr>
            </w:pPr>
          </w:p>
        </w:tc>
        <w:tc>
          <w:tcPr>
            <w:tcW w:w="900" w:type="dxa"/>
            <w:vAlign w:val="bottom"/>
            <w:gridSpan w:val="3"/>
            <w:vMerge w:val="restart"/>
          </w:tcPr>
          <w:p>
            <w:pPr>
              <w:jc w:val="right"/>
              <w:ind w:right="39"/>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restart"/>
          </w:tcPr>
          <w:p>
            <w:pPr>
              <w:ind w:left="4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6"/>
          </w:tcPr>
          <w:p>
            <w:pPr>
              <w:ind w:left="240"/>
              <w:spacing w:after="0"/>
              <w:rPr>
                <w:sz w:val="20"/>
                <w:szCs w:val="20"/>
                <w:color w:val="auto"/>
              </w:rPr>
            </w:pPr>
            <w:r>
              <w:rPr>
                <w:rFonts w:ascii="Arial" w:cs="Arial" w:eastAsia="Arial" w:hAnsi="Arial"/>
                <w:sz w:val="13"/>
                <w:szCs w:val="13"/>
                <w:color w:val="auto"/>
              </w:rPr>
              <w:t>ownership)</w:t>
            </w: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8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gridSpan w:val="6"/>
          </w:tcPr>
          <w:p>
            <w:pPr>
              <w:ind w:left="200"/>
              <w:spacing w:after="0" w:line="140" w:lineRule="exact"/>
              <w:rPr>
                <w:sz w:val="20"/>
                <w:szCs w:val="20"/>
                <w:color w:val="auto"/>
              </w:rPr>
            </w:pPr>
            <w:r>
              <w:rPr>
                <w:rFonts w:ascii="Arial" w:cs="Arial" w:eastAsia="Arial" w:hAnsi="Arial"/>
                <w:sz w:val="13"/>
                <w:szCs w:val="13"/>
                <w:color w:val="auto"/>
              </w:rPr>
              <w:t>17 Hartwell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5"/>
          </w:tcPr>
          <w:p>
            <w:pPr>
              <w:ind w:left="20"/>
              <w:spacing w:after="0" w:line="126" w:lineRule="exact"/>
              <w:rPr>
                <w:sz w:val="20"/>
                <w:szCs w:val="20"/>
                <w:color w:val="auto"/>
              </w:rPr>
            </w:pPr>
            <w:r>
              <w:rPr>
                <w:rFonts w:ascii="Arial" w:cs="Arial" w:eastAsia="Arial" w:hAnsi="Arial"/>
                <w:sz w:val="13"/>
                <w:szCs w:val="13"/>
                <w:color w:val="auto"/>
              </w:rPr>
              <w:t>Avenue -</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3"/>
                <w:szCs w:val="13"/>
                <w:color w:val="auto"/>
              </w:rPr>
              <w:t>2,100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vMerge w:val="restart"/>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00" w:type="dxa"/>
            <w:vAlign w:val="bottom"/>
            <w:gridSpan w:val="3"/>
            <w:vMerge w:val="restart"/>
          </w:tcPr>
          <w:p>
            <w:pPr>
              <w:jc w:val="right"/>
              <w:ind w:right="39"/>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restart"/>
          </w:tcPr>
          <w:p>
            <w:pPr>
              <w:ind w:left="4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5"/>
          </w:tcPr>
          <w:p>
            <w:pPr>
              <w:ind w:left="20"/>
              <w:spacing w:after="0"/>
              <w:rPr>
                <w:sz w:val="20"/>
                <w:szCs w:val="20"/>
                <w:color w:val="auto"/>
              </w:rPr>
            </w:pPr>
            <w:r>
              <w:rPr>
                <w:rFonts w:ascii="Arial" w:cs="Arial" w:eastAsia="Arial" w:hAnsi="Arial"/>
                <w:sz w:val="13"/>
                <w:szCs w:val="13"/>
                <w:color w:val="auto"/>
              </w:rPr>
              <w:t>Retail</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gridSpan w:val="6"/>
          </w:tcPr>
          <w:p>
            <w:pPr>
              <w:ind w:left="80"/>
              <w:spacing w:after="0" w:line="140" w:lineRule="exact"/>
              <w:rPr>
                <w:sz w:val="20"/>
                <w:szCs w:val="20"/>
                <w:color w:val="auto"/>
              </w:rPr>
            </w:pPr>
            <w:r>
              <w:rPr>
                <w:rFonts w:ascii="Arial" w:cs="Arial" w:eastAsia="Arial" w:hAnsi="Arial"/>
                <w:sz w:val="13"/>
                <w:szCs w:val="13"/>
                <w:color w:val="auto"/>
              </w:rPr>
              <w:t>121 Broadway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w w:val="95"/>
              </w:rPr>
              <w:t>Cambridge,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gridSpan w:val="6"/>
          </w:tcPr>
          <w:p>
            <w:pPr>
              <w:ind w:left="240"/>
              <w:spacing w:after="0" w:line="126" w:lineRule="exact"/>
              <w:rPr>
                <w:sz w:val="20"/>
                <w:szCs w:val="20"/>
                <w:color w:val="auto"/>
              </w:rPr>
            </w:pPr>
            <w:r>
              <w:rPr>
                <w:rFonts w:ascii="Arial" w:cs="Arial" w:eastAsia="Arial" w:hAnsi="Arial"/>
                <w:sz w:val="13"/>
                <w:szCs w:val="13"/>
                <w:color w:val="auto"/>
              </w:rPr>
              <w:t>Street (439</w:t>
            </w: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3"/>
                <w:szCs w:val="13"/>
                <w:color w:val="auto"/>
                <w:w w:val="96"/>
              </w:rPr>
              <w:t>Q3 2027</w:t>
            </w:r>
          </w:p>
        </w:tc>
        <w:tc>
          <w:tcPr>
            <w:tcW w:w="60" w:type="dxa"/>
            <w:vAlign w:val="bottom"/>
          </w:tcPr>
          <w:p>
            <w:pPr>
              <w:spacing w:after="0"/>
              <w:rPr>
                <w:sz w:val="10"/>
                <w:szCs w:val="10"/>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3"/>
                <w:szCs w:val="13"/>
                <w:color w:val="auto"/>
                <w:w w:val="96"/>
              </w:rPr>
              <w:t>Q2 2029</w:t>
            </w:r>
          </w:p>
        </w:tc>
        <w:tc>
          <w:tcPr>
            <w:tcW w:w="680" w:type="dxa"/>
            <w:vAlign w:val="bottom"/>
            <w:gridSpan w:val="2"/>
            <w:vMerge w:val="continue"/>
          </w:tcPr>
          <w:p>
            <w:pPr>
              <w:spacing w:after="0"/>
              <w:rPr>
                <w:sz w:val="10"/>
                <w:szCs w:val="10"/>
                <w:color w:val="auto"/>
              </w:rPr>
            </w:pP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3"/>
                <w:szCs w:val="13"/>
                <w:color w:val="auto"/>
              </w:rPr>
              <w:t>492,000</w:t>
            </w:r>
          </w:p>
        </w:tc>
        <w:tc>
          <w:tcPr>
            <w:tcW w:w="40" w:type="dxa"/>
            <w:vAlign w:val="bottom"/>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3"/>
                <w:szCs w:val="13"/>
                <w:color w:val="auto"/>
              </w:rPr>
              <w:t>221,830</w:t>
            </w:r>
          </w:p>
        </w:tc>
        <w:tc>
          <w:tcPr>
            <w:tcW w:w="880" w:type="dxa"/>
            <w:vAlign w:val="bottom"/>
            <w:gridSpan w:val="7"/>
            <w:vMerge w:val="restart"/>
          </w:tcPr>
          <w:p>
            <w:pPr>
              <w:jc w:val="right"/>
              <w:spacing w:after="0"/>
              <w:rPr>
                <w:sz w:val="20"/>
                <w:szCs w:val="20"/>
                <w:color w:val="auto"/>
              </w:rPr>
            </w:pPr>
            <w:r>
              <w:rPr>
                <w:rFonts w:ascii="Arial" w:cs="Arial" w:eastAsia="Arial" w:hAnsi="Arial"/>
                <w:sz w:val="13"/>
                <w:szCs w:val="13"/>
                <w:color w:val="auto"/>
              </w:rPr>
              <w:t>597,800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vMerge w:val="restart"/>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375,970</w:t>
            </w:r>
          </w:p>
        </w:tc>
        <w:tc>
          <w:tcPr>
            <w:tcW w:w="80" w:type="dxa"/>
            <w:vAlign w:val="bottom"/>
          </w:tcPr>
          <w:p>
            <w:pPr>
              <w:spacing w:after="0"/>
              <w:rPr>
                <w:sz w:val="10"/>
                <w:szCs w:val="10"/>
                <w:color w:val="auto"/>
              </w:rPr>
            </w:pPr>
          </w:p>
        </w:tc>
        <w:tc>
          <w:tcPr>
            <w:tcW w:w="900" w:type="dxa"/>
            <w:vAlign w:val="bottom"/>
            <w:gridSpan w:val="3"/>
            <w:vMerge w:val="restart"/>
          </w:tcPr>
          <w:p>
            <w:pPr>
              <w:jc w:val="right"/>
              <w:ind w:right="39"/>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restart"/>
          </w:tcPr>
          <w:p>
            <w:pPr>
              <w:ind w:left="4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6"/>
          </w:tcPr>
          <w:p>
            <w:pPr>
              <w:ind w:left="240"/>
              <w:spacing w:after="0"/>
              <w:rPr>
                <w:sz w:val="20"/>
                <w:szCs w:val="20"/>
                <w:color w:val="auto"/>
              </w:rPr>
            </w:pPr>
            <w:r>
              <w:rPr>
                <w:rFonts w:ascii="Arial" w:cs="Arial" w:eastAsia="Arial" w:hAnsi="Arial"/>
                <w:sz w:val="13"/>
                <w:szCs w:val="13"/>
                <w:color w:val="auto"/>
              </w:rPr>
              <w:t>units)</w:t>
            </w: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8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88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gridSpan w:val="6"/>
          </w:tcPr>
          <w:p>
            <w:pPr>
              <w:ind w:left="80"/>
              <w:spacing w:after="0" w:line="140" w:lineRule="exact"/>
              <w:rPr>
                <w:sz w:val="20"/>
                <w:szCs w:val="20"/>
                <w:color w:val="auto"/>
              </w:rPr>
            </w:pPr>
            <w:r>
              <w:rPr>
                <w:rFonts w:ascii="Arial" w:cs="Arial" w:eastAsia="Arial" w:hAnsi="Arial"/>
                <w:sz w:val="13"/>
                <w:szCs w:val="13"/>
                <w:color w:val="auto"/>
              </w:rPr>
              <w:t>290 Coles Street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gridSpan w:val="6"/>
          </w:tcPr>
          <w:p>
            <w:pPr>
              <w:ind w:left="240"/>
              <w:spacing w:after="0" w:line="126" w:lineRule="exact"/>
              <w:rPr>
                <w:sz w:val="20"/>
                <w:szCs w:val="20"/>
                <w:color w:val="auto"/>
              </w:rPr>
            </w:pPr>
            <w:r>
              <w:rPr>
                <w:rFonts w:ascii="Arial" w:cs="Arial" w:eastAsia="Arial" w:hAnsi="Arial"/>
                <w:sz w:val="13"/>
                <w:szCs w:val="13"/>
                <w:color w:val="auto"/>
              </w:rPr>
              <w:t>(670 units)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w w:val="94"/>
              </w:rPr>
              <w:t>Jersey City,</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gridSpan w:val="5"/>
          </w:tcPr>
          <w:p>
            <w:pPr>
              <w:ind w:left="260"/>
              <w:spacing w:after="0" w:line="122" w:lineRule="exact"/>
              <w:rPr>
                <w:sz w:val="20"/>
                <w:szCs w:val="20"/>
                <w:color w:val="auto"/>
              </w:rPr>
            </w:pPr>
            <w:r>
              <w:rPr>
                <w:rFonts w:ascii="Arial" w:cs="Arial" w:eastAsia="Arial" w:hAnsi="Arial"/>
                <w:sz w:val="13"/>
                <w:szCs w:val="13"/>
                <w:color w:val="auto"/>
              </w:rPr>
              <w:t>(19.46%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3"/>
                <w:szCs w:val="13"/>
                <w:color w:val="auto"/>
                <w:w w:val="96"/>
              </w:rPr>
              <w:t>Q2 2028</w:t>
            </w:r>
          </w:p>
        </w:tc>
        <w:tc>
          <w:tcPr>
            <w:tcW w:w="60" w:type="dxa"/>
            <w:vAlign w:val="bottom"/>
          </w:tcPr>
          <w:p>
            <w:pPr>
              <w:spacing w:after="0"/>
              <w:rPr>
                <w:sz w:val="10"/>
                <w:szCs w:val="10"/>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3"/>
                <w:szCs w:val="13"/>
                <w:color w:val="auto"/>
                <w:w w:val="96"/>
              </w:rPr>
              <w:t>Q3 2029</w:t>
            </w:r>
          </w:p>
        </w:tc>
        <w:tc>
          <w:tcPr>
            <w:tcW w:w="680" w:type="dxa"/>
            <w:vAlign w:val="bottom"/>
            <w:gridSpan w:val="2"/>
            <w:vMerge w:val="continue"/>
          </w:tcPr>
          <w:p>
            <w:pPr>
              <w:spacing w:after="0"/>
              <w:rPr>
                <w:sz w:val="10"/>
                <w:szCs w:val="10"/>
                <w:color w:val="auto"/>
              </w:rPr>
            </w:pP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3"/>
                <w:szCs w:val="13"/>
                <w:color w:val="auto"/>
              </w:rPr>
              <w:t>547,000</w:t>
            </w:r>
          </w:p>
        </w:tc>
        <w:tc>
          <w:tcPr>
            <w:tcW w:w="40" w:type="dxa"/>
            <w:vAlign w:val="bottom"/>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3"/>
                <w:szCs w:val="13"/>
                <w:color w:val="auto"/>
              </w:rPr>
              <w:t>20,503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gridSpan w:val="4"/>
            <w:vMerge w:val="restart"/>
          </w:tcPr>
          <w:p>
            <w:pPr>
              <w:jc w:val="right"/>
              <w:spacing w:after="0"/>
              <w:rPr>
                <w:sz w:val="20"/>
                <w:szCs w:val="20"/>
                <w:color w:val="auto"/>
              </w:rPr>
            </w:pPr>
            <w:r>
              <w:rPr>
                <w:rFonts w:ascii="Arial" w:cs="Arial" w:eastAsia="Arial" w:hAnsi="Arial"/>
                <w:sz w:val="13"/>
                <w:szCs w:val="13"/>
                <w:color w:val="auto"/>
                <w:w w:val="90"/>
              </w:rPr>
              <w:t>88,700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auto"/>
              </w:rPr>
              <w:t>56,400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vMerge w:val="restart"/>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11,797</w:t>
            </w:r>
          </w:p>
        </w:tc>
        <w:tc>
          <w:tcPr>
            <w:tcW w:w="80" w:type="dxa"/>
            <w:vAlign w:val="bottom"/>
          </w:tcPr>
          <w:p>
            <w:pPr>
              <w:spacing w:after="0"/>
              <w:rPr>
                <w:sz w:val="10"/>
                <w:szCs w:val="10"/>
                <w:color w:val="auto"/>
              </w:rPr>
            </w:pPr>
          </w:p>
        </w:tc>
        <w:tc>
          <w:tcPr>
            <w:tcW w:w="900" w:type="dxa"/>
            <w:vAlign w:val="bottom"/>
            <w:gridSpan w:val="3"/>
            <w:vMerge w:val="restart"/>
          </w:tcPr>
          <w:p>
            <w:pPr>
              <w:jc w:val="right"/>
              <w:ind w:right="39"/>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restart"/>
          </w:tcPr>
          <w:p>
            <w:pPr>
              <w:ind w:left="4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gridSpan w:val="6"/>
          </w:tcPr>
          <w:p>
            <w:pPr>
              <w:ind w:left="240"/>
              <w:spacing w:after="0" w:line="171" w:lineRule="exact"/>
              <w:rPr>
                <w:sz w:val="20"/>
                <w:szCs w:val="20"/>
                <w:color w:val="auto"/>
              </w:rPr>
            </w:pPr>
            <w:r>
              <w:rPr>
                <w:rFonts w:ascii="Arial" w:cs="Arial" w:eastAsia="Arial" w:hAnsi="Arial"/>
                <w:sz w:val="13"/>
                <w:szCs w:val="13"/>
                <w:color w:val="auto"/>
              </w:rPr>
              <w:t xml:space="preserve">ownership) </w:t>
            </w:r>
            <w:r>
              <w:rPr>
                <w:rFonts w:ascii="Arial" w:cs="Arial" w:eastAsia="Arial" w:hAnsi="Arial"/>
                <w:sz w:val="16"/>
                <w:szCs w:val="16"/>
                <w:color w:val="auto"/>
                <w:vertAlign w:val="superscript"/>
              </w:rPr>
              <w:t>8</w:t>
            </w: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NJ</w:t>
            </w:r>
          </w:p>
        </w:tc>
        <w:tc>
          <w:tcPr>
            <w:tcW w:w="8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6"/>
          </w:tcPr>
          <w:p>
            <w:pPr>
              <w:ind w:left="200"/>
              <w:spacing w:after="0" w:line="135" w:lineRule="exact"/>
              <w:rPr>
                <w:sz w:val="20"/>
                <w:szCs w:val="20"/>
                <w:color w:val="auto"/>
              </w:rPr>
            </w:pPr>
            <w:r>
              <w:rPr>
                <w:rFonts w:ascii="Arial" w:cs="Arial" w:eastAsia="Arial" w:hAnsi="Arial"/>
                <w:sz w:val="13"/>
                <w:szCs w:val="13"/>
                <w:color w:val="auto"/>
              </w:rPr>
              <w:t>290 Coles Street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5"/>
          </w:tcPr>
          <w:p>
            <w:pPr>
              <w:ind w:left="20"/>
              <w:spacing w:after="0"/>
              <w:rPr>
                <w:sz w:val="20"/>
                <w:szCs w:val="20"/>
                <w:color w:val="auto"/>
              </w:rPr>
            </w:pPr>
            <w:r>
              <w:rPr>
                <w:rFonts w:ascii="Arial" w:cs="Arial" w:eastAsia="Arial" w:hAnsi="Arial"/>
                <w:sz w:val="13"/>
                <w:szCs w:val="13"/>
                <w:color w:val="auto"/>
              </w:rPr>
              <w:t>- Retail</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3"/>
                <w:szCs w:val="13"/>
                <w:color w:val="auto"/>
              </w:rPr>
              <w:t>13,000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4"/>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00" w:type="dxa"/>
            <w:vAlign w:val="bottom"/>
            <w:gridSpan w:val="3"/>
          </w:tcPr>
          <w:p>
            <w:pPr>
              <w:jc w:val="right"/>
              <w:ind w:right="39"/>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4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gridSpan w:val="13"/>
          </w:tcPr>
          <w:p>
            <w:pPr>
              <w:ind w:left="60"/>
              <w:spacing w:after="0"/>
              <w:rPr>
                <w:sz w:val="20"/>
                <w:szCs w:val="20"/>
                <w:color w:val="auto"/>
              </w:rPr>
            </w:pPr>
            <w:r>
              <w:rPr>
                <w:rFonts w:ascii="Arial" w:cs="Arial" w:eastAsia="Arial" w:hAnsi="Arial"/>
                <w:sz w:val="13"/>
                <w:szCs w:val="13"/>
                <w:b w:val="1"/>
                <w:bCs w:val="1"/>
                <w:color w:val="auto"/>
              </w:rPr>
              <w:t>Total Residential Properties under Construction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96"/>
              </w:rPr>
              <w:t>1,342,100</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250,793</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3"/>
                <w:szCs w:val="13"/>
                <w:color w:val="auto"/>
              </w:rPr>
              <w:t>722,400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76,147</w:t>
            </w: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395,460</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color w:val="auto"/>
                <w:w w:val="92"/>
              </w:rPr>
              <w:t>N/A</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0" w:type="dxa"/>
            <w:vAlign w:val="bottom"/>
            <w:gridSpan w:val="6"/>
          </w:tcPr>
          <w:p>
            <w:pPr>
              <w:spacing w:after="0" w:line="122" w:lineRule="exact"/>
              <w:rPr>
                <w:sz w:val="20"/>
                <w:szCs w:val="20"/>
                <w:color w:val="auto"/>
              </w:rPr>
            </w:pPr>
            <w:r>
              <w:rPr>
                <w:rFonts w:ascii="Arial" w:cs="Arial" w:eastAsia="Arial" w:hAnsi="Arial"/>
                <w:sz w:val="13"/>
                <w:szCs w:val="13"/>
                <w:b w:val="1"/>
                <w:bCs w:val="1"/>
                <w:color w:val="auto"/>
              </w:rPr>
              <w:t>Retail</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gridSpan w:val="6"/>
          </w:tcPr>
          <w:p>
            <w:pPr>
              <w:ind w:left="80"/>
              <w:spacing w:after="0"/>
              <w:rPr>
                <w:sz w:val="20"/>
                <w:szCs w:val="20"/>
                <w:color w:val="auto"/>
              </w:rPr>
            </w:pPr>
            <w:r>
              <w:rPr>
                <w:rFonts w:ascii="Arial" w:cs="Arial" w:eastAsia="Arial" w:hAnsi="Arial"/>
                <w:sz w:val="13"/>
                <w:szCs w:val="13"/>
                <w:color w:val="auto"/>
              </w:rPr>
              <w:t>Reston Next Retail</w:t>
            </w:r>
          </w:p>
        </w:tc>
        <w:tc>
          <w:tcPr>
            <w:tcW w:w="780" w:type="dxa"/>
            <w:vAlign w:val="bottom"/>
            <w:gridSpan w:val="3"/>
          </w:tcPr>
          <w:p>
            <w:pPr>
              <w:jc w:val="center"/>
              <w:ind w:right="100"/>
              <w:spacing w:after="0"/>
              <w:rPr>
                <w:sz w:val="20"/>
                <w:szCs w:val="20"/>
                <w:color w:val="auto"/>
              </w:rPr>
            </w:pPr>
            <w:r>
              <w:rPr>
                <w:rFonts w:ascii="Arial" w:cs="Arial" w:eastAsia="Arial" w:hAnsi="Arial"/>
                <w:sz w:val="13"/>
                <w:szCs w:val="13"/>
                <w:color w:val="auto"/>
                <w:w w:val="96"/>
              </w:rPr>
              <w:t>Q1 2026</w:t>
            </w:r>
          </w:p>
        </w:tc>
        <w:tc>
          <w:tcPr>
            <w:tcW w:w="60" w:type="dxa"/>
            <w:vAlign w:val="bottom"/>
          </w:tcPr>
          <w:p>
            <w:pPr>
              <w:spacing w:after="0"/>
              <w:rPr>
                <w:sz w:val="16"/>
                <w:szCs w:val="16"/>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3"/>
                <w:szCs w:val="13"/>
                <w:color w:val="auto"/>
                <w:w w:val="96"/>
              </w:rPr>
              <w:t>Q4 2026</w:t>
            </w:r>
          </w:p>
        </w:tc>
        <w:tc>
          <w:tcPr>
            <w:tcW w:w="680" w:type="dxa"/>
            <w:vAlign w:val="bottom"/>
            <w:gridSpan w:val="2"/>
          </w:tcPr>
          <w:p>
            <w:pPr>
              <w:ind w:left="20"/>
              <w:spacing w:after="0"/>
              <w:rPr>
                <w:sz w:val="20"/>
                <w:szCs w:val="20"/>
                <w:color w:val="auto"/>
              </w:rPr>
            </w:pPr>
            <w:r>
              <w:rPr>
                <w:rFonts w:ascii="Arial" w:cs="Arial" w:eastAsia="Arial" w:hAnsi="Arial"/>
                <w:sz w:val="13"/>
                <w:szCs w:val="13"/>
                <w:color w:val="auto"/>
                <w:w w:val="97"/>
              </w:rPr>
              <w:t>Reston, VA</w:t>
            </w:r>
          </w:p>
        </w:tc>
        <w:tc>
          <w:tcPr>
            <w:tcW w:w="820" w:type="dxa"/>
            <w:vAlign w:val="bottom"/>
            <w:gridSpan w:val="4"/>
          </w:tcPr>
          <w:p>
            <w:pPr>
              <w:jc w:val="right"/>
              <w:ind w:right="20"/>
              <w:spacing w:after="0"/>
              <w:rPr>
                <w:sz w:val="20"/>
                <w:szCs w:val="20"/>
                <w:color w:val="auto"/>
              </w:rPr>
            </w:pPr>
            <w:r>
              <w:rPr>
                <w:rFonts w:ascii="Arial" w:cs="Arial" w:eastAsia="Arial" w:hAnsi="Arial"/>
                <w:sz w:val="13"/>
                <w:szCs w:val="13"/>
                <w:color w:val="auto"/>
              </w:rPr>
              <w:t>30,000</w:t>
            </w:r>
          </w:p>
        </w:tc>
        <w:tc>
          <w:tcPr>
            <w:tcW w:w="4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26,823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gridSpan w:val="4"/>
          </w:tcPr>
          <w:p>
            <w:pPr>
              <w:jc w:val="right"/>
              <w:spacing w:after="0"/>
              <w:rPr>
                <w:sz w:val="20"/>
                <w:szCs w:val="20"/>
                <w:color w:val="auto"/>
              </w:rPr>
            </w:pPr>
            <w:r>
              <w:rPr>
                <w:rFonts w:ascii="Arial" w:cs="Arial" w:eastAsia="Arial" w:hAnsi="Arial"/>
                <w:sz w:val="13"/>
                <w:szCs w:val="13"/>
                <w:color w:val="auto"/>
                <w:w w:val="90"/>
              </w:rPr>
              <w:t>31,600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4"/>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4,777</w:t>
            </w:r>
          </w:p>
        </w:tc>
        <w:tc>
          <w:tcPr>
            <w:tcW w:w="8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70 %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11"/>
          </w:tcPr>
          <w:p>
            <w:pPr>
              <w:ind w:left="60"/>
              <w:spacing w:after="0"/>
              <w:rPr>
                <w:sz w:val="20"/>
                <w:szCs w:val="20"/>
                <w:color w:val="auto"/>
              </w:rPr>
            </w:pPr>
            <w:r>
              <w:rPr>
                <w:rFonts w:ascii="Arial" w:cs="Arial" w:eastAsia="Arial" w:hAnsi="Arial"/>
                <w:sz w:val="13"/>
                <w:szCs w:val="13"/>
                <w:b w:val="1"/>
                <w:bCs w:val="1"/>
                <w:color w:val="auto"/>
                <w:w w:val="95"/>
              </w:rPr>
              <w:t>Total Retail Property under Construction</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30,000</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26,823</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color w:val="auto"/>
                <w:w w:val="90"/>
              </w:rPr>
              <w:t>31,600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4,777</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70 %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gridSpan w:val="13"/>
          </w:tcPr>
          <w:p>
            <w:pPr>
              <w:spacing w:after="0"/>
              <w:rPr>
                <w:sz w:val="20"/>
                <w:szCs w:val="20"/>
                <w:color w:val="auto"/>
              </w:rPr>
            </w:pPr>
            <w:r>
              <w:rPr>
                <w:rFonts w:ascii="Arial" w:cs="Arial" w:eastAsia="Arial" w:hAnsi="Arial"/>
                <w:sz w:val="13"/>
                <w:szCs w:val="13"/>
                <w:b w:val="1"/>
                <w:bCs w:val="1"/>
                <w:color w:val="auto"/>
              </w:rPr>
              <w:t>Total Properties Under Construction</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96"/>
              </w:rPr>
              <w:t>3,522,100</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98"/>
              </w:rPr>
              <w:t>$ 1,008,190</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color w:val="auto"/>
                <w:w w:val="98"/>
              </w:rPr>
              <w:t>$ 3,749,700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76,147</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2,665,363</w:t>
            </w:r>
          </w:p>
        </w:tc>
        <w:tc>
          <w:tcPr>
            <w:tcW w:w="8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43 %</w:t>
            </w:r>
          </w:p>
        </w:tc>
        <w:tc>
          <w:tcPr>
            <w:tcW w:w="60" w:type="dxa"/>
            <w:vAlign w:val="bottom"/>
          </w:tcPr>
          <w:p>
            <w:pPr>
              <w:jc w:val="right"/>
              <w:spacing w:after="0"/>
              <w:rPr>
                <w:sz w:val="20"/>
                <w:szCs w:val="20"/>
                <w:color w:val="auto"/>
              </w:rPr>
            </w:pPr>
            <w:r>
              <w:rPr>
                <w:rFonts w:ascii="Arial" w:cs="Arial" w:eastAsia="Arial" w:hAnsi="Arial"/>
                <w:sz w:val="8"/>
                <w:szCs w:val="8"/>
                <w:color w:val="auto"/>
                <w:w w:val="88"/>
              </w:rPr>
              <w:t>9</w:t>
            </w: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3 %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center"/>
              <w:ind w:left="339"/>
              <w:spacing w:after="0"/>
              <w:rPr>
                <w:sz w:val="20"/>
                <w:szCs w:val="20"/>
                <w:color w:val="auto"/>
              </w:rPr>
            </w:pPr>
            <w:r>
              <w:rPr>
                <w:rFonts w:ascii="Arial" w:cs="Arial" w:eastAsia="Arial" w:hAnsi="Arial"/>
                <w:sz w:val="13"/>
                <w:szCs w:val="13"/>
                <w:color w:val="auto"/>
                <w:w w:val="96"/>
              </w:rPr>
              <w:t>38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gridSpan w:val="18"/>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00" w:type="dxa"/>
            <w:vAlign w:val="bottom"/>
            <w:tcBorders>
              <w:bottom w:val="single" w:sz="8" w:color="auto"/>
            </w:tcBorders>
            <w:gridSpan w:val="21"/>
          </w:tcPr>
          <w:p>
            <w:pPr>
              <w:spacing w:after="0"/>
              <w:rPr>
                <w:sz w:val="20"/>
                <w:szCs w:val="20"/>
                <w:color w:val="auto"/>
              </w:rPr>
            </w:pPr>
            <w:r>
              <w:rPr>
                <w:rFonts w:ascii="Arial" w:cs="Arial" w:eastAsia="Arial" w:hAnsi="Arial"/>
                <w:sz w:val="14"/>
                <w:szCs w:val="14"/>
                <w:b w:val="1"/>
                <w:bCs w:val="1"/>
                <w:i w:val="1"/>
                <w:iCs w:val="1"/>
                <w:color w:val="auto"/>
              </w:rPr>
              <w:t>PROJECTS FULLY PLACED IN-SERVICE DURING 2025</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bottom w:val="single" w:sz="8" w:color="auto"/>
            </w:tcBorders>
            <w:gridSpan w:val="6"/>
          </w:tcPr>
          <w:p>
            <w:pPr>
              <w:ind w:left="420"/>
              <w:spacing w:after="0"/>
              <w:rPr>
                <w:sz w:val="20"/>
                <w:szCs w:val="20"/>
                <w:color w:val="auto"/>
              </w:rPr>
            </w:pPr>
            <w:r>
              <w:rPr>
                <w:rFonts w:ascii="Arial" w:cs="Arial" w:eastAsia="Arial" w:hAnsi="Arial"/>
                <w:sz w:val="13"/>
                <w:szCs w:val="13"/>
                <w:b w:val="1"/>
                <w:bCs w:val="1"/>
                <w:color w:val="auto"/>
              </w:rPr>
              <w:t>Actual/Estimated</w:t>
            </w:r>
          </w:p>
        </w:tc>
        <w:tc>
          <w:tcPr>
            <w:tcW w:w="3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rPr>
              <w:t>BXP’s share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1240" w:type="dxa"/>
            <w:vAlign w:val="bottom"/>
            <w:gridSpan w:val="60"/>
          </w:tcPr>
          <w:p>
            <w:pPr>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26"/>
        </w:trPr>
        <w:tc>
          <w:tcPr>
            <w:tcW w:w="9520" w:type="dxa"/>
            <w:vAlign w:val="bottom"/>
            <w:gridSpan w:val="52"/>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94"/>
              </w:rPr>
              <w:t>Percentage</w:t>
            </w:r>
          </w:p>
        </w:tc>
        <w:tc>
          <w:tcPr>
            <w:tcW w:w="900" w:type="dxa"/>
            <w:vAlign w:val="bottom"/>
            <w:gridSpan w:val="6"/>
          </w:tcPr>
          <w:p>
            <w:pPr>
              <w:spacing w:after="0"/>
              <w:rPr>
                <w:sz w:val="20"/>
                <w:szCs w:val="20"/>
                <w:color w:val="auto"/>
              </w:rPr>
            </w:pPr>
            <w:r>
              <w:rPr>
                <w:rFonts w:ascii="Arial" w:cs="Arial" w:eastAsia="Arial" w:hAnsi="Arial"/>
                <w:sz w:val="13"/>
                <w:szCs w:val="13"/>
                <w:b w:val="1"/>
                <w:bCs w:val="1"/>
                <w:color w:val="auto"/>
              </w:rPr>
              <w:t>Operating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6"/>
              </w:rPr>
              <w:t>Estimated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4"/>
                <w:szCs w:val="14"/>
                <w:color w:val="auto"/>
              </w:rPr>
            </w:pPr>
          </w:p>
        </w:tc>
        <w:tc>
          <w:tcPr>
            <w:tcW w:w="900" w:type="dxa"/>
            <w:vAlign w:val="bottom"/>
            <w:gridSpan w:val="3"/>
          </w:tcPr>
          <w:p>
            <w:pPr>
              <w:jc w:val="center"/>
              <w:ind w:right="179"/>
              <w:spacing w:after="0"/>
              <w:rPr>
                <w:sz w:val="20"/>
                <w:szCs w:val="20"/>
                <w:color w:val="auto"/>
              </w:rPr>
            </w:pPr>
            <w:r>
              <w:rPr>
                <w:rFonts w:ascii="Arial" w:cs="Arial" w:eastAsia="Arial" w:hAnsi="Arial"/>
                <w:sz w:val="13"/>
                <w:szCs w:val="13"/>
                <w:b w:val="1"/>
                <w:bCs w:val="1"/>
                <w:color w:val="auto"/>
                <w:w w:val="96"/>
              </w:rPr>
              <w:t>Estimated</w:t>
            </w: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gridSpan w:val="4"/>
            <w:vMerge w:val="restart"/>
          </w:tcPr>
          <w:p>
            <w:pPr>
              <w:jc w:val="center"/>
              <w:ind w:right="340"/>
              <w:spacing w:after="0"/>
              <w:rPr>
                <w:sz w:val="20"/>
                <w:szCs w:val="20"/>
                <w:color w:val="auto"/>
              </w:rPr>
            </w:pPr>
            <w:r>
              <w:rPr>
                <w:rFonts w:ascii="Arial" w:cs="Arial" w:eastAsia="Arial" w:hAnsi="Arial"/>
                <w:sz w:val="13"/>
                <w:szCs w:val="13"/>
                <w:b w:val="1"/>
                <w:bCs w:val="1"/>
                <w:color w:val="auto"/>
                <w:w w:val="96"/>
              </w:rPr>
              <w:t>Stabilization</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vMerge w:val="restart"/>
          </w:tcPr>
          <w:p>
            <w:pPr>
              <w:jc w:val="right"/>
              <w:ind w:right="38"/>
              <w:spacing w:after="0"/>
              <w:rPr>
                <w:sz w:val="20"/>
                <w:szCs w:val="20"/>
                <w:color w:val="auto"/>
              </w:rPr>
            </w:pPr>
            <w:r>
              <w:rPr>
                <w:rFonts w:ascii="Arial" w:cs="Arial" w:eastAsia="Arial" w:hAnsi="Arial"/>
                <w:sz w:val="13"/>
                <w:szCs w:val="13"/>
                <w:b w:val="1"/>
                <w:bCs w:val="1"/>
                <w:color w:val="auto"/>
              </w:rPr>
              <w:t>Square</w:t>
            </w:r>
          </w:p>
        </w:tc>
        <w:tc>
          <w:tcPr>
            <w:tcW w:w="120" w:type="dxa"/>
            <w:vAlign w:val="bottom"/>
          </w:tcPr>
          <w:p>
            <w:pPr>
              <w:spacing w:after="0"/>
              <w:rPr>
                <w:sz w:val="7"/>
                <w:szCs w:val="7"/>
                <w:color w:val="auto"/>
              </w:rPr>
            </w:pPr>
          </w:p>
        </w:tc>
        <w:tc>
          <w:tcPr>
            <w:tcW w:w="78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Investment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5"/>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80" w:type="dxa"/>
            <w:vAlign w:val="bottom"/>
            <w:gridSpan w:val="4"/>
            <w:vMerge w:val="restart"/>
          </w:tcPr>
          <w:p>
            <w:pPr>
              <w:jc w:val="center"/>
              <w:ind w:right="79"/>
              <w:spacing w:after="0" w:line="135" w:lineRule="exact"/>
              <w:rPr>
                <w:sz w:val="20"/>
                <w:szCs w:val="20"/>
                <w:color w:val="auto"/>
              </w:rPr>
            </w:pPr>
            <w:r>
              <w:rPr>
                <w:rFonts w:ascii="Arial" w:cs="Arial" w:eastAsia="Arial" w:hAnsi="Arial"/>
                <w:sz w:val="13"/>
                <w:szCs w:val="13"/>
                <w:b w:val="1"/>
                <w:bCs w:val="1"/>
                <w:color w:val="auto"/>
                <w:w w:val="97"/>
              </w:rPr>
              <w:t>Future Equity</w:t>
            </w: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3"/>
          </w:tcPr>
          <w:p>
            <w:pPr>
              <w:jc w:val="center"/>
              <w:ind w:right="140"/>
              <w:spacing w:after="0" w:line="90" w:lineRule="exact"/>
              <w:rPr>
                <w:sz w:val="20"/>
                <w:szCs w:val="20"/>
                <w:color w:val="auto"/>
              </w:rPr>
            </w:pPr>
            <w:r>
              <w:rPr>
                <w:rFonts w:ascii="Arial" w:cs="Arial" w:eastAsia="Arial" w:hAnsi="Arial"/>
                <w:sz w:val="8"/>
                <w:szCs w:val="8"/>
                <w:b w:val="1"/>
                <w:bCs w:val="1"/>
                <w:color w:val="auto"/>
              </w:rPr>
              <w:t xml:space="preserve">(Loss) </w:t>
            </w:r>
            <w:r>
              <w:rPr>
                <w:rFonts w:ascii="Arial" w:cs="Arial" w:eastAsia="Arial" w:hAnsi="Arial"/>
                <w:sz w:val="10"/>
                <w:szCs w:val="10"/>
                <w:b w:val="1"/>
                <w:bCs w:val="1"/>
                <w:color w:val="auto"/>
                <w:vertAlign w:val="superscript"/>
              </w:rPr>
              <w:t>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gridSpan w:val="5"/>
            <w:vMerge w:val="continue"/>
          </w:tcPr>
          <w:p>
            <w:pPr>
              <w:spacing w:after="0"/>
              <w:rPr>
                <w:sz w:val="3"/>
                <w:szCs w:val="3"/>
                <w:color w:val="auto"/>
              </w:rPr>
            </w:pPr>
          </w:p>
        </w:tc>
        <w:tc>
          <w:tcPr>
            <w:tcW w:w="820" w:type="dxa"/>
            <w:vAlign w:val="bottom"/>
            <w:gridSpan w:val="3"/>
            <w:vMerge w:val="restart"/>
          </w:tcPr>
          <w:p>
            <w:pPr>
              <w:jc w:val="center"/>
              <w:ind w:right="120"/>
              <w:spacing w:after="0" w:line="126" w:lineRule="exact"/>
              <w:rPr>
                <w:sz w:val="20"/>
                <w:szCs w:val="20"/>
                <w:color w:val="auto"/>
              </w:rPr>
            </w:pPr>
            <w:r>
              <w:rPr>
                <w:rFonts w:ascii="Arial" w:cs="Arial" w:eastAsia="Arial" w:hAnsi="Arial"/>
                <w:sz w:val="13"/>
                <w:szCs w:val="13"/>
                <w:b w:val="1"/>
                <w:bCs w:val="1"/>
                <w:color w:val="auto"/>
                <w:w w:val="98"/>
              </w:rPr>
              <w:t>Drawn at</w:t>
            </w:r>
          </w:p>
        </w:tc>
        <w:tc>
          <w:tcPr>
            <w:tcW w:w="9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3"/>
            <w:vMerge w:val="restart"/>
          </w:tcPr>
          <w:p>
            <w:pPr>
              <w:jc w:val="center"/>
              <w:ind w:right="120"/>
              <w:spacing w:after="0" w:line="126" w:lineRule="exact"/>
              <w:rPr>
                <w:sz w:val="20"/>
                <w:szCs w:val="20"/>
                <w:color w:val="auto"/>
              </w:rPr>
            </w:pPr>
            <w:r>
              <w:rPr>
                <w:rFonts w:ascii="Arial" w:cs="Arial" w:eastAsia="Arial" w:hAnsi="Arial"/>
                <w:sz w:val="13"/>
                <w:szCs w:val="13"/>
                <w:b w:val="1"/>
                <w:bCs w:val="1"/>
                <w:color w:val="auto"/>
                <w:w w:val="95"/>
              </w:rPr>
              <w:t>(BXP’s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6"/>
            <w:vMerge w:val="restart"/>
          </w:tcPr>
          <w:p>
            <w:pPr>
              <w:jc w:val="center"/>
              <w:ind w:right="140"/>
              <w:spacing w:after="0" w:line="122" w:lineRule="exact"/>
              <w:rPr>
                <w:sz w:val="20"/>
                <w:szCs w:val="20"/>
                <w:color w:val="auto"/>
              </w:rPr>
            </w:pPr>
            <w:r>
              <w:rPr>
                <w:rFonts w:ascii="Arial" w:cs="Arial" w:eastAsia="Arial" w:hAnsi="Arial"/>
                <w:sz w:val="13"/>
                <w:szCs w:val="13"/>
                <w:b w:val="1"/>
                <w:bCs w:val="1"/>
                <w:color w:val="auto"/>
                <w:w w:val="96"/>
              </w:rPr>
              <w:t>Investment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5"/>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980" w:type="dxa"/>
            <w:vAlign w:val="bottom"/>
            <w:gridSpan w:val="4"/>
            <w:vMerge w:val="restart"/>
          </w:tcPr>
          <w:p>
            <w:pPr>
              <w:jc w:val="center"/>
              <w:ind w:right="99"/>
              <w:spacing w:after="0" w:line="122" w:lineRule="exact"/>
              <w:rPr>
                <w:sz w:val="20"/>
                <w:szCs w:val="20"/>
                <w:color w:val="auto"/>
              </w:rPr>
            </w:pPr>
            <w:r>
              <w:rPr>
                <w:rFonts w:ascii="Arial" w:cs="Arial" w:eastAsia="Arial" w:hAnsi="Arial"/>
                <w:sz w:val="13"/>
                <w:szCs w:val="13"/>
                <w:b w:val="1"/>
                <w:bCs w:val="1"/>
                <w:color w:val="auto"/>
                <w:w w:val="95"/>
              </w:rPr>
              <w:t>Requirement</w:t>
            </w: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Occupancy</w:t>
            </w:r>
          </w:p>
        </w:tc>
        <w:tc>
          <w:tcPr>
            <w:tcW w:w="360" w:type="dxa"/>
            <w:vAlign w:val="bottom"/>
          </w:tcPr>
          <w:p>
            <w:pPr>
              <w:spacing w:after="0"/>
              <w:rPr>
                <w:sz w:val="3"/>
                <w:szCs w:val="3"/>
                <w:color w:val="auto"/>
              </w:rPr>
            </w:pPr>
          </w:p>
        </w:tc>
        <w:tc>
          <w:tcPr>
            <w:tcW w:w="1120" w:type="dxa"/>
            <w:vAlign w:val="bottom"/>
            <w:gridSpan w:val="4"/>
            <w:vMerge w:val="restart"/>
          </w:tcPr>
          <w:p>
            <w:pPr>
              <w:jc w:val="center"/>
              <w:ind w:right="360"/>
              <w:spacing w:after="0"/>
              <w:rPr>
                <w:sz w:val="20"/>
                <w:szCs w:val="20"/>
                <w:color w:val="auto"/>
              </w:rPr>
            </w:pPr>
            <w:r>
              <w:rPr>
                <w:rFonts w:ascii="Arial" w:cs="Arial" w:eastAsia="Arial" w:hAnsi="Arial"/>
                <w:sz w:val="13"/>
                <w:szCs w:val="13"/>
                <w:b w:val="1"/>
                <w:bCs w:val="1"/>
                <w:color w:val="auto"/>
                <w:w w:val="99"/>
              </w:rPr>
              <w:t>Date</w:t>
            </w:r>
          </w:p>
        </w:tc>
        <w:tc>
          <w:tcPr>
            <w:tcW w:w="86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Location</w:t>
            </w:r>
          </w:p>
        </w:tc>
        <w:tc>
          <w:tcPr>
            <w:tcW w:w="80" w:type="dxa"/>
            <w:vAlign w:val="bottom"/>
          </w:tcPr>
          <w:p>
            <w:pPr>
              <w:spacing w:after="0"/>
              <w:rPr>
                <w:sz w:val="3"/>
                <w:szCs w:val="3"/>
                <w:color w:val="auto"/>
              </w:rPr>
            </w:pPr>
          </w:p>
        </w:tc>
        <w:tc>
          <w:tcPr>
            <w:tcW w:w="500" w:type="dxa"/>
            <w:vAlign w:val="bottom"/>
            <w:vMerge w:val="restart"/>
          </w:tcPr>
          <w:p>
            <w:pPr>
              <w:jc w:val="right"/>
              <w:ind w:right="118"/>
              <w:spacing w:after="0"/>
              <w:rPr>
                <w:sz w:val="20"/>
                <w:szCs w:val="20"/>
                <w:color w:val="auto"/>
              </w:rPr>
            </w:pPr>
            <w:r>
              <w:rPr>
                <w:rFonts w:ascii="Arial" w:cs="Arial" w:eastAsia="Arial" w:hAnsi="Arial"/>
                <w:sz w:val="13"/>
                <w:szCs w:val="13"/>
                <w:b w:val="1"/>
                <w:bCs w:val="1"/>
                <w:color w:val="auto"/>
              </w:rPr>
              <w:t>Feet</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5"/>
              </w:rPr>
              <w:t>to Date</w:t>
            </w:r>
          </w:p>
        </w:tc>
        <w:tc>
          <w:tcPr>
            <w:tcW w:w="180" w:type="dxa"/>
            <w:vAlign w:val="bottom"/>
          </w:tcPr>
          <w:p>
            <w:pPr>
              <w:jc w:val="center"/>
              <w:ind w:right="48"/>
              <w:spacing w:after="0" w:line="41" w:lineRule="exact"/>
              <w:rPr>
                <w:sz w:val="20"/>
                <w:szCs w:val="20"/>
                <w:color w:val="auto"/>
              </w:rPr>
            </w:pPr>
            <w:r>
              <w:rPr>
                <w:rFonts w:ascii="Arial" w:cs="Arial" w:eastAsia="Arial" w:hAnsi="Arial"/>
                <w:sz w:val="4"/>
                <w:szCs w:val="4"/>
                <w:b w:val="1"/>
                <w:bCs w:val="1"/>
                <w:color w:val="auto"/>
              </w:rPr>
              <w:t>2</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6"/>
            <w:vMerge w:val="continue"/>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Financing</w:t>
            </w: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9/30/2025</w:t>
            </w:r>
          </w:p>
        </w:tc>
        <w:tc>
          <w:tcPr>
            <w:tcW w:w="1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restart"/>
          </w:tcPr>
          <w:p>
            <w:pPr>
              <w:jc w:val="right"/>
              <w:ind w:right="220"/>
              <w:spacing w:after="0" w:line="175" w:lineRule="exact"/>
              <w:rPr>
                <w:sz w:val="20"/>
                <w:szCs w:val="20"/>
                <w:color w:val="auto"/>
              </w:rPr>
            </w:pPr>
            <w:r>
              <w:rPr>
                <w:rFonts w:ascii="Arial" w:cs="Arial" w:eastAsia="Arial" w:hAnsi="Arial"/>
                <w:sz w:val="13"/>
                <w:szCs w:val="13"/>
                <w:b w:val="1"/>
                <w:bCs w:val="1"/>
                <w:color w:val="auto"/>
              </w:rPr>
              <w:t xml:space="preserve">Leased </w:t>
            </w:r>
            <w:r>
              <w:rPr>
                <w:rFonts w:ascii="Arial" w:cs="Arial" w:eastAsia="Arial" w:hAnsi="Arial"/>
                <w:sz w:val="16"/>
                <w:szCs w:val="16"/>
                <w:b w:val="1"/>
                <w:bCs w:val="1"/>
                <w:color w:val="auto"/>
                <w:vertAlign w:val="superscript"/>
              </w:rPr>
              <w:t>3</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7"/>
              </w:rPr>
              <w:t>share)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center"/>
              <w:ind w:right="298"/>
              <w:spacing w:after="0"/>
              <w:rPr>
                <w:sz w:val="20"/>
                <w:szCs w:val="20"/>
                <w:color w:val="auto"/>
              </w:rPr>
            </w:pP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6"/>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38"/>
              <w:spacing w:after="0"/>
              <w:rPr>
                <w:sz w:val="20"/>
                <w:szCs w:val="20"/>
                <w:color w:val="auto"/>
              </w:rPr>
            </w:pPr>
            <w:r>
              <w:rPr>
                <w:rFonts w:ascii="Arial" w:cs="Arial" w:eastAsia="Arial" w:hAnsi="Arial"/>
                <w:sz w:val="8"/>
                <w:szCs w:val="8"/>
                <w:b w:val="1"/>
                <w:bCs w:val="1"/>
                <w:color w:val="auto"/>
                <w:w w:val="88"/>
              </w:rPr>
              <w:t>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340" w:type="dxa"/>
            <w:vAlign w:val="bottom"/>
            <w:gridSpan w:val="8"/>
          </w:tcPr>
          <w:p>
            <w:pPr>
              <w:spacing w:after="0"/>
              <w:rPr>
                <w:sz w:val="10"/>
                <w:szCs w:val="10"/>
                <w:color w:val="auto"/>
              </w:rPr>
            </w:pPr>
          </w:p>
        </w:tc>
        <w:tc>
          <w:tcPr>
            <w:tcW w:w="720" w:type="dxa"/>
            <w:vAlign w:val="bottom"/>
            <w:tcBorders>
              <w:top w:val="single" w:sz="8" w:color="auto"/>
            </w:tcBorders>
            <w:gridSpan w:val="3"/>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Borders>
              <w:top w:val="single" w:sz="8" w:color="auto"/>
            </w:tcBorders>
            <w:gridSpan w:val="3"/>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3"/>
                <w:szCs w:val="13"/>
                <w:color w:val="auto"/>
              </w:rPr>
              <w:t>Waltham,</w:t>
            </w:r>
          </w:p>
        </w:tc>
        <w:tc>
          <w:tcPr>
            <w:tcW w:w="120" w:type="dxa"/>
            <w:vAlign w:val="bottom"/>
          </w:tcPr>
          <w:p>
            <w:pPr>
              <w:spacing w:after="0"/>
              <w:rPr>
                <w:sz w:val="10"/>
                <w:szCs w:val="10"/>
                <w:color w:val="auto"/>
              </w:rPr>
            </w:pPr>
          </w:p>
        </w:tc>
        <w:tc>
          <w:tcPr>
            <w:tcW w:w="620" w:type="dxa"/>
            <w:vAlign w:val="bottom"/>
            <w:tcBorders>
              <w:top w:val="single" w:sz="8" w:color="auto"/>
            </w:tcBorders>
            <w:gridSpan w:val="3"/>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gridSpan w:val="5"/>
          </w:tcPr>
          <w:p>
            <w:pPr>
              <w:spacing w:after="0"/>
              <w:rPr>
                <w:sz w:val="10"/>
                <w:szCs w:val="10"/>
                <w:color w:val="auto"/>
              </w:rPr>
            </w:pPr>
          </w:p>
        </w:tc>
        <w:tc>
          <w:tcPr>
            <w:tcW w:w="120" w:type="dxa"/>
            <w:vAlign w:val="bottom"/>
            <w:gridSpan w:val="2"/>
          </w:tcPr>
          <w:p>
            <w:pPr>
              <w:spacing w:after="0"/>
              <w:rPr>
                <w:sz w:val="10"/>
                <w:szCs w:val="10"/>
                <w:color w:val="auto"/>
              </w:rPr>
            </w:pPr>
          </w:p>
        </w:tc>
        <w:tc>
          <w:tcPr>
            <w:tcW w:w="760" w:type="dxa"/>
            <w:vAlign w:val="bottom"/>
            <w:tcBorders>
              <w:top w:val="single" w:sz="8" w:color="auto"/>
            </w:tcBorders>
            <w:gridSpan w:val="4"/>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5"/>
          </w:tcPr>
          <w:p>
            <w:pPr>
              <w:spacing w:after="0"/>
              <w:rPr>
                <w:sz w:val="10"/>
                <w:szCs w:val="10"/>
                <w:color w:val="auto"/>
              </w:rPr>
            </w:pPr>
          </w:p>
        </w:tc>
        <w:tc>
          <w:tcPr>
            <w:tcW w:w="120" w:type="dxa"/>
            <w:vAlign w:val="bottom"/>
            <w:gridSpan w:val="2"/>
          </w:tcPr>
          <w:p>
            <w:pPr>
              <w:spacing w:after="0"/>
              <w:rPr>
                <w:sz w:val="10"/>
                <w:szCs w:val="10"/>
                <w:color w:val="auto"/>
              </w:rPr>
            </w:pPr>
          </w:p>
        </w:tc>
        <w:tc>
          <w:tcPr>
            <w:tcW w:w="720" w:type="dxa"/>
            <w:vAlign w:val="bottom"/>
            <w:tcBorders>
              <w:top w:val="single" w:sz="8" w:color="auto"/>
            </w:tcBorders>
            <w:gridSpan w:val="3"/>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820" w:type="dxa"/>
            <w:vAlign w:val="bottom"/>
            <w:tcBorders>
              <w:top w:val="single" w:sz="8" w:color="auto"/>
            </w:tcBorders>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820" w:type="dxa"/>
            <w:vAlign w:val="bottom"/>
            <w:tcBorders>
              <w:top w:val="single" w:sz="8" w:color="auto"/>
            </w:tcBorders>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6"/>
          </w:tcPr>
          <w:p>
            <w:pPr>
              <w:spacing w:after="0"/>
              <w:rPr>
                <w:sz w:val="20"/>
                <w:szCs w:val="20"/>
                <w:color w:val="auto"/>
              </w:rPr>
            </w:pPr>
            <w:r>
              <w:rPr>
                <w:rFonts w:ascii="Arial" w:cs="Arial" w:eastAsia="Arial" w:hAnsi="Arial"/>
                <w:sz w:val="13"/>
                <w:szCs w:val="13"/>
                <w:color w:val="auto"/>
              </w:rPr>
              <w:t>1050 Winter Street</w:t>
            </w:r>
          </w:p>
        </w:tc>
        <w:tc>
          <w:tcPr>
            <w:tcW w:w="1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w w:val="96"/>
              </w:rPr>
              <w:t>Q2 2025</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Q3 2025</w:t>
            </w:r>
          </w:p>
        </w:tc>
        <w:tc>
          <w:tcPr>
            <w:tcW w:w="860" w:type="dxa"/>
            <w:vAlign w:val="bottom"/>
            <w:gridSpan w:val="5"/>
          </w:tcPr>
          <w:p>
            <w:pPr>
              <w:spacing w:after="0"/>
              <w:rPr>
                <w:sz w:val="20"/>
                <w:szCs w:val="20"/>
                <w:color w:val="auto"/>
              </w:rPr>
            </w:pPr>
            <w:r>
              <w:rPr>
                <w:rFonts w:ascii="Arial" w:cs="Arial" w:eastAsia="Arial" w:hAnsi="Arial"/>
                <w:sz w:val="13"/>
                <w:szCs w:val="13"/>
                <w:color w:val="auto"/>
              </w:rPr>
              <w:t>MA</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162,274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ind w:right="8"/>
              <w:spacing w:after="0"/>
              <w:rPr>
                <w:sz w:val="20"/>
                <w:szCs w:val="20"/>
                <w:color w:val="auto"/>
              </w:rPr>
            </w:pPr>
            <w:r>
              <w:rPr>
                <w:rFonts w:ascii="Arial" w:cs="Arial" w:eastAsia="Arial" w:hAnsi="Arial"/>
                <w:sz w:val="13"/>
                <w:szCs w:val="13"/>
                <w:color w:val="auto"/>
              </w:rPr>
              <w:t>8,273</w:t>
            </w:r>
          </w:p>
        </w:tc>
        <w:tc>
          <w:tcPr>
            <w:tcW w:w="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18"/>
              <w:spacing w:after="0"/>
              <w:rPr>
                <w:sz w:val="20"/>
                <w:szCs w:val="20"/>
                <w:color w:val="auto"/>
              </w:rPr>
            </w:pPr>
            <w:r>
              <w:rPr>
                <w:rFonts w:ascii="Arial" w:cs="Arial" w:eastAsia="Arial" w:hAnsi="Arial"/>
                <w:sz w:val="13"/>
                <w:szCs w:val="13"/>
                <w:color w:val="auto"/>
              </w:rPr>
              <w:t>38,700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4"/>
                <w:szCs w:val="14"/>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30,427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100 %</w:t>
            </w:r>
          </w:p>
        </w:tc>
        <w:tc>
          <w:tcPr>
            <w:tcW w:w="6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359"/>
              <w:spacing w:after="0"/>
              <w:rPr>
                <w:sz w:val="20"/>
                <w:szCs w:val="20"/>
                <w:color w:val="auto"/>
              </w:rPr>
            </w:pPr>
            <w:r>
              <w:rPr>
                <w:rFonts w:ascii="Arial" w:cs="Arial" w:eastAsia="Arial" w:hAnsi="Arial"/>
                <w:sz w:val="13"/>
                <w:szCs w:val="13"/>
                <w:color w:val="auto"/>
                <w:w w:val="92"/>
              </w:rPr>
              <w:t>583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0" w:type="dxa"/>
            <w:vAlign w:val="bottom"/>
            <w:gridSpan w:val="6"/>
          </w:tcPr>
          <w:p>
            <w:pPr>
              <w:spacing w:after="0" w:line="144" w:lineRule="exact"/>
              <w:rPr>
                <w:sz w:val="20"/>
                <w:szCs w:val="20"/>
                <w:color w:val="auto"/>
              </w:rPr>
            </w:pPr>
            <w:r>
              <w:rPr>
                <w:rFonts w:ascii="Arial" w:cs="Arial" w:eastAsia="Arial" w:hAnsi="Arial"/>
                <w:sz w:val="13"/>
                <w:szCs w:val="13"/>
                <w:color w:val="auto"/>
              </w:rPr>
              <w:t>Reston Next Office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6"/>
          </w:tcPr>
          <w:p>
            <w:pPr>
              <w:ind w:left="160"/>
              <w:spacing w:after="0"/>
              <w:rPr>
                <w:sz w:val="20"/>
                <w:szCs w:val="20"/>
                <w:color w:val="auto"/>
              </w:rPr>
            </w:pPr>
            <w:r>
              <w:rPr>
                <w:rFonts w:ascii="Arial" w:cs="Arial" w:eastAsia="Arial" w:hAnsi="Arial"/>
                <w:sz w:val="13"/>
                <w:szCs w:val="13"/>
                <w:color w:val="auto"/>
              </w:rPr>
              <w:t>Phase II</w:t>
            </w:r>
          </w:p>
        </w:tc>
        <w:tc>
          <w:tcPr>
            <w:tcW w:w="1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w w:val="96"/>
              </w:rPr>
              <w:t>Q1 2025</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Q1 2027</w:t>
            </w:r>
          </w:p>
        </w:tc>
        <w:tc>
          <w:tcPr>
            <w:tcW w:w="860" w:type="dxa"/>
            <w:vAlign w:val="bottom"/>
            <w:gridSpan w:val="5"/>
          </w:tcPr>
          <w:p>
            <w:pPr>
              <w:spacing w:after="0"/>
              <w:rPr>
                <w:sz w:val="20"/>
                <w:szCs w:val="20"/>
                <w:color w:val="auto"/>
              </w:rPr>
            </w:pPr>
            <w:r>
              <w:rPr>
                <w:rFonts w:ascii="Arial" w:cs="Arial" w:eastAsia="Arial" w:hAnsi="Arial"/>
                <w:sz w:val="13"/>
                <w:szCs w:val="13"/>
                <w:color w:val="auto"/>
              </w:rPr>
              <w:t>Reston, VA</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86,629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8"/>
              <w:spacing w:after="0"/>
              <w:rPr>
                <w:sz w:val="20"/>
                <w:szCs w:val="20"/>
                <w:color w:val="auto"/>
              </w:rPr>
            </w:pPr>
            <w:r>
              <w:rPr>
                <w:rFonts w:ascii="Arial" w:cs="Arial" w:eastAsia="Arial" w:hAnsi="Arial"/>
                <w:sz w:val="13"/>
                <w:szCs w:val="13"/>
                <w:color w:val="auto"/>
              </w:rPr>
              <w:t>51,193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8"/>
              <w:spacing w:after="0"/>
              <w:rPr>
                <w:sz w:val="20"/>
                <w:szCs w:val="20"/>
                <w:color w:val="auto"/>
              </w:rPr>
            </w:pPr>
            <w:r>
              <w:rPr>
                <w:rFonts w:ascii="Arial" w:cs="Arial" w:eastAsia="Arial" w:hAnsi="Arial"/>
                <w:sz w:val="13"/>
                <w:szCs w:val="13"/>
                <w:color w:val="auto"/>
              </w:rPr>
              <w:t>61,000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9,807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92 %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left="299"/>
              <w:spacing w:after="0"/>
              <w:rPr>
                <w:sz w:val="20"/>
                <w:szCs w:val="20"/>
                <w:color w:val="auto"/>
              </w:rPr>
            </w:pPr>
            <w:r>
              <w:rPr>
                <w:rFonts w:ascii="Arial" w:cs="Arial" w:eastAsia="Arial" w:hAnsi="Arial"/>
                <w:sz w:val="13"/>
                <w:szCs w:val="13"/>
                <w:color w:val="auto"/>
                <w:w w:val="98"/>
              </w:rPr>
              <w:t>(166)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0" w:type="dxa"/>
            <w:vAlign w:val="bottom"/>
            <w:gridSpan w:val="6"/>
          </w:tcPr>
          <w:p>
            <w:pPr>
              <w:spacing w:after="0" w:line="144" w:lineRule="exact"/>
              <w:rPr>
                <w:sz w:val="20"/>
                <w:szCs w:val="20"/>
                <w:color w:val="auto"/>
              </w:rPr>
            </w:pPr>
            <w:r>
              <w:rPr>
                <w:rFonts w:ascii="Arial" w:cs="Arial" w:eastAsia="Arial" w:hAnsi="Arial"/>
                <w:sz w:val="13"/>
                <w:szCs w:val="13"/>
                <w:color w:val="auto"/>
              </w:rPr>
              <w:t>360 Park Avenue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5"/>
            <w:vMerge w:val="restart"/>
          </w:tcPr>
          <w:p>
            <w:pPr>
              <w:spacing w:after="0"/>
              <w:rPr>
                <w:sz w:val="20"/>
                <w:szCs w:val="20"/>
                <w:color w:val="auto"/>
              </w:rPr>
            </w:pPr>
            <w:r>
              <w:rPr>
                <w:rFonts w:ascii="Arial" w:cs="Arial" w:eastAsia="Arial" w:hAnsi="Arial"/>
                <w:sz w:val="13"/>
                <w:szCs w:val="13"/>
                <w:color w:val="auto"/>
              </w:rPr>
              <w:t>New York,</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gridSpan w:val="6"/>
          </w:tcPr>
          <w:p>
            <w:pPr>
              <w:ind w:left="160"/>
              <w:spacing w:after="0" w:line="126" w:lineRule="exact"/>
              <w:rPr>
                <w:sz w:val="20"/>
                <w:szCs w:val="20"/>
                <w:color w:val="auto"/>
              </w:rPr>
            </w:pPr>
            <w:r>
              <w:rPr>
                <w:rFonts w:ascii="Arial" w:cs="Arial" w:eastAsia="Arial" w:hAnsi="Arial"/>
                <w:sz w:val="13"/>
                <w:szCs w:val="13"/>
                <w:color w:val="auto"/>
              </w:rPr>
              <w:t>South (71%</w:t>
            </w:r>
          </w:p>
        </w:tc>
        <w:tc>
          <w:tcPr>
            <w:tcW w:w="120" w:type="dxa"/>
            <w:vAlign w:val="bottom"/>
          </w:tcPr>
          <w:p>
            <w:pPr>
              <w:spacing w:after="0"/>
              <w:rPr>
                <w:sz w:val="10"/>
                <w:szCs w:val="10"/>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6"/>
              </w:rPr>
              <w:t>Q4 2024</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4"/>
            <w:vMerge w:val="restart"/>
          </w:tcPr>
          <w:p>
            <w:pPr>
              <w:jc w:val="center"/>
              <w:ind w:right="360"/>
              <w:spacing w:after="0"/>
              <w:rPr>
                <w:sz w:val="20"/>
                <w:szCs w:val="20"/>
                <w:color w:val="auto"/>
              </w:rPr>
            </w:pPr>
            <w:r>
              <w:rPr>
                <w:rFonts w:ascii="Arial" w:cs="Arial" w:eastAsia="Arial" w:hAnsi="Arial"/>
                <w:sz w:val="13"/>
                <w:szCs w:val="13"/>
                <w:color w:val="auto"/>
                <w:w w:val="96"/>
              </w:rPr>
              <w:t>Q4 2026</w:t>
            </w:r>
          </w:p>
        </w:tc>
        <w:tc>
          <w:tcPr>
            <w:tcW w:w="860" w:type="dxa"/>
            <w:vAlign w:val="bottom"/>
            <w:gridSpan w:val="5"/>
            <w:vMerge w:val="continue"/>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448,112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4"/>
            <w:vMerge w:val="restart"/>
          </w:tcPr>
          <w:p>
            <w:pPr>
              <w:jc w:val="right"/>
              <w:ind w:right="8"/>
              <w:spacing w:after="0"/>
              <w:rPr>
                <w:sz w:val="20"/>
                <w:szCs w:val="20"/>
                <w:color w:val="auto"/>
              </w:rPr>
            </w:pPr>
            <w:r>
              <w:rPr>
                <w:rFonts w:ascii="Arial" w:cs="Arial" w:eastAsia="Arial" w:hAnsi="Arial"/>
                <w:sz w:val="13"/>
                <w:szCs w:val="13"/>
                <w:color w:val="auto"/>
              </w:rPr>
              <w:t>385,755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restart"/>
          </w:tcPr>
          <w:p>
            <w:pPr>
              <w:jc w:val="right"/>
              <w:ind w:right="18"/>
              <w:spacing w:after="0"/>
              <w:rPr>
                <w:sz w:val="20"/>
                <w:szCs w:val="20"/>
                <w:color w:val="auto"/>
              </w:rPr>
            </w:pPr>
            <w:r>
              <w:rPr>
                <w:rFonts w:ascii="Arial" w:cs="Arial" w:eastAsia="Arial" w:hAnsi="Arial"/>
                <w:sz w:val="13"/>
                <w:szCs w:val="13"/>
                <w:color w:val="auto"/>
              </w:rPr>
              <w:t>418,300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4"/>
            <w:vMerge w:val="restart"/>
          </w:tcPr>
          <w:p>
            <w:pPr>
              <w:jc w:val="right"/>
              <w:spacing w:after="0"/>
              <w:rPr>
                <w:sz w:val="20"/>
                <w:szCs w:val="20"/>
                <w:color w:val="auto"/>
              </w:rPr>
            </w:pPr>
            <w:r>
              <w:rPr>
                <w:rFonts w:ascii="Arial" w:cs="Arial" w:eastAsia="Arial" w:hAnsi="Arial"/>
                <w:sz w:val="13"/>
                <w:szCs w:val="13"/>
                <w:color w:val="auto"/>
              </w:rPr>
              <w:t>156,470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156,470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32,545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38 %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left="299"/>
              <w:spacing w:after="0"/>
              <w:rPr>
                <w:sz w:val="20"/>
                <w:szCs w:val="20"/>
                <w:color w:val="auto"/>
              </w:rPr>
            </w:pPr>
            <w:r>
              <w:rPr>
                <w:rFonts w:ascii="Arial" w:cs="Arial" w:eastAsia="Arial" w:hAnsi="Arial"/>
                <w:sz w:val="13"/>
                <w:szCs w:val="13"/>
                <w:color w:val="auto"/>
                <w:w w:val="98"/>
              </w:rPr>
              <w:t>(409)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gridSpan w:val="6"/>
          </w:tcPr>
          <w:p>
            <w:pPr>
              <w:ind w:left="160"/>
              <w:spacing w:after="0"/>
              <w:rPr>
                <w:sz w:val="20"/>
                <w:szCs w:val="20"/>
                <w:color w:val="auto"/>
              </w:rPr>
            </w:pPr>
            <w:r>
              <w:rPr>
                <w:rFonts w:ascii="Arial" w:cs="Arial" w:eastAsia="Arial" w:hAnsi="Arial"/>
                <w:sz w:val="13"/>
                <w:szCs w:val="13"/>
                <w:color w:val="auto"/>
              </w:rPr>
              <w:t>ownership)</w:t>
            </w: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3"/>
                <w:szCs w:val="13"/>
                <w:color w:val="auto"/>
              </w:rPr>
              <w:t>NY</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80" w:type="dxa"/>
            <w:vAlign w:val="bottom"/>
            <w:gridSpan w:val="9"/>
          </w:tcPr>
          <w:p>
            <w:pPr>
              <w:spacing w:after="0" w:line="117" w:lineRule="exact"/>
              <w:rPr>
                <w:sz w:val="20"/>
                <w:szCs w:val="20"/>
                <w:color w:val="auto"/>
              </w:rPr>
            </w:pPr>
            <w:r>
              <w:rPr>
                <w:rFonts w:ascii="Arial" w:cs="Arial" w:eastAsia="Arial" w:hAnsi="Arial"/>
                <w:sz w:val="13"/>
                <w:szCs w:val="13"/>
                <w:b w:val="1"/>
                <w:bCs w:val="1"/>
                <w:color w:val="auto"/>
              </w:rPr>
              <w:t>Total Projects Fully Placed In-</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697,015</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vMerge w:val="restart"/>
          </w:tcPr>
          <w:p>
            <w:pPr>
              <w:jc w:val="right"/>
              <w:ind w:right="8"/>
              <w:spacing w:after="0"/>
              <w:rPr>
                <w:sz w:val="20"/>
                <w:szCs w:val="20"/>
                <w:color w:val="auto"/>
              </w:rPr>
            </w:pPr>
            <w:r>
              <w:rPr>
                <w:rFonts w:ascii="Arial" w:cs="Arial" w:eastAsia="Arial" w:hAnsi="Arial"/>
                <w:sz w:val="13"/>
                <w:szCs w:val="13"/>
                <w:color w:val="auto"/>
              </w:rPr>
              <w:t>445,221</w:t>
            </w:r>
          </w:p>
        </w:tc>
        <w:tc>
          <w:tcPr>
            <w:tcW w:w="6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3"/>
            <w:vMerge w:val="restart"/>
          </w:tcPr>
          <w:p>
            <w:pPr>
              <w:jc w:val="right"/>
              <w:ind w:right="18"/>
              <w:spacing w:after="0"/>
              <w:rPr>
                <w:sz w:val="20"/>
                <w:szCs w:val="20"/>
                <w:color w:val="auto"/>
              </w:rPr>
            </w:pPr>
            <w:r>
              <w:rPr>
                <w:rFonts w:ascii="Arial" w:cs="Arial" w:eastAsia="Arial" w:hAnsi="Arial"/>
                <w:sz w:val="13"/>
                <w:szCs w:val="13"/>
                <w:color w:val="auto"/>
              </w:rPr>
              <w:t>518,000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4"/>
            <w:vMerge w:val="restart"/>
          </w:tcPr>
          <w:p>
            <w:pPr>
              <w:jc w:val="right"/>
              <w:spacing w:after="0"/>
              <w:rPr>
                <w:sz w:val="20"/>
                <w:szCs w:val="20"/>
                <w:color w:val="auto"/>
              </w:rPr>
            </w:pPr>
            <w:r>
              <w:rPr>
                <w:rFonts w:ascii="Arial" w:cs="Arial" w:eastAsia="Arial" w:hAnsi="Arial"/>
                <w:sz w:val="13"/>
                <w:szCs w:val="13"/>
                <w:color w:val="auto"/>
              </w:rPr>
              <w:t>$  156,470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156,470</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72,779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0" w:type="dxa"/>
            <w:vAlign w:val="bottom"/>
            <w:gridSpan w:val="6"/>
          </w:tcPr>
          <w:p>
            <w:pPr>
              <w:spacing w:after="0"/>
              <w:rPr>
                <w:sz w:val="20"/>
                <w:szCs w:val="20"/>
                <w:color w:val="auto"/>
              </w:rPr>
            </w:pPr>
            <w:r>
              <w:rPr>
                <w:rFonts w:ascii="Arial" w:cs="Arial" w:eastAsia="Arial" w:hAnsi="Arial"/>
                <w:sz w:val="13"/>
                <w:szCs w:val="13"/>
                <w:b w:val="1"/>
                <w:bCs w:val="1"/>
                <w:color w:val="auto"/>
              </w:rPr>
              <w:t>Service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59 %</w:t>
            </w:r>
          </w:p>
        </w:tc>
        <w:tc>
          <w:tcPr>
            <w:tcW w:w="6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60" w:type="dxa"/>
            <w:vAlign w:val="bottom"/>
            <w:gridSpan w:val="20"/>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-7097395</wp:posOffset>
            </wp:positionV>
            <wp:extent cx="257175"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ind w:left="160" w:hanging="71"/>
        <w:spacing w:after="0" w:line="230" w:lineRule="auto"/>
        <w:tabs>
          <w:tab w:leader="none" w:pos="160"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color w:val="auto"/>
        </w:rPr>
        <w:t>A project is classified as Construction in Progress when (1) construction or supply contracts have been signed, physical improvements have commenced or a lease has been signed and</w:t>
      </w:r>
    </w:p>
    <w:p>
      <w:pPr>
        <w:ind w:left="180"/>
        <w:spacing w:after="0"/>
        <w:rPr>
          <w:rFonts w:ascii="Arial" w:cs="Arial" w:eastAsia="Arial" w:hAnsi="Arial"/>
          <w:sz w:val="19"/>
          <w:szCs w:val="19"/>
          <w:color w:val="auto"/>
          <w:vertAlign w:val="superscript"/>
        </w:rPr>
      </w:pPr>
      <w:r>
        <w:rPr>
          <w:rFonts w:ascii="Arial" w:cs="Arial" w:eastAsia="Arial" w:hAnsi="Arial"/>
          <w:sz w:val="13"/>
          <w:szCs w:val="13"/>
          <w:color w:val="auto"/>
        </w:rPr>
        <w:t>(2) capitalized interest has commenced.</w:t>
      </w:r>
    </w:p>
    <w:p>
      <w:pPr>
        <w:ind w:left="160" w:hanging="71"/>
        <w:spacing w:after="0" w:line="238" w:lineRule="auto"/>
        <w:tabs>
          <w:tab w:leader="none" w:pos="160" w:val="left"/>
        </w:tabs>
        <w:numPr>
          <w:ilvl w:val="0"/>
          <w:numId w:val="37"/>
        </w:numPr>
        <w:rPr>
          <w:rFonts w:ascii="Arial" w:cs="Arial" w:eastAsia="Arial" w:hAnsi="Arial"/>
          <w:sz w:val="19"/>
          <w:szCs w:val="19"/>
          <w:color w:val="auto"/>
          <w:vertAlign w:val="superscript"/>
        </w:rPr>
      </w:pPr>
      <w:r>
        <w:rPr>
          <w:rFonts w:ascii="Arial" w:cs="Arial" w:eastAsia="Arial" w:hAnsi="Arial"/>
          <w:sz w:val="13"/>
          <w:szCs w:val="13"/>
          <w:color w:val="auto"/>
        </w:rPr>
        <w:t>Includes income (loss) and interest carry on debt and equity investment.</w:t>
      </w:r>
    </w:p>
    <w:p>
      <w:pPr>
        <w:ind w:left="160" w:hanging="71"/>
        <w:spacing w:after="0" w:line="208" w:lineRule="auto"/>
        <w:tabs>
          <w:tab w:leader="none" w:pos="160" w:val="left"/>
        </w:tabs>
        <w:numPr>
          <w:ilvl w:val="0"/>
          <w:numId w:val="38"/>
        </w:numPr>
        <w:rPr>
          <w:rFonts w:ascii="Arial" w:cs="Arial" w:eastAsia="Arial" w:hAnsi="Arial"/>
          <w:sz w:val="19"/>
          <w:szCs w:val="19"/>
          <w:color w:val="auto"/>
          <w:vertAlign w:val="superscript"/>
        </w:rPr>
      </w:pPr>
      <w:r>
        <w:rPr>
          <w:rFonts w:ascii="Arial" w:cs="Arial" w:eastAsia="Arial" w:hAnsi="Arial"/>
          <w:sz w:val="13"/>
          <w:szCs w:val="13"/>
          <w:color w:val="auto"/>
        </w:rPr>
        <w:t>Represents percentage leased as of October 24, 2025, including leases with future commencement dates.</w:t>
      </w:r>
    </w:p>
    <w:p>
      <w:pPr>
        <w:ind w:left="160" w:hanging="71"/>
        <w:spacing w:after="0" w:line="222" w:lineRule="auto"/>
        <w:tabs>
          <w:tab w:leader="none" w:pos="160" w:val="left"/>
        </w:tabs>
        <w:numPr>
          <w:ilvl w:val="0"/>
          <w:numId w:val="39"/>
        </w:numPr>
        <w:rPr>
          <w:rFonts w:ascii="Arial" w:cs="Arial" w:eastAsia="Arial" w:hAnsi="Arial"/>
          <w:sz w:val="19"/>
          <w:szCs w:val="19"/>
          <w:color w:val="auto"/>
          <w:vertAlign w:val="superscript"/>
        </w:rPr>
      </w:pPr>
      <w:r>
        <w:rPr>
          <w:rFonts w:ascii="Arial" w:cs="Arial" w:eastAsia="Arial" w:hAnsi="Arial"/>
          <w:sz w:val="13"/>
          <w:szCs w:val="13"/>
          <w:color w:val="auto"/>
        </w:rPr>
        <w:t>Represents the portion of the project that no longer qualifies for capitalization of interest in accordance with GAAP.</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279" w:right="339" w:bottom="1440" w:gutter="0" w:footer="0" w:header="0"/>
        </w:sectPr>
      </w:pPr>
    </w:p>
    <w:bookmarkStart w:id="23" w:name="page24"/>
    <w:bookmarkEnd w:id="23"/>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-69850</wp:posOffset>
            </wp:positionV>
            <wp:extent cx="25717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Construction in progress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32385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0" w:right="640" w:hanging="91"/>
        <w:spacing w:after="0" w:line="220" w:lineRule="auto"/>
        <w:tabs>
          <w:tab w:leader="none" w:pos="98" w:val="left"/>
        </w:tabs>
        <w:numPr>
          <w:ilvl w:val="0"/>
          <w:numId w:val="40"/>
        </w:numPr>
        <w:rPr>
          <w:rFonts w:ascii="Arial" w:cs="Arial" w:eastAsia="Arial" w:hAnsi="Arial"/>
          <w:sz w:val="19"/>
          <w:szCs w:val="19"/>
          <w:color w:val="auto"/>
          <w:vertAlign w:val="superscript"/>
        </w:rPr>
      </w:pPr>
      <w:r>
        <w:rPr>
          <w:rFonts w:ascii="Arial" w:cs="Arial" w:eastAsia="Arial" w:hAnsi="Arial"/>
          <w:sz w:val="13"/>
          <w:szCs w:val="13"/>
          <w:color w:val="auto"/>
        </w:rPr>
        <w:t>Amounts represent Net Operating Income (Loss) for the three months ended September 30, 2025. For partially owned properties, amount represents BXP’s share based on its ownership percentage. See the Definitions and Reconciliations sections of this supplemental package starting on page 56.</w:t>
      </w:r>
    </w:p>
    <w:p>
      <w:pPr>
        <w:spacing w:after="0" w:line="14" w:lineRule="exact"/>
        <w:rPr>
          <w:sz w:val="20"/>
          <w:szCs w:val="20"/>
          <w:color w:val="auto"/>
        </w:rPr>
      </w:pPr>
    </w:p>
    <w:p>
      <w:pPr>
        <w:ind w:left="100" w:right="280" w:hanging="91"/>
        <w:spacing w:after="0"/>
        <w:tabs>
          <w:tab w:leader="none" w:pos="95" w:val="left"/>
        </w:tabs>
        <w:numPr>
          <w:ilvl w:val="0"/>
          <w:numId w:val="41"/>
        </w:numPr>
        <w:rPr>
          <w:rFonts w:ascii="Arial" w:cs="Arial" w:eastAsia="Arial" w:hAnsi="Arial"/>
          <w:sz w:val="18"/>
          <w:szCs w:val="18"/>
          <w:color w:val="auto"/>
          <w:vertAlign w:val="superscript"/>
        </w:rPr>
      </w:pPr>
      <w:r>
        <w:rPr>
          <w:rFonts w:ascii="Arial" w:cs="Arial" w:eastAsia="Arial" w:hAnsi="Arial"/>
          <w:sz w:val="13"/>
          <w:szCs w:val="13"/>
          <w:color w:val="auto"/>
        </w:rPr>
        <w:t>The project budget reflects the Company’s 55% share of joint venture costs related to 290 Binney Street. The Company has the sole obligation to construct an underground electrical vault for an estimated gross cost of $183.9 million. Upon completion, the Company has entered into a contract to sell the electrical vault to a third party for a fixed price of $84.1 million. The net investment of $99.8 million will be included in the Company’s outside basis in 290 Binney Street. The Company has invested $116.0 million for the vault as of September 30, 2025.</w:t>
      </w:r>
    </w:p>
    <w:p>
      <w:pPr>
        <w:spacing w:after="0" w:line="183" w:lineRule="exact"/>
        <w:rPr>
          <w:sz w:val="20"/>
          <w:szCs w:val="20"/>
          <w:color w:val="auto"/>
        </w:rPr>
      </w:pPr>
    </w:p>
    <w:p>
      <w:pPr>
        <w:ind w:left="100" w:right="240" w:hanging="91"/>
        <w:spacing w:after="0" w:line="227" w:lineRule="auto"/>
        <w:tabs>
          <w:tab w:leader="none" w:pos="95" w:val="left"/>
        </w:tabs>
        <w:numPr>
          <w:ilvl w:val="0"/>
          <w:numId w:val="42"/>
        </w:numPr>
        <w:rPr>
          <w:rFonts w:ascii="Arial" w:cs="Arial" w:eastAsia="Arial" w:hAnsi="Arial"/>
          <w:sz w:val="18"/>
          <w:szCs w:val="18"/>
          <w:color w:val="auto"/>
          <w:vertAlign w:val="superscript"/>
        </w:rPr>
      </w:pPr>
      <w:r>
        <w:rPr>
          <w:rFonts w:ascii="Arial" w:cs="Arial" w:eastAsia="Arial" w:hAnsi="Arial"/>
          <w:sz w:val="13"/>
          <w:szCs w:val="13"/>
          <w:color w:val="auto"/>
        </w:rPr>
        <w:t>On January 1, 2025, in accordance with the Company’s accounting policy, the Company ceased interest capitalization of its equity method investment. As of September 30, 2025, the joint venture partner, which is also the managing partner, classifies the project as under construction. As such, the Company continues to reflect the project as under construction.</w:t>
      </w:r>
    </w:p>
    <w:p>
      <w:pPr>
        <w:spacing w:after="0" w:line="14" w:lineRule="exact"/>
        <w:rPr>
          <w:sz w:val="20"/>
          <w:szCs w:val="20"/>
          <w:color w:val="auto"/>
        </w:rPr>
      </w:pPr>
    </w:p>
    <w:p>
      <w:pPr>
        <w:jc w:val="both"/>
        <w:ind w:left="100" w:right="120" w:hanging="91"/>
        <w:spacing w:after="0" w:line="237" w:lineRule="auto"/>
        <w:tabs>
          <w:tab w:leader="none" w:pos="95" w:val="left"/>
        </w:tabs>
        <w:numPr>
          <w:ilvl w:val="0"/>
          <w:numId w:val="43"/>
        </w:numPr>
        <w:rPr>
          <w:rFonts w:ascii="Arial" w:cs="Arial" w:eastAsia="Arial" w:hAnsi="Arial"/>
          <w:sz w:val="18"/>
          <w:szCs w:val="18"/>
          <w:color w:val="auto"/>
          <w:vertAlign w:val="superscript"/>
        </w:rPr>
      </w:pPr>
      <w:r>
        <w:rPr>
          <w:rFonts w:ascii="Arial" w:cs="Arial" w:eastAsia="Arial" w:hAnsi="Arial"/>
          <w:sz w:val="13"/>
          <w:szCs w:val="13"/>
          <w:color w:val="auto"/>
        </w:rPr>
        <w:t>On March 5, 2025 we acquired a 19.46% interest in 290 Coles Street. The budget represents the Company’s 19.46% ownership of the project budget and financings which includes the Company’s share of preferred equity. The Company has contributed $20.0 million of common equity at closing. In addition, the Company has committed to provide up to $65.0 million in preferred equity accruing at a 13% internal rate of return. As of September 30, 2025, $11.9 million of preferred equity has been contributed.</w:t>
      </w:r>
    </w:p>
    <w:p>
      <w:pPr>
        <w:ind w:left="120" w:hanging="111"/>
        <w:spacing w:after="0" w:line="223" w:lineRule="auto"/>
        <w:tabs>
          <w:tab w:leader="none" w:pos="120"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Total percentage leased excludes Residential.</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160"/>
          </w:cols>
          <w:pgMar w:left="400" w:top="279" w:right="339" w:bottom="1440" w:gutter="0" w:footer="0" w:header="0"/>
        </w:sectPr>
      </w:pPr>
    </w:p>
    <w:bookmarkStart w:id="24" w:name="page25"/>
    <w:bookmarkEnd w:id="24"/>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Land parcels and purchase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OWNED LAND PARCELS AND PROPERTIES HELD FOR REDEVELOPMENT </w:t>
      </w:r>
      <w:r>
        <w:rPr>
          <w:rFonts w:ascii="Arial" w:cs="Arial" w:eastAsia="Arial" w:hAnsi="Arial"/>
          <w:sz w:val="18"/>
          <w:szCs w:val="18"/>
          <w:b w:val="1"/>
          <w:bCs w:val="1"/>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0749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74920" cy="1714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Location</w:t>
            </w:r>
          </w:p>
        </w:tc>
        <w:tc>
          <w:tcPr>
            <w:tcW w:w="3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xml:space="preserve">Approximate Developable Square Feet </w:t>
            </w: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b w:val="1"/>
                <w:bCs w:val="1"/>
                <w:color w:val="auto"/>
              </w:rPr>
              <w:t>Office</w:t>
            </w:r>
          </w:p>
        </w:tc>
        <w:tc>
          <w:tcPr>
            <w:tcW w:w="4200" w:type="dxa"/>
            <w:vAlign w:val="bottom"/>
            <w:gridSpan w:val="2"/>
          </w:tcPr>
          <w:p>
            <w:pPr>
              <w:spacing w:after="0"/>
              <w:rPr>
                <w:sz w:val="13"/>
                <w:szCs w:val="13"/>
                <w:color w:val="auto"/>
              </w:rPr>
            </w:pPr>
          </w:p>
        </w:tc>
        <w:tc>
          <w:tcPr>
            <w:tcW w:w="1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San Jose, CA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2,830,000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New York, NY (25%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Princeton, NJ</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1,723,000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Reston, VA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1,278,000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San Jose, CA (55%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1,088,000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Waltham, MA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899,000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San Francisco, CA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Santa Clara, CA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632,000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Springfield, VA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576,000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South San Francisco, CA (50%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451,000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Lexington, MA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420,000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Dulles, VA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Rockville, MD</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Boston, MA</w:t>
            </w:r>
          </w:p>
        </w:tc>
        <w:tc>
          <w:tcPr>
            <w:tcW w:w="196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3"/>
          </w:tcPr>
          <w:p>
            <w:pPr>
              <w:ind w:left="280"/>
              <w:spacing w:after="0"/>
              <w:rPr>
                <w:sz w:val="20"/>
                <w:szCs w:val="20"/>
                <w:color w:val="auto"/>
              </w:rPr>
            </w:pPr>
            <w:r>
              <w:rPr>
                <w:rFonts w:ascii="Arial" w:cs="Arial" w:eastAsia="Arial" w:hAnsi="Arial"/>
                <w:sz w:val="14"/>
                <w:szCs w:val="14"/>
                <w:color w:val="auto"/>
              </w:rPr>
              <w:t>Total Office</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13,072,000</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Residential</w:t>
            </w:r>
          </w:p>
        </w:tc>
        <w:tc>
          <w:tcPr>
            <w:tcW w:w="3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Reston, VA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1,193,000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Rockville, MD</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894,000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Herndon, VA (50% ownership)</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611,000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Weston, MA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Washington, DC (50% ownership)</w:t>
            </w:r>
          </w:p>
        </w:tc>
        <w:tc>
          <w:tcPr>
            <w:tcW w:w="196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20" w:type="dxa"/>
            <w:vAlign w:val="bottom"/>
            <w:gridSpan w:val="3"/>
          </w:tcPr>
          <w:p>
            <w:pPr>
              <w:ind w:left="320"/>
              <w:spacing w:after="0"/>
              <w:rPr>
                <w:sz w:val="20"/>
                <w:szCs w:val="20"/>
                <w:color w:val="auto"/>
              </w:rPr>
            </w:pPr>
            <w:r>
              <w:rPr>
                <w:rFonts w:ascii="Arial" w:cs="Arial" w:eastAsia="Arial" w:hAnsi="Arial"/>
                <w:sz w:val="14"/>
                <w:szCs w:val="14"/>
                <w:color w:val="auto"/>
              </w:rPr>
              <w:t>Total Residential</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3,818,000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3"/>
          </w:tcPr>
          <w:p>
            <w:pPr>
              <w:ind w:left="360"/>
              <w:spacing w:after="0"/>
              <w:rPr>
                <w:sz w:val="20"/>
                <w:szCs w:val="20"/>
                <w:color w:val="auto"/>
              </w:rPr>
            </w:pPr>
            <w:r>
              <w:rPr>
                <w:rFonts w:ascii="Arial" w:cs="Arial" w:eastAsia="Arial" w:hAnsi="Arial"/>
                <w:sz w:val="14"/>
                <w:szCs w:val="14"/>
                <w:color w:val="auto"/>
              </w:rPr>
              <w:t>Total Owned Land Parcels</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16,890,000</w:t>
            </w:r>
          </w:p>
        </w:tc>
        <w:tc>
          <w:tcPr>
            <w:tcW w:w="0" w:type="dxa"/>
            <w:vAlign w:val="bottom"/>
          </w:tcPr>
          <w:p>
            <w:pPr>
              <w:spacing w:after="0"/>
              <w:rPr>
                <w:sz w:val="1"/>
                <w:szCs w:val="1"/>
                <w:color w:val="auto"/>
              </w:rPr>
            </w:pPr>
          </w:p>
        </w:tc>
      </w:tr>
      <w:tr>
        <w:trPr>
          <w:trHeight w:val="20"/>
        </w:trPr>
        <w:tc>
          <w:tcPr>
            <w:tcW w:w="464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VALUE CREATION PIPELINE - LAND PURCHASE OPTIONS</w:t>
            </w:r>
          </w:p>
        </w:tc>
        <w:tc>
          <w:tcPr>
            <w:tcW w:w="19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4640" w:type="dxa"/>
            <w:vAlign w:val="bottom"/>
            <w:tcBorders>
              <w:bottom w:val="single" w:sz="8" w:color="auto"/>
            </w:tcBorders>
            <w:gridSpan w:val="4"/>
            <w:vMerge w:val="continue"/>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Location</w:t>
            </w:r>
          </w:p>
        </w:tc>
        <w:tc>
          <w:tcPr>
            <w:tcW w:w="3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xml:space="preserve">Approximate Developable Square Feet </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Office</w:t>
            </w:r>
          </w:p>
        </w:tc>
        <w:tc>
          <w:tcPr>
            <w:tcW w:w="4200" w:type="dxa"/>
            <w:vAlign w:val="bottom"/>
            <w:gridSpan w:val="2"/>
          </w:tcPr>
          <w:p>
            <w:pPr>
              <w:spacing w:after="0"/>
              <w:rPr>
                <w:sz w:val="13"/>
                <w:szCs w:val="13"/>
                <w:color w:val="auto"/>
              </w:rPr>
            </w:pPr>
          </w:p>
        </w:tc>
        <w:tc>
          <w:tcPr>
            <w:tcW w:w="1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 xml:space="preserve">Waltham, MA </w:t>
            </w:r>
            <w:r>
              <w:rPr>
                <w:rFonts w:ascii="Arial" w:cs="Arial" w:eastAsia="Arial" w:hAnsi="Arial"/>
                <w:sz w:val="18"/>
                <w:szCs w:val="18"/>
                <w:color w:val="auto"/>
                <w:vertAlign w:val="superscript"/>
              </w:rPr>
              <w:t>3</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Boston, MA</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668,000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Cambridge, MA</w:t>
            </w:r>
          </w:p>
        </w:tc>
        <w:tc>
          <w:tcPr>
            <w:tcW w:w="196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3"/>
          </w:tcPr>
          <w:p>
            <w:pPr>
              <w:ind w:left="320"/>
              <w:spacing w:after="0"/>
              <w:rPr>
                <w:sz w:val="20"/>
                <w:szCs w:val="20"/>
                <w:color w:val="auto"/>
              </w:rPr>
            </w:pPr>
            <w:r>
              <w:rPr>
                <w:rFonts w:ascii="Arial" w:cs="Arial" w:eastAsia="Arial" w:hAnsi="Arial"/>
                <w:sz w:val="14"/>
                <w:szCs w:val="14"/>
                <w:color w:val="auto"/>
              </w:rPr>
              <w:t>Total Office</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2,441,000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Residential</w:t>
            </w:r>
          </w:p>
        </w:tc>
        <w:tc>
          <w:tcPr>
            <w:tcW w:w="3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4"/>
                <w:szCs w:val="14"/>
                <w:color w:val="auto"/>
              </w:rPr>
              <w:t>Boston, MA</w:t>
            </w:r>
          </w:p>
        </w:tc>
        <w:tc>
          <w:tcPr>
            <w:tcW w:w="19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gridSpan w:val="3"/>
          </w:tcPr>
          <w:p>
            <w:pPr>
              <w:ind w:left="360"/>
              <w:spacing w:after="0"/>
              <w:rPr>
                <w:sz w:val="20"/>
                <w:szCs w:val="20"/>
                <w:color w:val="auto"/>
              </w:rPr>
            </w:pPr>
            <w:r>
              <w:rPr>
                <w:rFonts w:ascii="Arial" w:cs="Arial" w:eastAsia="Arial" w:hAnsi="Arial"/>
                <w:sz w:val="14"/>
                <w:szCs w:val="14"/>
                <w:color w:val="auto"/>
              </w:rPr>
              <w:t>Total Residential</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632,000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3"/>
          </w:tcPr>
          <w:p>
            <w:pPr>
              <w:ind w:left="360"/>
              <w:spacing w:after="0"/>
              <w:rPr>
                <w:sz w:val="20"/>
                <w:szCs w:val="20"/>
                <w:color w:val="auto"/>
              </w:rPr>
            </w:pPr>
            <w:r>
              <w:rPr>
                <w:rFonts w:ascii="Arial" w:cs="Arial" w:eastAsia="Arial" w:hAnsi="Arial"/>
                <w:sz w:val="14"/>
                <w:szCs w:val="14"/>
                <w:color w:val="auto"/>
              </w:rPr>
              <w:t>Total Land Purchase Options</w:t>
            </w:r>
          </w:p>
        </w:tc>
        <w:tc>
          <w:tcPr>
            <w:tcW w:w="3360" w:type="dxa"/>
            <w:vAlign w:val="bottom"/>
            <w:gridSpan w:val="2"/>
          </w:tcPr>
          <w:p>
            <w:pPr>
              <w:jc w:val="right"/>
              <w:spacing w:after="0"/>
              <w:rPr>
                <w:sz w:val="20"/>
                <w:szCs w:val="20"/>
                <w:color w:val="auto"/>
              </w:rPr>
            </w:pPr>
            <w:r>
              <w:rPr>
                <w:rFonts w:ascii="Arial" w:cs="Arial" w:eastAsia="Arial" w:hAnsi="Arial"/>
                <w:sz w:val="14"/>
                <w:szCs w:val="14"/>
                <w:color w:val="auto"/>
              </w:rPr>
              <w:t>3,073,000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23" w:lineRule="exact"/>
        <w:rPr>
          <w:sz w:val="20"/>
          <w:szCs w:val="20"/>
          <w:color w:val="auto"/>
        </w:rPr>
      </w:pPr>
    </w:p>
    <w:p>
      <w:pPr>
        <w:ind w:left="80" w:right="180" w:hanging="72"/>
        <w:spacing w:after="0" w:line="350" w:lineRule="auto"/>
        <w:tabs>
          <w:tab w:leader="none" w:pos="71"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Includes properties that are no longer considered “in-service” because the occupancy percentage is below 50% and the Company anticipates a future development / redevelopment of the property. During the nine months ended September 30, 2025, approximately 647,000 net rentable square feet were removed from the Company’s in-service properties portfolio in anticipation of future redevelopment. There can be no assurance that the Company will develop or redevelop these land parcels and properties for office, residential or other uses, if at all. Actual uses may differ from those shown depending on, among other things, the outcome of the permitting and/or entitlement processes for each land parcel/property.</w:t>
      </w:r>
    </w:p>
    <w:p>
      <w:pPr>
        <w:ind w:left="80" w:hanging="72"/>
        <w:spacing w:after="0" w:line="225" w:lineRule="auto"/>
        <w:tabs>
          <w:tab w:leader="none" w:pos="80" w:val="left"/>
        </w:tabs>
        <w:numPr>
          <w:ilvl w:val="0"/>
          <w:numId w:val="46"/>
        </w:numPr>
        <w:rPr>
          <w:rFonts w:ascii="Arial" w:cs="Arial" w:eastAsia="Arial" w:hAnsi="Arial"/>
          <w:sz w:val="19"/>
          <w:szCs w:val="19"/>
          <w:color w:val="auto"/>
          <w:vertAlign w:val="superscript"/>
        </w:rPr>
      </w:pPr>
      <w:r>
        <w:rPr>
          <w:rFonts w:ascii="Arial" w:cs="Arial" w:eastAsia="Arial" w:hAnsi="Arial"/>
          <w:sz w:val="13"/>
          <w:szCs w:val="13"/>
          <w:color w:val="auto"/>
        </w:rPr>
        <w:t>Represents 100% of consolidated and unconsolidated projects.</w:t>
      </w:r>
    </w:p>
    <w:p>
      <w:pPr>
        <w:ind w:left="80" w:hanging="72"/>
        <w:spacing w:after="0" w:line="223" w:lineRule="auto"/>
        <w:tabs>
          <w:tab w:leader="none" w:pos="80" w:val="left"/>
        </w:tabs>
        <w:numPr>
          <w:ilvl w:val="0"/>
          <w:numId w:val="47"/>
        </w:numPr>
        <w:rPr>
          <w:rFonts w:ascii="Arial" w:cs="Arial" w:eastAsia="Arial" w:hAnsi="Arial"/>
          <w:sz w:val="19"/>
          <w:szCs w:val="19"/>
          <w:color w:val="auto"/>
          <w:vertAlign w:val="superscript"/>
        </w:rPr>
      </w:pPr>
      <w:r>
        <w:rPr>
          <w:rFonts w:ascii="Arial" w:cs="Arial" w:eastAsia="Arial" w:hAnsi="Arial"/>
          <w:sz w:val="13"/>
          <w:szCs w:val="13"/>
          <w:color w:val="auto"/>
        </w:rPr>
        <w:t>The Company expects to be a 50% partner in the future development of these sites.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279"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0"/>
        </w:trPr>
        <w:tc>
          <w:tcPr>
            <w:tcW w:w="95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Q3 2025</w:t>
            </w:r>
          </w:p>
        </w:tc>
        <w:tc>
          <w:tcPr>
            <w:tcW w:w="0" w:type="dxa"/>
            <w:vAlign w:val="bottom"/>
          </w:tcPr>
          <w:p>
            <w:pPr>
              <w:spacing w:after="0"/>
              <w:rPr>
                <w:sz w:val="1"/>
                <w:szCs w:val="1"/>
                <w:color w:val="auto"/>
              </w:rPr>
            </w:pPr>
          </w:p>
        </w:tc>
      </w:tr>
      <w:tr>
        <w:trPr>
          <w:trHeight w:val="231"/>
        </w:trPr>
        <w:tc>
          <w:tcPr>
            <w:tcW w:w="95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Leasing activity</w:t>
            </w:r>
          </w:p>
        </w:tc>
        <w:tc>
          <w:tcPr>
            <w:tcW w:w="0" w:type="dxa"/>
            <w:vAlign w:val="bottom"/>
          </w:tcPr>
          <w:p>
            <w:pPr>
              <w:spacing w:after="0"/>
              <w:rPr>
                <w:sz w:val="1"/>
                <w:szCs w:val="1"/>
                <w:color w:val="auto"/>
              </w:rPr>
            </w:pPr>
          </w:p>
        </w:tc>
      </w:tr>
      <w:tr>
        <w:trPr>
          <w:trHeight w:val="600"/>
        </w:trPr>
        <w:tc>
          <w:tcPr>
            <w:tcW w:w="9500" w:type="dxa"/>
            <w:vAlign w:val="bottom"/>
          </w:tcPr>
          <w:p>
            <w:pPr>
              <w:spacing w:after="0"/>
              <w:rPr>
                <w:sz w:val="20"/>
                <w:szCs w:val="20"/>
                <w:color w:val="auto"/>
              </w:rPr>
            </w:pPr>
            <w:r>
              <w:rPr>
                <w:rFonts w:ascii="Arial" w:cs="Arial" w:eastAsia="Arial" w:hAnsi="Arial"/>
                <w:sz w:val="14"/>
                <w:szCs w:val="14"/>
                <w:color w:val="auto"/>
              </w:rPr>
              <w:t>for the three months ended September 30, 2025</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9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ALL IN-SERVICE PROPERTIES</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500" w:type="dxa"/>
            <w:vAlign w:val="bottom"/>
          </w:tcPr>
          <w:p>
            <w:pPr>
              <w:ind w:left="20"/>
              <w:spacing w:after="0"/>
              <w:rPr>
                <w:sz w:val="20"/>
                <w:szCs w:val="20"/>
                <w:color w:val="auto"/>
              </w:rPr>
            </w:pPr>
            <w:r>
              <w:rPr>
                <w:rFonts w:ascii="Arial" w:cs="Arial" w:eastAsia="Arial" w:hAnsi="Arial"/>
                <w:sz w:val="14"/>
                <w:szCs w:val="14"/>
                <w:b w:val="1"/>
                <w:bCs w:val="1"/>
                <w:color w:val="auto"/>
              </w:rPr>
              <w:t>Net (increase)/decrease in available space (SF)</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9500" w:type="dxa"/>
            <w:vAlign w:val="bottom"/>
          </w:tcPr>
          <w:p>
            <w:pPr>
              <w:ind w:left="20"/>
              <w:spacing w:after="0"/>
              <w:rPr>
                <w:sz w:val="20"/>
                <w:szCs w:val="20"/>
                <w:color w:val="auto"/>
              </w:rPr>
            </w:pPr>
            <w:r>
              <w:rPr>
                <w:rFonts w:ascii="Arial" w:cs="Arial" w:eastAsia="Arial" w:hAnsi="Arial"/>
                <w:sz w:val="14"/>
                <w:szCs w:val="14"/>
                <w:color w:val="auto"/>
              </w:rPr>
              <w:t>Vacant space available at the beginning of the period</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6,559,755</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Less:</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00" w:type="dxa"/>
            <w:vAlign w:val="bottom"/>
          </w:tcPr>
          <w:p>
            <w:pPr>
              <w:ind w:left="220"/>
              <w:spacing w:after="0"/>
              <w:rPr>
                <w:sz w:val="20"/>
                <w:szCs w:val="20"/>
                <w:color w:val="auto"/>
              </w:rPr>
            </w:pPr>
            <w:r>
              <w:rPr>
                <w:rFonts w:ascii="Arial" w:cs="Arial" w:eastAsia="Arial" w:hAnsi="Arial"/>
                <w:sz w:val="14"/>
                <w:szCs w:val="14"/>
                <w:color w:val="auto"/>
              </w:rPr>
              <w:t xml:space="preserve">Property dispositions/properties taken out of service </w:t>
            </w:r>
            <w:r>
              <w:rPr>
                <w:rFonts w:ascii="Arial" w:cs="Arial" w:eastAsia="Arial" w:hAnsi="Arial"/>
                <w:sz w:val="9"/>
                <w:szCs w:val="9"/>
                <w:color w:val="auto"/>
              </w:rPr>
              <w:t>1</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23,633</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Add:</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00" w:type="dxa"/>
            <w:vAlign w:val="bottom"/>
          </w:tcPr>
          <w:p>
            <w:pPr>
              <w:ind w:left="220"/>
              <w:spacing w:after="0"/>
              <w:rPr>
                <w:sz w:val="20"/>
                <w:szCs w:val="20"/>
                <w:color w:val="auto"/>
              </w:rPr>
            </w:pPr>
            <w:r>
              <w:rPr>
                <w:rFonts w:ascii="Arial" w:cs="Arial" w:eastAsia="Arial" w:hAnsi="Arial"/>
                <w:sz w:val="14"/>
                <w:szCs w:val="14"/>
                <w:color w:val="auto"/>
              </w:rPr>
              <w:t xml:space="preserve">Properties placed (and partially placed) in-service </w:t>
            </w:r>
            <w:r>
              <w:rPr>
                <w:rFonts w:ascii="Arial" w:cs="Arial" w:eastAsia="Arial" w:hAnsi="Arial"/>
                <w:sz w:val="9"/>
                <w:szCs w:val="9"/>
                <w:color w:val="auto"/>
              </w:rPr>
              <w:t>2</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535,011</w:t>
            </w:r>
          </w:p>
        </w:tc>
        <w:tc>
          <w:tcPr>
            <w:tcW w:w="0" w:type="dxa"/>
            <w:vAlign w:val="bottom"/>
          </w:tcPr>
          <w:p>
            <w:pPr>
              <w:spacing w:after="0"/>
              <w:rPr>
                <w:sz w:val="1"/>
                <w:szCs w:val="1"/>
                <w:color w:val="auto"/>
              </w:rPr>
            </w:pPr>
          </w:p>
        </w:tc>
      </w:tr>
      <w:tr>
        <w:trPr>
          <w:trHeight w:val="204"/>
        </w:trPr>
        <w:tc>
          <w:tcPr>
            <w:tcW w:w="9500" w:type="dxa"/>
            <w:vAlign w:val="bottom"/>
          </w:tcPr>
          <w:p>
            <w:pPr>
              <w:ind w:left="220"/>
              <w:spacing w:after="0"/>
              <w:rPr>
                <w:sz w:val="20"/>
                <w:szCs w:val="20"/>
                <w:color w:val="auto"/>
              </w:rPr>
            </w:pPr>
            <w:r>
              <w:rPr>
                <w:rFonts w:ascii="Arial" w:cs="Arial" w:eastAsia="Arial" w:hAnsi="Arial"/>
                <w:sz w:val="14"/>
                <w:szCs w:val="14"/>
                <w:color w:val="auto"/>
              </w:rPr>
              <w:t>Leases expiring or terminated during the period</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977,209</w:t>
            </w:r>
          </w:p>
        </w:tc>
        <w:tc>
          <w:tcPr>
            <w:tcW w:w="0" w:type="dxa"/>
            <w:vAlign w:val="bottom"/>
          </w:tcPr>
          <w:p>
            <w:pPr>
              <w:spacing w:after="0"/>
              <w:rPr>
                <w:sz w:val="1"/>
                <w:szCs w:val="1"/>
                <w:color w:val="auto"/>
              </w:rPr>
            </w:pPr>
          </w:p>
        </w:tc>
      </w:tr>
      <w:tr>
        <w:trPr>
          <w:trHeight w:val="198"/>
        </w:trPr>
        <w:tc>
          <w:tcPr>
            <w:tcW w:w="9500" w:type="dxa"/>
            <w:vAlign w:val="bottom"/>
          </w:tcPr>
          <w:p>
            <w:pPr>
              <w:ind w:left="480"/>
              <w:spacing w:after="0"/>
              <w:rPr>
                <w:sz w:val="20"/>
                <w:szCs w:val="20"/>
                <w:color w:val="auto"/>
              </w:rPr>
            </w:pPr>
            <w:r>
              <w:rPr>
                <w:rFonts w:ascii="Arial" w:cs="Arial" w:eastAsia="Arial" w:hAnsi="Arial"/>
                <w:sz w:val="14"/>
                <w:szCs w:val="14"/>
                <w:color w:val="auto"/>
              </w:rPr>
              <w:t>Total space available for lease</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8,048,342</w:t>
            </w:r>
          </w:p>
        </w:tc>
        <w:tc>
          <w:tcPr>
            <w:tcW w:w="0" w:type="dxa"/>
            <w:vAlign w:val="bottom"/>
          </w:tcPr>
          <w:p>
            <w:pPr>
              <w:spacing w:after="0"/>
              <w:rPr>
                <w:sz w:val="1"/>
                <w:szCs w:val="1"/>
                <w:color w:val="auto"/>
              </w:rPr>
            </w:pPr>
          </w:p>
        </w:tc>
      </w:tr>
      <w:tr>
        <w:trPr>
          <w:trHeight w:val="381"/>
        </w:trPr>
        <w:tc>
          <w:tcPr>
            <w:tcW w:w="9500" w:type="dxa"/>
            <w:vAlign w:val="bottom"/>
          </w:tcPr>
          <w:p>
            <w:pPr>
              <w:ind w:left="20"/>
              <w:spacing w:after="0"/>
              <w:rPr>
                <w:sz w:val="20"/>
                <w:szCs w:val="20"/>
                <w:color w:val="auto"/>
              </w:rPr>
            </w:pPr>
            <w:r>
              <w:rPr>
                <w:rFonts w:ascii="Arial" w:cs="Arial" w:eastAsia="Arial" w:hAnsi="Arial"/>
                <w:sz w:val="14"/>
                <w:szCs w:val="14"/>
                <w:color w:val="auto"/>
              </w:rPr>
              <w:t>1st generation leases</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198,797</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2nd generation leases with new clients</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688,867</w:t>
            </w:r>
          </w:p>
        </w:tc>
        <w:tc>
          <w:tcPr>
            <w:tcW w:w="0" w:type="dxa"/>
            <w:vAlign w:val="bottom"/>
          </w:tcPr>
          <w:p>
            <w:pPr>
              <w:spacing w:after="0"/>
              <w:rPr>
                <w:sz w:val="1"/>
                <w:szCs w:val="1"/>
                <w:color w:val="auto"/>
              </w:rPr>
            </w:pPr>
          </w:p>
        </w:tc>
      </w:tr>
      <w:tr>
        <w:trPr>
          <w:trHeight w:val="204"/>
        </w:trPr>
        <w:tc>
          <w:tcPr>
            <w:tcW w:w="9500" w:type="dxa"/>
            <w:vAlign w:val="bottom"/>
          </w:tcPr>
          <w:p>
            <w:pPr>
              <w:ind w:left="20"/>
              <w:spacing w:after="0"/>
              <w:rPr>
                <w:sz w:val="20"/>
                <w:szCs w:val="20"/>
                <w:color w:val="auto"/>
              </w:rPr>
            </w:pPr>
            <w:r>
              <w:rPr>
                <w:rFonts w:ascii="Arial" w:cs="Arial" w:eastAsia="Arial" w:hAnsi="Arial"/>
                <w:sz w:val="14"/>
                <w:szCs w:val="14"/>
                <w:color w:val="auto"/>
              </w:rPr>
              <w:t>2nd generation lease renewals</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268,991</w:t>
            </w:r>
          </w:p>
        </w:tc>
        <w:tc>
          <w:tcPr>
            <w:tcW w:w="0" w:type="dxa"/>
            <w:vAlign w:val="bottom"/>
          </w:tcPr>
          <w:p>
            <w:pPr>
              <w:spacing w:after="0"/>
              <w:rPr>
                <w:sz w:val="1"/>
                <w:szCs w:val="1"/>
                <w:color w:val="auto"/>
              </w:rPr>
            </w:pPr>
          </w:p>
        </w:tc>
      </w:tr>
      <w:tr>
        <w:trPr>
          <w:trHeight w:val="198"/>
        </w:trPr>
        <w:tc>
          <w:tcPr>
            <w:tcW w:w="9500" w:type="dxa"/>
            <w:vAlign w:val="bottom"/>
          </w:tcPr>
          <w:p>
            <w:pPr>
              <w:ind w:left="480"/>
              <w:spacing w:after="0"/>
              <w:rPr>
                <w:sz w:val="20"/>
                <w:szCs w:val="20"/>
                <w:color w:val="auto"/>
              </w:rPr>
            </w:pPr>
            <w:r>
              <w:rPr>
                <w:rFonts w:ascii="Arial" w:cs="Arial" w:eastAsia="Arial" w:hAnsi="Arial"/>
                <w:sz w:val="14"/>
                <w:szCs w:val="14"/>
                <w:color w:val="auto"/>
              </w:rPr>
              <w:t>Total leases commenced during the period</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1,156,655</w:t>
            </w:r>
          </w:p>
        </w:tc>
        <w:tc>
          <w:tcPr>
            <w:tcW w:w="0" w:type="dxa"/>
            <w:vAlign w:val="bottom"/>
          </w:tcPr>
          <w:p>
            <w:pPr>
              <w:spacing w:after="0"/>
              <w:rPr>
                <w:sz w:val="1"/>
                <w:szCs w:val="1"/>
                <w:color w:val="auto"/>
              </w:rPr>
            </w:pPr>
          </w:p>
        </w:tc>
      </w:tr>
      <w:tr>
        <w:trPr>
          <w:trHeight w:val="385"/>
        </w:trPr>
        <w:tc>
          <w:tcPr>
            <w:tcW w:w="9500" w:type="dxa"/>
            <w:vAlign w:val="bottom"/>
          </w:tcPr>
          <w:p>
            <w:pPr>
              <w:ind w:left="20"/>
              <w:spacing w:after="0"/>
              <w:rPr>
                <w:sz w:val="20"/>
                <w:szCs w:val="20"/>
                <w:color w:val="auto"/>
              </w:rPr>
            </w:pPr>
            <w:r>
              <w:rPr>
                <w:rFonts w:ascii="Arial" w:cs="Arial" w:eastAsia="Arial" w:hAnsi="Arial"/>
                <w:sz w:val="14"/>
                <w:szCs w:val="14"/>
                <w:color w:val="auto"/>
              </w:rPr>
              <w:t>Vacant space available for lease at the end of the period</w:t>
            </w:r>
          </w:p>
        </w:tc>
        <w:tc>
          <w:tcPr>
            <w:tcW w:w="1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6,891,687</w:t>
            </w:r>
          </w:p>
        </w:tc>
        <w:tc>
          <w:tcPr>
            <w:tcW w:w="0" w:type="dxa"/>
            <w:vAlign w:val="bottom"/>
          </w:tcPr>
          <w:p>
            <w:pPr>
              <w:spacing w:after="0"/>
              <w:rPr>
                <w:sz w:val="1"/>
                <w:szCs w:val="1"/>
                <w:color w:val="auto"/>
              </w:rPr>
            </w:pPr>
          </w:p>
        </w:tc>
      </w:tr>
      <w:tr>
        <w:trPr>
          <w:trHeight w:val="200"/>
        </w:trPr>
        <w:tc>
          <w:tcPr>
            <w:tcW w:w="9500" w:type="dxa"/>
            <w:vAlign w:val="bottom"/>
          </w:tcPr>
          <w:p>
            <w:pPr>
              <w:ind w:left="20"/>
              <w:spacing w:after="0"/>
              <w:rPr>
                <w:sz w:val="20"/>
                <w:szCs w:val="20"/>
                <w:color w:val="auto"/>
              </w:rPr>
            </w:pPr>
            <w:r>
              <w:rPr>
                <w:rFonts w:ascii="Arial" w:cs="Arial" w:eastAsia="Arial" w:hAnsi="Arial"/>
                <w:sz w:val="14"/>
                <w:szCs w:val="14"/>
                <w:color w:val="auto"/>
              </w:rPr>
              <w:t>Net (increase)/decrease in available space</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(331,932)</w:t>
            </w:r>
          </w:p>
        </w:tc>
        <w:tc>
          <w:tcPr>
            <w:tcW w:w="0" w:type="dxa"/>
            <w:vAlign w:val="bottom"/>
          </w:tcPr>
          <w:p>
            <w:pPr>
              <w:spacing w:after="0"/>
              <w:rPr>
                <w:sz w:val="1"/>
                <w:szCs w:val="1"/>
                <w:color w:val="auto"/>
              </w:rPr>
            </w:pPr>
          </w:p>
        </w:tc>
      </w:tr>
      <w:tr>
        <w:trPr>
          <w:trHeight w:val="21"/>
        </w:trPr>
        <w:tc>
          <w:tcPr>
            <w:tcW w:w="9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2nd generation leasing information: </w:t>
            </w:r>
            <w:r>
              <w:rPr>
                <w:rFonts w:ascii="Arial" w:cs="Arial" w:eastAsia="Arial" w:hAnsi="Arial"/>
                <w:sz w:val="9"/>
                <w:szCs w:val="9"/>
                <w:b w:val="1"/>
                <w:bCs w:val="1"/>
                <w:color w:val="auto"/>
              </w:rPr>
              <w:t>3</w:t>
            </w: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9500" w:type="dxa"/>
            <w:vAlign w:val="bottom"/>
            <w:tcBorders>
              <w:bottom w:val="single" w:sz="8" w:color="auto"/>
            </w:tcBorders>
            <w:vMerge w:val="continue"/>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500" w:type="dxa"/>
            <w:vAlign w:val="bottom"/>
          </w:tcPr>
          <w:p>
            <w:pPr>
              <w:ind w:left="20"/>
              <w:spacing w:after="0"/>
              <w:rPr>
                <w:sz w:val="20"/>
                <w:szCs w:val="20"/>
                <w:color w:val="auto"/>
              </w:rPr>
            </w:pPr>
            <w:r>
              <w:rPr>
                <w:rFonts w:ascii="Arial" w:cs="Arial" w:eastAsia="Arial" w:hAnsi="Arial"/>
                <w:sz w:val="14"/>
                <w:szCs w:val="14"/>
                <w:color w:val="auto"/>
              </w:rPr>
              <w:t>Leases commencing during the period (SF)</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957,858</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Weighted average lease term (months)</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Weighted average free rent period (days)</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 xml:space="preserve">Total transaction costs per square foot </w:t>
            </w:r>
            <w:r>
              <w:rPr>
                <w:rFonts w:ascii="Arial" w:cs="Arial" w:eastAsia="Arial" w:hAnsi="Arial"/>
                <w:sz w:val="9"/>
                <w:szCs w:val="9"/>
                <w:color w:val="auto"/>
              </w:rPr>
              <w:t>4</w:t>
            </w: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$77.47</w:t>
            </w:r>
          </w:p>
        </w:tc>
        <w:tc>
          <w:tcPr>
            <w:tcW w:w="0" w:type="dxa"/>
            <w:vAlign w:val="bottom"/>
          </w:tcPr>
          <w:p>
            <w:pPr>
              <w:spacing w:after="0"/>
              <w:rPr>
                <w:sz w:val="1"/>
                <w:szCs w:val="1"/>
                <w:color w:val="auto"/>
              </w:rPr>
            </w:pPr>
          </w:p>
        </w:tc>
      </w:tr>
      <w:tr>
        <w:trPr>
          <w:trHeight w:val="202"/>
        </w:trPr>
        <w:tc>
          <w:tcPr>
            <w:tcW w:w="9500" w:type="dxa"/>
            <w:vAlign w:val="bottom"/>
          </w:tcPr>
          <w:p>
            <w:pPr>
              <w:ind w:left="20"/>
              <w:spacing w:after="0"/>
              <w:rPr>
                <w:sz w:val="20"/>
                <w:szCs w:val="20"/>
                <w:color w:val="auto"/>
              </w:rPr>
            </w:pPr>
            <w:r>
              <w:rPr>
                <w:rFonts w:ascii="Arial" w:cs="Arial" w:eastAsia="Arial" w:hAnsi="Arial"/>
                <w:sz w:val="14"/>
                <w:szCs w:val="14"/>
                <w:color w:val="auto"/>
              </w:rPr>
              <w:t xml:space="preserve">Increase (decrease) in gross rents </w:t>
            </w:r>
            <w:r>
              <w:rPr>
                <w:rFonts w:ascii="Arial" w:cs="Arial" w:eastAsia="Arial" w:hAnsi="Arial"/>
                <w:sz w:val="9"/>
                <w:szCs w:val="9"/>
                <w:color w:val="auto"/>
              </w:rPr>
              <w:t>5</w:t>
            </w:r>
          </w:p>
        </w:tc>
        <w:tc>
          <w:tcPr>
            <w:tcW w:w="1740" w:type="dxa"/>
            <w:vAlign w:val="bottom"/>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3"/>
        </w:trPr>
        <w:tc>
          <w:tcPr>
            <w:tcW w:w="9500" w:type="dxa"/>
            <w:vAlign w:val="bottom"/>
          </w:tcPr>
          <w:p>
            <w:pPr>
              <w:ind w:left="20"/>
              <w:spacing w:after="0"/>
              <w:rPr>
                <w:sz w:val="20"/>
                <w:szCs w:val="20"/>
                <w:color w:val="auto"/>
              </w:rPr>
            </w:pPr>
            <w:r>
              <w:rPr>
                <w:rFonts w:ascii="Arial" w:cs="Arial" w:eastAsia="Arial" w:hAnsi="Arial"/>
                <w:sz w:val="14"/>
                <w:szCs w:val="14"/>
                <w:color w:val="auto"/>
              </w:rPr>
              <w:t xml:space="preserve">Increase (decrease) in net rents </w:t>
            </w:r>
            <w:r>
              <w:rPr>
                <w:rFonts w:ascii="Arial" w:cs="Arial" w:eastAsia="Arial" w:hAnsi="Arial"/>
                <w:sz w:val="9"/>
                <w:szCs w:val="9"/>
                <w:color w:val="auto"/>
              </w:rPr>
              <w:t>6</w:t>
            </w:r>
          </w:p>
        </w:tc>
        <w:tc>
          <w:tcPr>
            <w:tcW w:w="1740" w:type="dxa"/>
            <w:vAlign w:val="bottom"/>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-4255135</wp:posOffset>
            </wp:positionV>
            <wp:extent cx="257175"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00" w:type="dxa"/>
            <w:vAlign w:val="bottom"/>
          </w:tcPr>
          <w:p>
            <w:pPr>
              <w:spacing w:after="0"/>
              <w:rPr>
                <w:sz w:val="12"/>
                <w:szCs w:val="12"/>
                <w:color w:val="auto"/>
              </w:rPr>
            </w:pPr>
          </w:p>
        </w:tc>
        <w:tc>
          <w:tcPr>
            <w:tcW w:w="3860" w:type="dxa"/>
            <w:vAlign w:val="bottom"/>
            <w:gridSpan w:val="5"/>
            <w:vMerge w:val="restart"/>
          </w:tcPr>
          <w:p>
            <w:pPr>
              <w:jc w:val="right"/>
              <w:ind w:right="589"/>
              <w:spacing w:after="0"/>
              <w:rPr>
                <w:sz w:val="20"/>
                <w:szCs w:val="20"/>
                <w:color w:val="auto"/>
              </w:rPr>
            </w:pPr>
            <w:r>
              <w:rPr>
                <w:rFonts w:ascii="Arial" w:cs="Arial" w:eastAsia="Arial" w:hAnsi="Arial"/>
                <w:sz w:val="13"/>
                <w:szCs w:val="13"/>
                <w:b w:val="1"/>
                <w:bCs w:val="1"/>
                <w:color w:val="auto"/>
              </w:rPr>
              <w:t>All leases commencing occupancy (SF)</w:t>
            </w:r>
          </w:p>
        </w:tc>
        <w:tc>
          <w:tcPr>
            <w:tcW w:w="220" w:type="dxa"/>
            <w:vAlign w:val="bottom"/>
          </w:tcPr>
          <w:p>
            <w:pPr>
              <w:spacing w:after="0"/>
              <w:rPr>
                <w:sz w:val="12"/>
                <w:szCs w:val="12"/>
                <w:color w:val="auto"/>
              </w:rPr>
            </w:pPr>
          </w:p>
        </w:tc>
        <w:tc>
          <w:tcPr>
            <w:tcW w:w="276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Incr (decr) in 2nd generation cash rents</w:t>
            </w:r>
          </w:p>
        </w:tc>
        <w:tc>
          <w:tcPr>
            <w:tcW w:w="200" w:type="dxa"/>
            <w:vAlign w:val="bottom"/>
            <w:vMerge w:val="restart"/>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rPr>
              <w:t>Total square feet of</w:t>
            </w:r>
          </w:p>
        </w:tc>
        <w:tc>
          <w:tcPr>
            <w:tcW w:w="0" w:type="dxa"/>
            <w:vAlign w:val="bottom"/>
          </w:tcPr>
          <w:p>
            <w:pPr>
              <w:spacing w:after="0"/>
              <w:rPr>
                <w:sz w:val="1"/>
                <w:szCs w:val="1"/>
                <w:color w:val="auto"/>
              </w:rPr>
            </w:pPr>
          </w:p>
        </w:tc>
      </w:tr>
      <w:tr>
        <w:trPr>
          <w:trHeight w:val="111"/>
        </w:trPr>
        <w:tc>
          <w:tcPr>
            <w:tcW w:w="2600" w:type="dxa"/>
            <w:vAlign w:val="bottom"/>
          </w:tcPr>
          <w:p>
            <w:pPr>
              <w:spacing w:after="0"/>
              <w:rPr>
                <w:sz w:val="9"/>
                <w:szCs w:val="9"/>
                <w:color w:val="auto"/>
              </w:rPr>
            </w:pPr>
          </w:p>
        </w:tc>
        <w:tc>
          <w:tcPr>
            <w:tcW w:w="3860" w:type="dxa"/>
            <w:vAlign w:val="bottom"/>
            <w:tcBorders>
              <w:bottom w:val="single" w:sz="8" w:color="auto"/>
            </w:tcBorders>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2760" w:type="dxa"/>
            <w:vAlign w:val="bottom"/>
            <w:tcBorders>
              <w:bottom w:val="single" w:sz="8" w:color="auto"/>
            </w:tcBorders>
            <w:gridSpan w:val="3"/>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54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leases executed in the</w:t>
            </w:r>
          </w:p>
        </w:tc>
        <w:tc>
          <w:tcPr>
            <w:tcW w:w="0" w:type="dxa"/>
            <w:vAlign w:val="bottom"/>
          </w:tcPr>
          <w:p>
            <w:pPr>
              <w:spacing w:after="0"/>
              <w:rPr>
                <w:sz w:val="1"/>
                <w:szCs w:val="1"/>
                <w:color w:val="auto"/>
              </w:rPr>
            </w:pPr>
          </w:p>
        </w:tc>
      </w:tr>
      <w:tr>
        <w:trPr>
          <w:trHeight w:val="198"/>
        </w:trPr>
        <w:tc>
          <w:tcPr>
            <w:tcW w:w="2600" w:type="dxa"/>
            <w:vAlign w:val="bottom"/>
          </w:tcPr>
          <w:p>
            <w:pPr>
              <w:spacing w:after="0"/>
              <w:rPr>
                <w:sz w:val="17"/>
                <w:szCs w:val="17"/>
                <w:color w:val="auto"/>
              </w:rPr>
            </w:pP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1st generation</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2nd generation</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total </w:t>
            </w:r>
            <w:r>
              <w:rPr>
                <w:rFonts w:ascii="Arial" w:cs="Arial" w:eastAsia="Arial" w:hAnsi="Arial"/>
                <w:sz w:val="17"/>
                <w:szCs w:val="17"/>
                <w:b w:val="1"/>
                <w:bCs w:val="1"/>
                <w:color w:val="auto"/>
                <w:vertAlign w:val="superscript"/>
              </w:rPr>
              <w:t>7</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gross </w:t>
            </w:r>
            <w:r>
              <w:rPr>
                <w:rFonts w:ascii="Arial" w:cs="Arial" w:eastAsia="Arial" w:hAnsi="Arial"/>
                <w:sz w:val="17"/>
                <w:szCs w:val="17"/>
                <w:b w:val="1"/>
                <w:bCs w:val="1"/>
                <w:color w:val="auto"/>
                <w:vertAlign w:val="superscript"/>
              </w:rPr>
              <w:t>5, 7</w:t>
            </w: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net </w:t>
            </w:r>
            <w:r>
              <w:rPr>
                <w:rFonts w:ascii="Arial" w:cs="Arial" w:eastAsia="Arial" w:hAnsi="Arial"/>
                <w:sz w:val="17"/>
                <w:szCs w:val="17"/>
                <w:b w:val="1"/>
                <w:bCs w:val="1"/>
                <w:color w:val="auto"/>
                <w:vertAlign w:val="superscript"/>
              </w:rPr>
              <w:t>6,7</w:t>
            </w:r>
          </w:p>
        </w:tc>
        <w:tc>
          <w:tcPr>
            <w:tcW w:w="20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 xml:space="preserve">quarter </w:t>
            </w:r>
            <w:r>
              <w:rPr>
                <w:rFonts w:ascii="Arial" w:cs="Arial" w:eastAsia="Arial" w:hAnsi="Arial"/>
                <w:sz w:val="17"/>
                <w:szCs w:val="17"/>
                <w:b w:val="1"/>
                <w:bCs w:val="1"/>
                <w:color w:val="auto"/>
                <w:vertAlign w:val="superscript"/>
              </w:rPr>
              <w:t>8</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20"/>
                <w:szCs w:val="20"/>
                <w:color w:val="auto"/>
              </w:rPr>
            </w:pPr>
            <w:r>
              <w:rPr>
                <w:rFonts w:ascii="Arial" w:cs="Arial" w:eastAsia="Arial" w:hAnsi="Arial"/>
                <w:sz w:val="14"/>
                <w:szCs w:val="14"/>
                <w:color w:val="auto"/>
              </w:rPr>
              <w:t>Boston</w:t>
            </w:r>
          </w:p>
        </w:tc>
        <w:tc>
          <w:tcPr>
            <w:tcW w:w="1180" w:type="dxa"/>
            <w:vAlign w:val="bottom"/>
          </w:tcPr>
          <w:p>
            <w:pPr>
              <w:jc w:val="right"/>
              <w:spacing w:after="0"/>
              <w:rPr>
                <w:sz w:val="20"/>
                <w:szCs w:val="20"/>
                <w:color w:val="auto"/>
              </w:rPr>
            </w:pPr>
            <w:r>
              <w:rPr>
                <w:rFonts w:ascii="Arial" w:cs="Arial" w:eastAsia="Arial" w:hAnsi="Arial"/>
                <w:sz w:val="14"/>
                <w:szCs w:val="14"/>
                <w:color w:val="auto"/>
              </w:rPr>
              <w:t>113,924</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368,708</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482,632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2.18 %</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3.19 %</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397,854</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Los Angeles</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10,709</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10,709</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(29.10)%</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(41.02)%</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4,705</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New York</w:t>
            </w:r>
          </w:p>
        </w:tc>
        <w:tc>
          <w:tcPr>
            <w:tcW w:w="1180" w:type="dxa"/>
            <w:vAlign w:val="bottom"/>
          </w:tcPr>
          <w:p>
            <w:pPr>
              <w:jc w:val="right"/>
              <w:spacing w:after="0"/>
              <w:rPr>
                <w:sz w:val="20"/>
                <w:szCs w:val="20"/>
                <w:color w:val="auto"/>
              </w:rPr>
            </w:pPr>
            <w:r>
              <w:rPr>
                <w:rFonts w:ascii="Arial" w:cs="Arial" w:eastAsia="Arial" w:hAnsi="Arial"/>
                <w:sz w:val="14"/>
                <w:szCs w:val="14"/>
                <w:color w:val="auto"/>
              </w:rPr>
              <w:t>23,038</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215,801</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238,839</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4.52 %</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8.11 %</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794,741</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San Francisco</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176,055</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176,055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(19.02)%</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(24.57)%</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133,551</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Arial" w:cs="Arial" w:eastAsia="Arial" w:hAnsi="Arial"/>
                <w:sz w:val="14"/>
                <w:szCs w:val="14"/>
                <w:color w:val="auto"/>
              </w:rPr>
              <w:t>Seattle</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36,329</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36,329</w:t>
            </w:r>
          </w:p>
        </w:tc>
        <w:tc>
          <w:tcPr>
            <w:tcW w:w="22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1540" w:type="dxa"/>
            <w:vAlign w:val="bottom"/>
          </w:tcPr>
          <w:p>
            <w:pPr>
              <w:jc w:val="right"/>
              <w:spacing w:after="0"/>
              <w:rPr>
                <w:sz w:val="20"/>
                <w:szCs w:val="20"/>
                <w:color w:val="auto"/>
              </w:rPr>
            </w:pPr>
            <w:r>
              <w:rPr>
                <w:rFonts w:ascii="Arial" w:cs="Arial" w:eastAsia="Arial" w:hAnsi="Arial"/>
                <w:sz w:val="14"/>
                <w:szCs w:val="14"/>
                <w:color w:val="auto"/>
              </w:rPr>
              <w:t>54,100</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20"/>
                <w:szCs w:val="20"/>
                <w:color w:val="auto"/>
              </w:rPr>
            </w:pPr>
            <w:r>
              <w:rPr>
                <w:rFonts w:ascii="Arial" w:cs="Arial" w:eastAsia="Arial" w:hAnsi="Arial"/>
                <w:sz w:val="14"/>
                <w:szCs w:val="14"/>
                <w:color w:val="auto"/>
              </w:rPr>
              <w:t>Washington, DC</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61,835</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150,256</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212,091</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w:t>
            </w:r>
          </w:p>
        </w:tc>
        <w:tc>
          <w:tcPr>
            <w:tcW w:w="2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139,247</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20"/>
                <w:szCs w:val="20"/>
                <w:color w:val="auto"/>
              </w:rPr>
            </w:pPr>
            <w:r>
              <w:rPr>
                <w:rFonts w:ascii="Arial" w:cs="Arial" w:eastAsia="Arial" w:hAnsi="Arial"/>
                <w:sz w:val="14"/>
                <w:szCs w:val="14"/>
                <w:color w:val="auto"/>
              </w:rPr>
              <w:t>Total / Weighted Average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198,797</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957,858</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1,156,655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(7.13)%</w:t>
            </w:r>
          </w:p>
        </w:tc>
        <w:tc>
          <w:tcPr>
            <w:tcW w:w="2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1,524,198</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Total square feet of properties taken out of service in Q3 2025 consists of 23,633 at 200 Clarendon Street Retail.</w:t>
      </w:r>
    </w:p>
    <w:p>
      <w:pPr>
        <w:spacing w:after="0" w:line="26" w:lineRule="exact"/>
        <w:rPr>
          <w:sz w:val="20"/>
          <w:szCs w:val="20"/>
          <w:color w:val="auto"/>
        </w:rPr>
      </w:pPr>
    </w:p>
    <w:p>
      <w:pPr>
        <w:ind w:left="80" w:right="220" w:hanging="72"/>
        <w:spacing w:after="0" w:line="279" w:lineRule="auto"/>
        <w:tabs>
          <w:tab w:leader="none" w:pos="91" w:val="left"/>
        </w:tabs>
        <w:numPr>
          <w:ilvl w:val="0"/>
          <w:numId w:val="49"/>
        </w:numPr>
        <w:rPr>
          <w:rFonts w:ascii="Arial" w:cs="Arial" w:eastAsia="Arial" w:hAnsi="Arial"/>
          <w:sz w:val="9"/>
          <w:szCs w:val="9"/>
          <w:color w:val="auto"/>
        </w:rPr>
      </w:pPr>
      <w:r>
        <w:rPr>
          <w:rFonts w:ascii="Arial" w:cs="Arial" w:eastAsia="Arial" w:hAnsi="Arial"/>
          <w:sz w:val="14"/>
          <w:szCs w:val="14"/>
          <w:color w:val="auto"/>
        </w:rPr>
        <w:t>Total square feet of properties placed in service in Q3 2025 consists of 345,570 at 360 Park Avenue South, 106,670 at 1050 Winter Street and 82,771 at Reston Next Office Phase II.</w:t>
      </w:r>
    </w:p>
    <w:p>
      <w:pPr>
        <w:spacing w:after="0" w:line="3" w:lineRule="exact"/>
        <w:rPr>
          <w:sz w:val="20"/>
          <w:szCs w:val="20"/>
          <w:color w:val="auto"/>
        </w:rPr>
      </w:pPr>
    </w:p>
    <w:p>
      <w:pPr>
        <w:ind w:left="80" w:right="320" w:hanging="72"/>
        <w:spacing w:after="0" w:line="222" w:lineRule="auto"/>
        <w:tabs>
          <w:tab w:leader="none" w:pos="91"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2nd generation leases are defined as leases for space that has previously been leased. Of the 957,858 square feet of 2nd generation leases that commenced in Q3 2025, leases for 625,288 square feet were signed in prior periods.</w:t>
      </w:r>
    </w:p>
    <w:p>
      <w:pPr>
        <w:ind w:left="100" w:hanging="92"/>
        <w:spacing w:after="0" w:line="238" w:lineRule="auto"/>
        <w:tabs>
          <w:tab w:leader="none" w:pos="10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Total transaction costs include tenant improvements and leasing commissions, but exclude free rent concessions.</w:t>
      </w:r>
    </w:p>
    <w:p>
      <w:pPr>
        <w:spacing w:after="0" w:line="18" w:lineRule="exact"/>
        <w:rPr>
          <w:sz w:val="20"/>
          <w:szCs w:val="20"/>
          <w:color w:val="auto"/>
        </w:rPr>
      </w:pPr>
    </w:p>
    <w:p>
      <w:pPr>
        <w:ind w:left="80" w:right="20" w:hanging="72"/>
        <w:spacing w:after="0"/>
        <w:tabs>
          <w:tab w:leader="none" w:pos="91"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Represents the increase/(decrease) in gross rent (base rent plus expense reimbursements) on the new vs. expired leases on the 528,334 square feet of 2nd generation leases that had been occupied within the prior 12 months; excludes leases that management considers temporary because the client is not expected to occupy the space on a long-term basis.</w:t>
      </w:r>
    </w:p>
    <w:p>
      <w:pPr>
        <w:spacing w:after="0" w:line="168" w:lineRule="exact"/>
        <w:rPr>
          <w:sz w:val="20"/>
          <w:szCs w:val="20"/>
          <w:color w:val="auto"/>
        </w:rPr>
      </w:pPr>
    </w:p>
    <w:p>
      <w:pPr>
        <w:ind w:left="80" w:right="140" w:hanging="72"/>
        <w:spacing w:after="0" w:line="297" w:lineRule="auto"/>
        <w:tabs>
          <w:tab w:leader="none" w:pos="91" w:val="left"/>
        </w:tabs>
        <w:numPr>
          <w:ilvl w:val="0"/>
          <w:numId w:val="53"/>
        </w:numPr>
        <w:rPr>
          <w:rFonts w:ascii="Arial" w:cs="Arial" w:eastAsia="Arial" w:hAnsi="Arial"/>
          <w:sz w:val="9"/>
          <w:szCs w:val="9"/>
          <w:color w:val="auto"/>
        </w:rPr>
      </w:pPr>
      <w:r>
        <w:rPr>
          <w:rFonts w:ascii="Arial" w:cs="Arial" w:eastAsia="Arial" w:hAnsi="Arial"/>
          <w:sz w:val="14"/>
          <w:szCs w:val="14"/>
          <w:color w:val="auto"/>
        </w:rPr>
        <w:t>Represents the increase/(decrease) in net rent (gross rent less operating expenses) on the new vs. expired leases on the 528,334 square feet of 2nd generation leases that had been occupied within the prior 12 months; excludes leases that management considers temporary because the client is not expected to occupy the space on a long-term basis.</w:t>
      </w:r>
    </w:p>
    <w:p>
      <w:pPr>
        <w:spacing w:after="0" w:line="155" w:lineRule="exact"/>
        <w:rPr>
          <w:sz w:val="20"/>
          <w:szCs w:val="20"/>
          <w:color w:val="auto"/>
        </w:rPr>
      </w:pPr>
    </w:p>
    <w:p>
      <w:pPr>
        <w:ind w:left="100" w:hanging="92"/>
        <w:spacing w:after="0"/>
        <w:tabs>
          <w:tab w:leader="none" w:pos="100" w:val="left"/>
        </w:tabs>
        <w:numPr>
          <w:ilvl w:val="0"/>
          <w:numId w:val="54"/>
        </w:numPr>
        <w:rPr>
          <w:rFonts w:ascii="Arial" w:cs="Arial" w:eastAsia="Arial" w:hAnsi="Arial"/>
          <w:sz w:val="9"/>
          <w:szCs w:val="9"/>
          <w:color w:val="auto"/>
        </w:rPr>
      </w:pPr>
      <w:r>
        <w:rPr>
          <w:rFonts w:ascii="Arial" w:cs="Arial" w:eastAsia="Arial" w:hAnsi="Arial"/>
          <w:sz w:val="14"/>
          <w:szCs w:val="14"/>
          <w:color w:val="auto"/>
        </w:rPr>
        <w:t>Represents leases for which rental revenue recognition commenced in accordance with GAAP during the quarter.</w:t>
      </w:r>
    </w:p>
    <w:p>
      <w:pPr>
        <w:spacing w:after="0" w:line="55" w:lineRule="exact"/>
        <w:rPr>
          <w:sz w:val="20"/>
          <w:szCs w:val="20"/>
          <w:color w:val="auto"/>
        </w:rPr>
      </w:pPr>
    </w:p>
    <w:p>
      <w:pPr>
        <w:ind w:left="80" w:right="180" w:hanging="72"/>
        <w:spacing w:after="0" w:line="234" w:lineRule="auto"/>
        <w:tabs>
          <w:tab w:leader="none" w:pos="91"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Represents leases executed in the quarter for which the Company either (1) commenced rental revenue recognition in such quarter or (2) will commence rental revenue recognition in subsequent quarters, in accordance with GAAP, and includes leases at properties currently under development. The total square feet of leases executed in the current quarter for which the Company recognized rental revenue in the current quarter is 332,570.</w:t>
      </w:r>
    </w:p>
    <w:p>
      <w:pPr>
        <w:sectPr>
          <w:pgSz w:w="11900" w:h="16838" w:orient="portrait"/>
          <w:cols w:equalWidth="0" w:num="1">
            <w:col w:w="11240"/>
          </w:cols>
          <w:pgMar w:left="320" w:top="279" w:right="339" w:bottom="1440" w:gutter="0" w:footer="0" w:header="0"/>
        </w:sectPr>
      </w:pPr>
    </w:p>
    <w:p>
      <w:pPr>
        <w:spacing w:after="0" w:line="21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279" w:right="339" w:bottom="1440" w:gutter="0" w:footer="0" w:header="0"/>
          <w:type w:val="continuous"/>
        </w:sectPr>
      </w:pPr>
    </w:p>
    <w:bookmarkStart w:id="26" w:name="page27"/>
    <w:bookmarkEnd w:id="26"/>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Portfolio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Rentable square footage of in-service properties by location and unit type </w:t>
      </w:r>
      <w:r>
        <w:rPr>
          <w:rFonts w:ascii="Arial" w:cs="Arial" w:eastAsia="Arial" w:hAnsi="Arial"/>
          <w:sz w:val="9"/>
          <w:szCs w:val="9"/>
          <w:b w:val="1"/>
          <w:bCs w:val="1"/>
          <w:i w:val="1"/>
          <w:iCs w:val="1"/>
          <w:color w:val="auto"/>
        </w:rPr>
        <w:t>1, 2, 3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Office</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Retail</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Hotel</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Boston</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14,661,416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1,120,176</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550,114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330,000</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16,661,706</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2,183,712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123,534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2,307,246</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New York</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12,540,900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488,017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13,028,917</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7,239,141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349,648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08"/>
              <w:spacing w:after="0"/>
              <w:rPr>
                <w:sz w:val="20"/>
                <w:szCs w:val="20"/>
                <w:color w:val="auto"/>
              </w:rPr>
            </w:pPr>
            <w:r>
              <w:rPr>
                <w:rFonts w:ascii="Arial" w:cs="Arial" w:eastAsia="Arial" w:hAnsi="Arial"/>
                <w:sz w:val="14"/>
                <w:szCs w:val="14"/>
                <w:color w:val="auto"/>
              </w:rPr>
              <w:t>318,171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7,906,960</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Seattle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1,503,381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13,171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1,516,552</w:t>
            </w:r>
          </w:p>
        </w:tc>
        <w:tc>
          <w:tcPr>
            <w:tcW w:w="0" w:type="dxa"/>
            <w:vAlign w:val="bottom"/>
          </w:tcPr>
          <w:p>
            <w:pPr>
              <w:spacing w:after="0"/>
              <w:rPr>
                <w:sz w:val="1"/>
                <w:szCs w:val="1"/>
                <w:color w:val="auto"/>
              </w:rPr>
            </w:pPr>
          </w:p>
        </w:tc>
      </w:tr>
      <w:tr>
        <w:trPr>
          <w:trHeight w:val="207"/>
        </w:trPr>
        <w:tc>
          <w:tcPr>
            <w:tcW w:w="4320" w:type="dxa"/>
            <w:vAlign w:val="bottom"/>
          </w:tcPr>
          <w:p>
            <w:pPr>
              <w:ind w:left="20"/>
              <w:spacing w:after="0"/>
              <w:rPr>
                <w:sz w:val="20"/>
                <w:szCs w:val="20"/>
                <w:color w:val="auto"/>
              </w:rPr>
            </w:pPr>
            <w:r>
              <w:rPr>
                <w:rFonts w:ascii="Arial" w:cs="Arial" w:eastAsia="Arial" w:hAnsi="Arial"/>
                <w:sz w:val="14"/>
                <w:szCs w:val="14"/>
                <w:color w:val="auto"/>
              </w:rPr>
              <w:t>Washington, DC</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8,123,872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635,566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08"/>
              <w:spacing w:after="0"/>
              <w:rPr>
                <w:sz w:val="20"/>
                <w:szCs w:val="20"/>
                <w:color w:val="auto"/>
              </w:rPr>
            </w:pPr>
            <w:r>
              <w:rPr>
                <w:rFonts w:ascii="Arial" w:cs="Arial" w:eastAsia="Arial" w:hAnsi="Arial"/>
                <w:sz w:val="14"/>
                <w:szCs w:val="14"/>
                <w:color w:val="auto"/>
              </w:rPr>
              <w:t>910,277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9,669,715</w:t>
            </w:r>
          </w:p>
        </w:tc>
        <w:tc>
          <w:tcPr>
            <w:tcW w:w="0" w:type="dxa"/>
            <w:vAlign w:val="bottom"/>
          </w:tcPr>
          <w:p>
            <w:pPr>
              <w:spacing w:after="0"/>
              <w:rPr>
                <w:sz w:val="1"/>
                <w:szCs w:val="1"/>
                <w:color w:val="auto"/>
              </w:rPr>
            </w:pPr>
          </w:p>
        </w:tc>
      </w:tr>
      <w:tr>
        <w:trPr>
          <w:trHeight w:val="200"/>
        </w:trPr>
        <w:tc>
          <w:tcPr>
            <w:tcW w:w="4320" w:type="dxa"/>
            <w:vAlign w:val="bottom"/>
          </w:tcPr>
          <w:p>
            <w:pPr>
              <w:ind w:left="22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46,252,422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2,730,112</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1,778,562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330,000</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51,091,096</w:t>
            </w:r>
          </w:p>
        </w:tc>
        <w:tc>
          <w:tcPr>
            <w:tcW w:w="0" w:type="dxa"/>
            <w:vAlign w:val="bottom"/>
          </w:tcPr>
          <w:p>
            <w:pPr>
              <w:spacing w:after="0"/>
              <w:rPr>
                <w:sz w:val="1"/>
                <w:szCs w:val="1"/>
                <w:color w:val="auto"/>
              </w:rPr>
            </w:pPr>
          </w:p>
        </w:tc>
      </w:tr>
      <w:tr>
        <w:trPr>
          <w:trHeight w:val="21"/>
        </w:trPr>
        <w:tc>
          <w:tcPr>
            <w:tcW w:w="4320" w:type="dxa"/>
            <w:vAlign w:val="bottom"/>
            <w:vMerge w:val="restart"/>
          </w:tcPr>
          <w:p>
            <w:pPr>
              <w:ind w:left="220"/>
              <w:spacing w:after="0"/>
              <w:rPr>
                <w:sz w:val="20"/>
                <w:szCs w:val="20"/>
                <w:color w:val="auto"/>
              </w:rPr>
            </w:pPr>
            <w:r>
              <w:rPr>
                <w:rFonts w:ascii="Arial" w:cs="Arial" w:eastAsia="Arial" w:hAnsi="Arial"/>
                <w:sz w:val="14"/>
                <w:szCs w:val="14"/>
                <w:color w:val="auto"/>
              </w:rPr>
              <w:t>% of Total</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90.53 %</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5.34 %</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3.48 %</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0.65 %</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666"/>
        </w:trPr>
        <w:tc>
          <w:tcPr>
            <w:tcW w:w="718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i w:val="1"/>
                <w:iCs w:val="1"/>
                <w:color w:val="auto"/>
              </w:rPr>
              <w:t xml:space="preserve">Rentable square footage of in-service properties, excluding hotel and residential properties </w:t>
            </w:r>
            <w:r>
              <w:rPr>
                <w:rFonts w:ascii="Arial" w:cs="Arial" w:eastAsia="Arial" w:hAnsi="Arial"/>
                <w:sz w:val="18"/>
                <w:szCs w:val="18"/>
                <w:b w:val="1"/>
                <w:bCs w:val="1"/>
                <w:i w:val="1"/>
                <w:iCs w:val="1"/>
                <w:color w:val="auto"/>
                <w:vertAlign w:val="superscript"/>
              </w:rPr>
              <w:t>1, 3</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3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Rentable square feet of in-service properties </w:t>
            </w:r>
            <w:r>
              <w:rPr>
                <w:rFonts w:ascii="Arial" w:cs="Arial" w:eastAsia="Arial" w:hAnsi="Arial"/>
                <w:sz w:val="18"/>
                <w:szCs w:val="18"/>
                <w:color w:val="auto"/>
                <w:vertAlign w:val="superscript"/>
              </w:rPr>
              <w:t>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51,091,096</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Less: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tcPr>
          <w:p>
            <w:pPr>
              <w:ind w:left="240"/>
              <w:spacing w:after="0"/>
              <w:rPr>
                <w:sz w:val="20"/>
                <w:szCs w:val="20"/>
                <w:color w:val="auto"/>
              </w:rPr>
            </w:pPr>
            <w:r>
              <w:rPr>
                <w:rFonts w:ascii="Arial" w:cs="Arial" w:eastAsia="Arial" w:hAnsi="Arial"/>
                <w:sz w:val="14"/>
                <w:szCs w:val="14"/>
                <w:color w:val="auto"/>
              </w:rPr>
              <w:t xml:space="preserve">Rentable square feet from residential and hotel properties </w:t>
            </w:r>
            <w:r>
              <w:rPr>
                <w:rFonts w:ascii="Arial" w:cs="Arial" w:eastAsia="Arial" w:hAnsi="Arial"/>
                <w:sz w:val="18"/>
                <w:szCs w:val="18"/>
                <w:color w:val="auto"/>
                <w:vertAlign w:val="superscript"/>
              </w:rPr>
              <w:t>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2,174,332</w:t>
            </w:r>
          </w:p>
        </w:tc>
        <w:tc>
          <w:tcPr>
            <w:tcW w:w="0" w:type="dxa"/>
            <w:vAlign w:val="bottom"/>
          </w:tcPr>
          <w:p>
            <w:pPr>
              <w:spacing w:after="0"/>
              <w:rPr>
                <w:sz w:val="1"/>
                <w:szCs w:val="1"/>
                <w:color w:val="auto"/>
              </w:rPr>
            </w:pPr>
          </w:p>
        </w:tc>
      </w:tr>
      <w:tr>
        <w:trPr>
          <w:trHeight w:val="203"/>
        </w:trPr>
        <w:tc>
          <w:tcPr>
            <w:tcW w:w="8600" w:type="dxa"/>
            <w:vAlign w:val="bottom"/>
            <w:gridSpan w:val="17"/>
          </w:tcPr>
          <w:p>
            <w:pPr>
              <w:ind w:left="240"/>
              <w:spacing w:after="0" w:line="202" w:lineRule="exact"/>
              <w:rPr>
                <w:sz w:val="20"/>
                <w:szCs w:val="20"/>
                <w:color w:val="auto"/>
              </w:rPr>
            </w:pPr>
            <w:r>
              <w:rPr>
                <w:rFonts w:ascii="Arial" w:cs="Arial" w:eastAsia="Arial" w:hAnsi="Arial"/>
                <w:sz w:val="14"/>
                <w:szCs w:val="14"/>
                <w:color w:val="auto"/>
              </w:rPr>
              <w:t xml:space="preserve">Partners’ share of rentable square feet from unconsolidated joint venture properties, excluding residential properties </w:t>
            </w:r>
            <w:r>
              <w:rPr>
                <w:rFonts w:ascii="Arial" w:cs="Arial" w:eastAsia="Arial" w:hAnsi="Arial"/>
                <w:sz w:val="18"/>
                <w:szCs w:val="18"/>
                <w:color w:val="auto"/>
                <w:vertAlign w:val="superscript"/>
              </w:rPr>
              <w:t>4</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3,975,899</w:t>
            </w:r>
          </w:p>
        </w:tc>
        <w:tc>
          <w:tcPr>
            <w:tcW w:w="0" w:type="dxa"/>
            <w:vAlign w:val="bottom"/>
          </w:tcPr>
          <w:p>
            <w:pPr>
              <w:spacing w:after="0"/>
              <w:rPr>
                <w:sz w:val="1"/>
                <w:szCs w:val="1"/>
                <w:color w:val="auto"/>
              </w:rPr>
            </w:pPr>
          </w:p>
        </w:tc>
      </w:tr>
      <w:tr>
        <w:trPr>
          <w:trHeight w:val="201"/>
        </w:trPr>
        <w:tc>
          <w:tcPr>
            <w:tcW w:w="5760" w:type="dxa"/>
            <w:vAlign w:val="bottom"/>
            <w:gridSpan w:val="6"/>
          </w:tcPr>
          <w:p>
            <w:pPr>
              <w:ind w:left="240"/>
              <w:spacing w:after="0" w:line="201" w:lineRule="exact"/>
              <w:rPr>
                <w:sz w:val="20"/>
                <w:szCs w:val="20"/>
                <w:color w:val="auto"/>
              </w:rPr>
            </w:pPr>
            <w:r>
              <w:rPr>
                <w:rFonts w:ascii="Arial" w:cs="Arial" w:eastAsia="Arial" w:hAnsi="Arial"/>
                <w:sz w:val="14"/>
                <w:szCs w:val="14"/>
                <w:color w:val="auto"/>
              </w:rPr>
              <w:t xml:space="preserve">Partners’ share of rentable square feet from consolidated joint venture properties </w:t>
            </w:r>
            <w:r>
              <w:rPr>
                <w:rFonts w:ascii="Arial" w:cs="Arial" w:eastAsia="Arial" w:hAnsi="Arial"/>
                <w:sz w:val="18"/>
                <w:szCs w:val="18"/>
                <w:color w:val="auto"/>
                <w:vertAlign w:val="superscript"/>
              </w:rPr>
              <w:t>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3,117,910</w:t>
            </w:r>
          </w:p>
        </w:tc>
        <w:tc>
          <w:tcPr>
            <w:tcW w:w="0" w:type="dxa"/>
            <w:vAlign w:val="bottom"/>
          </w:tcPr>
          <w:p>
            <w:pPr>
              <w:spacing w:after="0"/>
              <w:rPr>
                <w:sz w:val="1"/>
                <w:szCs w:val="1"/>
                <w:color w:val="auto"/>
              </w:rPr>
            </w:pPr>
          </w:p>
        </w:tc>
      </w:tr>
      <w:tr>
        <w:trPr>
          <w:trHeight w:val="196"/>
        </w:trPr>
        <w:tc>
          <w:tcPr>
            <w:tcW w:w="5760" w:type="dxa"/>
            <w:vAlign w:val="bottom"/>
            <w:gridSpan w:val="6"/>
          </w:tcPr>
          <w:p>
            <w:pPr>
              <w:ind w:left="20"/>
              <w:spacing w:after="0" w:line="196" w:lineRule="exact"/>
              <w:rPr>
                <w:sz w:val="20"/>
                <w:szCs w:val="20"/>
                <w:color w:val="auto"/>
              </w:rPr>
            </w:pPr>
            <w:r>
              <w:rPr>
                <w:rFonts w:ascii="Arial" w:cs="Arial" w:eastAsia="Arial" w:hAnsi="Arial"/>
                <w:sz w:val="14"/>
                <w:szCs w:val="14"/>
                <w:color w:val="auto"/>
              </w:rPr>
              <w:t xml:space="preserve">BXP’s Share of rentable square feet, excluding residential and hotel properties </w:t>
            </w:r>
            <w:r>
              <w:rPr>
                <w:rFonts w:ascii="Arial" w:cs="Arial" w:eastAsia="Arial" w:hAnsi="Arial"/>
                <w:sz w:val="18"/>
                <w:szCs w:val="18"/>
                <w:color w:val="auto"/>
                <w:vertAlign w:val="superscript"/>
              </w:rPr>
              <w:t>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41,822,955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xml:space="preserve">Rental revenue of in-service properties by unit type </w:t>
            </w:r>
            <w:r>
              <w:rPr>
                <w:rFonts w:ascii="Arial" w:cs="Arial" w:eastAsia="Arial" w:hAnsi="Arial"/>
                <w:sz w:val="18"/>
                <w:szCs w:val="18"/>
                <w:b w:val="1"/>
                <w:bCs w:val="1"/>
                <w:i w:val="1"/>
                <w:iCs w:val="1"/>
                <w:color w:val="auto"/>
                <w:vertAlign w:val="superscript"/>
              </w:rPr>
              <w:t>1, 3</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5"/>
        </w:trPr>
        <w:tc>
          <w:tcPr>
            <w:tcW w:w="432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Office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center"/>
              <w:ind w:right="180"/>
              <w:spacing w:after="0" w:line="202" w:lineRule="exact"/>
              <w:rPr>
                <w:sz w:val="20"/>
                <w:szCs w:val="20"/>
                <w:color w:val="auto"/>
              </w:rPr>
            </w:pPr>
            <w:r>
              <w:rPr>
                <w:rFonts w:ascii="Arial" w:cs="Arial" w:eastAsia="Arial" w:hAnsi="Arial"/>
                <w:sz w:val="14"/>
                <w:szCs w:val="14"/>
                <w:b w:val="1"/>
                <w:bCs w:val="1"/>
                <w:color w:val="auto"/>
              </w:rPr>
              <w:t xml:space="preserve">Hotel </w:t>
            </w:r>
            <w:r>
              <w:rPr>
                <w:rFonts w:ascii="Arial" w:cs="Arial" w:eastAsia="Arial" w:hAnsi="Arial"/>
                <w:sz w:val="18"/>
                <w:szCs w:val="18"/>
                <w:b w:val="1"/>
                <w:bCs w:val="1"/>
                <w:color w:val="auto"/>
                <w:vertAlign w:val="superscript"/>
              </w:rPr>
              <w:t>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Consolidated</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768,404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64,737</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88"/>
              <w:spacing w:after="0"/>
              <w:rPr>
                <w:sz w:val="20"/>
                <w:szCs w:val="20"/>
                <w:color w:val="auto"/>
              </w:rPr>
            </w:pPr>
            <w:r>
              <w:rPr>
                <w:rFonts w:ascii="Arial" w:cs="Arial" w:eastAsia="Arial" w:hAnsi="Arial"/>
                <w:sz w:val="14"/>
                <w:szCs w:val="14"/>
                <w:color w:val="auto"/>
              </w:rPr>
              <w:t>12,171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13,060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858,372</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Less: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180"/>
              <w:spacing w:after="0"/>
              <w:rPr>
                <w:sz w:val="20"/>
                <w:szCs w:val="20"/>
                <w:color w:val="auto"/>
              </w:rPr>
            </w:pPr>
            <w:r>
              <w:rPr>
                <w:rFonts w:ascii="Arial" w:cs="Arial" w:eastAsia="Arial" w:hAnsi="Arial"/>
                <w:sz w:val="14"/>
                <w:szCs w:val="14"/>
                <w:color w:val="auto"/>
              </w:rPr>
              <w:t xml:space="preserve">Partners’ share from consolidated joint ventures </w:t>
            </w:r>
            <w:r>
              <w:rPr>
                <w:rFonts w:ascii="Arial" w:cs="Arial" w:eastAsia="Arial" w:hAnsi="Arial"/>
                <w:sz w:val="18"/>
                <w:szCs w:val="18"/>
                <w:color w:val="auto"/>
                <w:vertAlign w:val="superscript"/>
              </w:rPr>
              <w:t>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78,126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10,055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88,181</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Add: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4"/>
                <w:szCs w:val="14"/>
                <w:color w:val="auto"/>
              </w:rPr>
              <w:t xml:space="preserve">BXP’s share from unconsolidated joint ventures </w:t>
            </w:r>
            <w:r>
              <w:rPr>
                <w:rFonts w:ascii="Arial" w:cs="Arial" w:eastAsia="Arial" w:hAnsi="Arial"/>
                <w:sz w:val="18"/>
                <w:szCs w:val="18"/>
                <w:color w:val="auto"/>
                <w:vertAlign w:val="superscript"/>
              </w:rPr>
              <w:t>8</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49,655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2,535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3,617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55,807</w:t>
            </w: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line="196" w:lineRule="exact"/>
              <w:rPr>
                <w:sz w:val="20"/>
                <w:szCs w:val="20"/>
                <w:color w:val="auto"/>
              </w:rPr>
            </w:pPr>
            <w:r>
              <w:rPr>
                <w:rFonts w:ascii="Arial" w:cs="Arial" w:eastAsia="Arial" w:hAnsi="Arial"/>
                <w:sz w:val="14"/>
                <w:szCs w:val="14"/>
                <w:color w:val="auto"/>
              </w:rPr>
              <w:t xml:space="preserve">BXP’s Share of Rental revenue </w:t>
            </w:r>
            <w:r>
              <w:rPr>
                <w:rFonts w:ascii="Arial" w:cs="Arial" w:eastAsia="Arial" w:hAnsi="Arial"/>
                <w:sz w:val="18"/>
                <w:szCs w:val="18"/>
                <w:color w:val="auto"/>
                <w:vertAlign w:val="superscript"/>
              </w:rPr>
              <w:t>1</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739,933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57,217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88"/>
              <w:spacing w:after="0"/>
              <w:rPr>
                <w:sz w:val="20"/>
                <w:szCs w:val="20"/>
                <w:color w:val="auto"/>
              </w:rPr>
            </w:pPr>
            <w:r>
              <w:rPr>
                <w:rFonts w:ascii="Arial" w:cs="Arial" w:eastAsia="Arial" w:hAnsi="Arial"/>
                <w:sz w:val="14"/>
                <w:szCs w:val="14"/>
                <w:color w:val="auto"/>
              </w:rPr>
              <w:t>15,788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13,060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825,998</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20"/>
              <w:spacing w:after="0"/>
              <w:rPr>
                <w:sz w:val="20"/>
                <w:szCs w:val="20"/>
                <w:color w:val="auto"/>
              </w:rPr>
            </w:pPr>
            <w:r>
              <w:rPr>
                <w:rFonts w:ascii="Arial" w:cs="Arial" w:eastAsia="Arial" w:hAnsi="Arial"/>
                <w:sz w:val="14"/>
                <w:szCs w:val="14"/>
                <w:color w:val="auto"/>
              </w:rPr>
              <w:t>% of Total</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89.58 %</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6.93 %</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1.91 %</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1.58 %</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603"/>
        </w:trPr>
        <w:tc>
          <w:tcPr>
            <w:tcW w:w="7180" w:type="dxa"/>
            <w:vAlign w:val="bottom"/>
            <w:gridSpan w:val="11"/>
          </w:tcPr>
          <w:p>
            <w:pPr>
              <w:spacing w:after="0"/>
              <w:rPr>
                <w:sz w:val="20"/>
                <w:szCs w:val="20"/>
                <w:color w:val="auto"/>
              </w:rPr>
            </w:pPr>
            <w:r>
              <w:rPr>
                <w:rFonts w:ascii="Arial" w:cs="Arial" w:eastAsia="Arial" w:hAnsi="Arial"/>
                <w:sz w:val="14"/>
                <w:szCs w:val="14"/>
                <w:b w:val="1"/>
                <w:bCs w:val="1"/>
                <w:i w:val="1"/>
                <w:iCs w:val="1"/>
                <w:color w:val="auto"/>
              </w:rPr>
              <w:t xml:space="preserve">Percentage of BXP’s Share of net operating income (NOI) (excluding termination income) by location </w:t>
            </w:r>
            <w:r>
              <w:rPr>
                <w:rFonts w:ascii="Arial" w:cs="Arial" w:eastAsia="Arial" w:hAnsi="Arial"/>
                <w:sz w:val="9"/>
                <w:szCs w:val="9"/>
                <w:b w:val="1"/>
                <w:bCs w:val="1"/>
                <w:i w:val="1"/>
                <w:iCs w:val="1"/>
                <w:color w:val="auto"/>
              </w:rPr>
              <w:t>1, 9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gridSpan w:val="5"/>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gridSpan w:val="5"/>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5"/>
          </w:tcPr>
          <w:p>
            <w:pPr>
              <w:ind w:left="160"/>
              <w:spacing w:after="0"/>
              <w:rPr>
                <w:sz w:val="20"/>
                <w:szCs w:val="20"/>
                <w:color w:val="auto"/>
              </w:rPr>
            </w:pPr>
            <w:r>
              <w:rPr>
                <w:rFonts w:ascii="Arial" w:cs="Arial" w:eastAsia="Arial" w:hAnsi="Arial"/>
                <w:sz w:val="14"/>
                <w:szCs w:val="14"/>
                <w:b w:val="1"/>
                <w:bCs w:val="1"/>
                <w:color w:val="auto"/>
              </w:rPr>
              <w:t>CBD</w:t>
            </w:r>
          </w:p>
        </w:tc>
        <w:tc>
          <w:tcPr>
            <w:tcW w:w="180" w:type="dxa"/>
            <w:vAlign w:val="bottom"/>
          </w:tcPr>
          <w:p>
            <w:pPr>
              <w:spacing w:after="0"/>
              <w:rPr>
                <w:sz w:val="17"/>
                <w:szCs w:val="17"/>
                <w:color w:val="auto"/>
              </w:rPr>
            </w:pP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rPr>
              <w:t>Suburban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Boston</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33.16 %</w:t>
            </w: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4.85 %</w:t>
            </w:r>
          </w:p>
        </w:tc>
        <w:tc>
          <w:tcPr>
            <w:tcW w:w="2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38.01 %</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4.65 %</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5"/>
          </w:tcPr>
          <w:p>
            <w:pPr>
              <w:jc w:val="right"/>
              <w:ind w:right="50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4.65 %</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New York</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21.81 %</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1.57 %</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23.38 %</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14.25 %</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1.86 %</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16.11 %</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Seattle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2.52 %</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5"/>
          </w:tcPr>
          <w:p>
            <w:pPr>
              <w:jc w:val="right"/>
              <w:ind w:right="50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2.52 %</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Arial" w:cs="Arial" w:eastAsia="Arial" w:hAnsi="Arial"/>
                <w:sz w:val="14"/>
                <w:szCs w:val="14"/>
                <w:color w:val="auto"/>
              </w:rPr>
              <w:t>Washington, DC</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15.18 %</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0.15 %</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15.33 %</w:t>
            </w:r>
          </w:p>
        </w:tc>
        <w:tc>
          <w:tcPr>
            <w:tcW w:w="0" w:type="dxa"/>
            <w:vAlign w:val="bottom"/>
          </w:tcPr>
          <w:p>
            <w:pPr>
              <w:spacing w:after="0"/>
              <w:rPr>
                <w:sz w:val="1"/>
                <w:szCs w:val="1"/>
                <w:color w:val="auto"/>
              </w:rPr>
            </w:pPr>
          </w:p>
        </w:tc>
      </w:tr>
      <w:tr>
        <w:trPr>
          <w:trHeight w:val="200"/>
        </w:trPr>
        <w:tc>
          <w:tcPr>
            <w:tcW w:w="4320" w:type="dxa"/>
            <w:vAlign w:val="bottom"/>
          </w:tcPr>
          <w:p>
            <w:pPr>
              <w:ind w:left="220"/>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91.57 %</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8.43 %</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6"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100% of the rentable square footage of the Company’s In-Service Properties.</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For additional detail relating to the Company’s In-Service Properties, see pages 21-24.</w:t>
      </w:r>
    </w:p>
    <w:p>
      <w:pPr>
        <w:spacing w:after="0" w:line="38" w:lineRule="exact"/>
        <w:rPr>
          <w:rFonts w:ascii="Arial" w:cs="Arial" w:eastAsia="Arial" w:hAnsi="Arial"/>
          <w:sz w:val="19"/>
          <w:szCs w:val="19"/>
          <w:color w:val="auto"/>
          <w:vertAlign w:val="superscript"/>
        </w:rPr>
      </w:pPr>
    </w:p>
    <w:p>
      <w:pPr>
        <w:ind w:right="220"/>
        <w:spacing w:after="0" w:line="272"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the partners’ share of the rentable square feet from unconsolidated joint venture properties (calculated based upon the partners’ percentage ownership interest). </w:t>
      </w:r>
      <w:r>
        <w:rPr>
          <w:rFonts w:ascii="Arial" w:cs="Arial" w:eastAsia="Arial" w:hAnsi="Arial"/>
          <w:sz w:val="9"/>
          <w:szCs w:val="9"/>
          <w:color w:val="auto"/>
        </w:rPr>
        <w:t xml:space="preserve">5 </w:t>
      </w:r>
      <w:r>
        <w:rPr>
          <w:rFonts w:ascii="Arial" w:cs="Arial" w:eastAsia="Arial" w:hAnsi="Arial"/>
          <w:sz w:val="14"/>
          <w:szCs w:val="14"/>
          <w:color w:val="auto"/>
        </w:rPr>
        <w:t>Represents the partners’ share of the rentable square feet from consolidated joint venture properties (calculated based upon the partners’ percentage ownership interests).</w:t>
      </w:r>
    </w:p>
    <w:p>
      <w:pPr>
        <w:spacing w:after="0" w:line="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Excludes approximately $102 of revenue from retail clients that is included in Retail.</w:t>
      </w:r>
    </w:p>
    <w:p>
      <w:pPr>
        <w:spacing w:after="0" w:line="1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7 </w:t>
      </w:r>
      <w:r>
        <w:rPr>
          <w:rFonts w:ascii="Arial" w:cs="Arial" w:eastAsia="Arial" w:hAnsi="Arial"/>
          <w:sz w:val="14"/>
          <w:szCs w:val="14"/>
          <w:color w:val="auto"/>
        </w:rPr>
        <w:t>See page 63 for additional information.</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See page 65 for additional information.</w:t>
      </w:r>
    </w:p>
    <w:p>
      <w:pPr>
        <w:spacing w:after="0" w:line="11" w:lineRule="exact"/>
        <w:rPr>
          <w:rFonts w:ascii="Arial" w:cs="Arial" w:eastAsia="Arial" w:hAnsi="Arial"/>
          <w:sz w:val="19"/>
          <w:szCs w:val="19"/>
          <w:color w:val="auto"/>
          <w:vertAlign w:val="superscript"/>
        </w:rPr>
      </w:pPr>
    </w:p>
    <w:p>
      <w:pPr>
        <w:ind w:left="80" w:right="240" w:hanging="81"/>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9</w:t>
      </w:r>
      <w:r>
        <w:rPr>
          <w:rFonts w:ascii="Arial" w:cs="Arial" w:eastAsia="Arial" w:hAnsi="Arial"/>
          <w:sz w:val="14"/>
          <w:szCs w:val="14"/>
          <w:color w:val="auto"/>
        </w:rPr>
        <w:t xml:space="preserve"> BXP’s Share of NOI (excluding termination income) is a non-GAAP financial measure. For a quantitative reconciliation of net income (loss) attributable to BXP, Inc. to BXP’s Share of NOI (excluding termination income), see page 9.</w:t>
      </w:r>
    </w:p>
    <w:p>
      <w:pPr>
        <w:sectPr>
          <w:pgSz w:w="11900" w:h="16838" w:orient="portrait"/>
          <w:cols w:equalWidth="0" w:num="1">
            <w:col w:w="11240"/>
          </w:cols>
          <w:pgMar w:left="320" w:top="279" w:right="339" w:bottom="1440" w:gutter="0" w:footer="0" w:header="0"/>
        </w:sectPr>
      </w:pPr>
    </w:p>
    <w:p>
      <w:pPr>
        <w:spacing w:after="0" w:line="20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279" w:right="339" w:bottom="1440" w:gutter="0" w:footer="0" w:header="0"/>
          <w:type w:val="continuous"/>
        </w:sectPr>
      </w:pPr>
    </w:p>
    <w:bookmarkStart w:id="27" w:name="page28"/>
    <w:bookmarkEnd w:id="27"/>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Residential and hotel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rental rates)</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 xml:space="preserve">Residential </w:t>
            </w:r>
            <w:r>
              <w:rPr>
                <w:rFonts w:ascii="Arial" w:cs="Arial" w:eastAsia="Arial" w:hAnsi="Arial"/>
                <w:sz w:val="18"/>
                <w:szCs w:val="18"/>
                <w:b w:val="1"/>
                <w:bCs w:val="1"/>
                <w:color w:val="auto"/>
                <w:vertAlign w:val="superscript"/>
              </w:rPr>
              <w:t>1</w:t>
            </w:r>
          </w:p>
        </w:tc>
        <w:tc>
          <w:tcPr>
            <w:tcW w:w="8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Hotel</w:t>
            </w: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30-Sep-25</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30-Jun-25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30-Sep-25</w:t>
            </w:r>
          </w:p>
        </w:tc>
        <w:tc>
          <w:tcPr>
            <w:tcW w:w="26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202"/>
        </w:trPr>
        <w:tc>
          <w:tcPr>
            <w:tcW w:w="51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Rental Revenue </w:t>
            </w:r>
            <w:r>
              <w:rPr>
                <w:rFonts w:ascii="Arial" w:cs="Arial" w:eastAsia="Arial" w:hAnsi="Arial"/>
                <w:sz w:val="18"/>
                <w:szCs w:val="18"/>
                <w:color w:val="auto"/>
                <w:vertAlign w:val="superscript"/>
              </w:rPr>
              <w:t>2</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12,845</w:t>
            </w:r>
          </w:p>
        </w:tc>
        <w:tc>
          <w:tcPr>
            <w:tcW w:w="26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12,532</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13,162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14,773</w:t>
            </w:r>
          </w:p>
        </w:tc>
        <w:tc>
          <w:tcPr>
            <w:tcW w:w="0" w:type="dxa"/>
            <w:vAlign w:val="bottom"/>
          </w:tcPr>
          <w:p>
            <w:pPr>
              <w:spacing w:after="0"/>
              <w:rPr>
                <w:sz w:val="1"/>
                <w:szCs w:val="1"/>
                <w:color w:val="auto"/>
              </w:rPr>
            </w:pPr>
          </w:p>
        </w:tc>
      </w:tr>
      <w:tr>
        <w:trPr>
          <w:trHeight w:val="192"/>
        </w:trPr>
        <w:tc>
          <w:tcPr>
            <w:tcW w:w="5120" w:type="dxa"/>
            <w:vAlign w:val="bottom"/>
          </w:tcPr>
          <w:p>
            <w:pPr>
              <w:ind w:left="20"/>
              <w:spacing w:after="0"/>
              <w:rPr>
                <w:sz w:val="20"/>
                <w:szCs w:val="20"/>
                <w:color w:val="auto"/>
              </w:rPr>
            </w:pPr>
            <w:r>
              <w:rPr>
                <w:rFonts w:ascii="Arial" w:cs="Arial" w:eastAsia="Arial" w:hAnsi="Arial"/>
                <w:sz w:val="14"/>
                <w:szCs w:val="14"/>
                <w:color w:val="auto"/>
              </w:rPr>
              <w:t>Less: Operating expenses and real estate taxes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6,095</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6,578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9,628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9,365</w:t>
            </w:r>
          </w:p>
        </w:tc>
        <w:tc>
          <w:tcPr>
            <w:tcW w:w="0" w:type="dxa"/>
            <w:vAlign w:val="bottom"/>
          </w:tcPr>
          <w:p>
            <w:pPr>
              <w:spacing w:after="0"/>
              <w:rPr>
                <w:sz w:val="1"/>
                <w:szCs w:val="1"/>
                <w:color w:val="auto"/>
              </w:rPr>
            </w:pPr>
          </w:p>
        </w:tc>
      </w:tr>
      <w:tr>
        <w:trPr>
          <w:trHeight w:val="207"/>
        </w:trPr>
        <w:tc>
          <w:tcPr>
            <w:tcW w:w="5120" w:type="dxa"/>
            <w:vAlign w:val="bottom"/>
          </w:tcPr>
          <w:p>
            <w:pPr>
              <w:ind w:left="220"/>
              <w:spacing w:after="0"/>
              <w:rPr>
                <w:sz w:val="20"/>
                <w:szCs w:val="20"/>
                <w:color w:val="auto"/>
              </w:rPr>
            </w:pPr>
            <w:r>
              <w:rPr>
                <w:rFonts w:ascii="Arial" w:cs="Arial" w:eastAsia="Arial" w:hAnsi="Arial"/>
                <w:sz w:val="14"/>
                <w:szCs w:val="14"/>
                <w:color w:val="auto"/>
              </w:rPr>
              <w:t xml:space="preserve">Net Operating Income (NOI)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6,750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5,954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3,534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5,408</w:t>
            </w:r>
          </w:p>
        </w:tc>
        <w:tc>
          <w:tcPr>
            <w:tcW w:w="0" w:type="dxa"/>
            <w:vAlign w:val="bottom"/>
          </w:tcPr>
          <w:p>
            <w:pPr>
              <w:spacing w:after="0"/>
              <w:rPr>
                <w:sz w:val="1"/>
                <w:szCs w:val="1"/>
                <w:color w:val="auto"/>
              </w:rPr>
            </w:pPr>
          </w:p>
        </w:tc>
      </w:tr>
      <w:tr>
        <w:trPr>
          <w:trHeight w:val="194"/>
        </w:trPr>
        <w:tc>
          <w:tcPr>
            <w:tcW w:w="5120" w:type="dxa"/>
            <w:vAlign w:val="bottom"/>
          </w:tcPr>
          <w:p>
            <w:pPr>
              <w:ind w:left="20"/>
              <w:spacing w:after="0"/>
              <w:rPr>
                <w:sz w:val="20"/>
                <w:szCs w:val="20"/>
                <w:color w:val="auto"/>
              </w:rPr>
            </w:pPr>
            <w:r>
              <w:rPr>
                <w:rFonts w:ascii="Arial" w:cs="Arial" w:eastAsia="Arial" w:hAnsi="Arial"/>
                <w:sz w:val="14"/>
                <w:szCs w:val="14"/>
                <w:color w:val="auto"/>
              </w:rPr>
              <w:t>Add: BXP’s share of NOI from unconsolidated joint ventures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2,211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N/A</w:t>
            </w:r>
          </w:p>
        </w:tc>
        <w:tc>
          <w:tcPr>
            <w:tcW w:w="26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0"/>
        </w:trPr>
        <w:tc>
          <w:tcPr>
            <w:tcW w:w="5120" w:type="dxa"/>
            <w:vAlign w:val="bottom"/>
          </w:tcPr>
          <w:p>
            <w:pPr>
              <w:ind w:left="220"/>
              <w:spacing w:after="0" w:line="200" w:lineRule="exact"/>
              <w:rPr>
                <w:sz w:val="20"/>
                <w:szCs w:val="20"/>
                <w:color w:val="auto"/>
              </w:rPr>
            </w:pPr>
            <w:r>
              <w:rPr>
                <w:rFonts w:ascii="Arial" w:cs="Arial" w:eastAsia="Arial" w:hAnsi="Arial"/>
                <w:sz w:val="14"/>
                <w:szCs w:val="14"/>
                <w:color w:val="auto"/>
              </w:rPr>
              <w:t xml:space="preserve">BXP’s Share of NOI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8,961</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8,102</w:t>
            </w:r>
          </w:p>
        </w:tc>
        <w:tc>
          <w:tcPr>
            <w:tcW w:w="26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3,534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5,408</w:t>
            </w:r>
          </w:p>
        </w:tc>
        <w:tc>
          <w:tcPr>
            <w:tcW w:w="0" w:type="dxa"/>
            <w:vAlign w:val="bottom"/>
          </w:tcPr>
          <w:p>
            <w:pPr>
              <w:spacing w:after="0"/>
              <w:rPr>
                <w:sz w:val="1"/>
                <w:szCs w:val="1"/>
                <w:color w:val="auto"/>
              </w:rPr>
            </w:pPr>
          </w:p>
        </w:tc>
      </w:tr>
      <w:tr>
        <w:trPr>
          <w:trHeight w:val="21"/>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 xml:space="preserve">Rental Revenue </w:t>
            </w:r>
            <w:r>
              <w:rPr>
                <w:rFonts w:ascii="Arial" w:cs="Arial" w:eastAsia="Arial" w:hAnsi="Arial"/>
                <w:sz w:val="18"/>
                <w:szCs w:val="18"/>
                <w:color w:val="auto"/>
                <w:vertAlign w:val="superscript"/>
              </w:rPr>
              <w:t>2</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6"/>
        </w:trPr>
        <w:tc>
          <w:tcPr>
            <w:tcW w:w="5120" w:type="dxa"/>
            <w:vAlign w:val="bottom"/>
            <w:vMerge w:val="continue"/>
          </w:tcPr>
          <w:p>
            <w:pPr>
              <w:spacing w:after="0"/>
              <w:rPr>
                <w:sz w:val="24"/>
                <w:szCs w:val="24"/>
                <w:color w:val="auto"/>
              </w:rPr>
            </w:pP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12,845</w:t>
            </w:r>
          </w:p>
        </w:tc>
        <w:tc>
          <w:tcPr>
            <w:tcW w:w="26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12,532</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13,162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14,773</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Arial" w:cs="Arial" w:eastAsia="Arial" w:hAnsi="Arial"/>
                <w:sz w:val="14"/>
                <w:szCs w:val="14"/>
                <w:color w:val="auto"/>
              </w:rPr>
              <w:t>Less: Straight line rent and fair value lease revenue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139</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Add: Lease transaction costs that qualify as rent inducements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149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5120" w:type="dxa"/>
            <w:vAlign w:val="bottom"/>
          </w:tcPr>
          <w:p>
            <w:pPr>
              <w:ind w:left="220"/>
              <w:spacing w:after="0"/>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12,855</w:t>
            </w: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12,539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13,164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14,775</w:t>
            </w:r>
          </w:p>
        </w:tc>
        <w:tc>
          <w:tcPr>
            <w:tcW w:w="0" w:type="dxa"/>
            <w:vAlign w:val="bottom"/>
          </w:tcPr>
          <w:p>
            <w:pPr>
              <w:spacing w:after="0"/>
              <w:rPr>
                <w:sz w:val="1"/>
                <w:szCs w:val="1"/>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Less: Operating expenses and real estate taxes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6,095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6,578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9,628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9,365</w:t>
            </w:r>
          </w:p>
        </w:tc>
        <w:tc>
          <w:tcPr>
            <w:tcW w:w="0" w:type="dxa"/>
            <w:vAlign w:val="bottom"/>
          </w:tcPr>
          <w:p>
            <w:pPr>
              <w:spacing w:after="0"/>
              <w:rPr>
                <w:sz w:val="1"/>
                <w:szCs w:val="1"/>
                <w:color w:val="auto"/>
              </w:rPr>
            </w:pPr>
          </w:p>
        </w:tc>
      </w:tr>
      <w:tr>
        <w:trPr>
          <w:trHeight w:val="207"/>
        </w:trPr>
        <w:tc>
          <w:tcPr>
            <w:tcW w:w="5120" w:type="dxa"/>
            <w:vAlign w:val="bottom"/>
          </w:tcPr>
          <w:p>
            <w:pPr>
              <w:ind w:left="220"/>
              <w:spacing w:after="0"/>
              <w:rPr>
                <w:sz w:val="20"/>
                <w:szCs w:val="20"/>
                <w:color w:val="auto"/>
              </w:rPr>
            </w:pPr>
            <w:r>
              <w:rPr>
                <w:rFonts w:ascii="Arial" w:cs="Arial" w:eastAsia="Arial" w:hAnsi="Arial"/>
                <w:sz w:val="14"/>
                <w:szCs w:val="14"/>
                <w:color w:val="auto"/>
              </w:rPr>
              <w:t xml:space="preserve">NOI - cash basis </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6,760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5,961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3,536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194"/>
        </w:trPr>
        <w:tc>
          <w:tcPr>
            <w:tcW w:w="5120" w:type="dxa"/>
            <w:vAlign w:val="bottom"/>
          </w:tcPr>
          <w:p>
            <w:pPr>
              <w:ind w:left="20"/>
              <w:spacing w:after="0"/>
              <w:rPr>
                <w:sz w:val="20"/>
                <w:szCs w:val="20"/>
                <w:color w:val="auto"/>
              </w:rPr>
            </w:pPr>
            <w:r>
              <w:rPr>
                <w:rFonts w:ascii="Arial" w:cs="Arial" w:eastAsia="Arial" w:hAnsi="Arial"/>
                <w:sz w:val="14"/>
                <w:szCs w:val="14"/>
                <w:color w:val="auto"/>
              </w:rPr>
              <w:t>Add: BXP’s share of NOI-cash from unconsolidated joint ventures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2,211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N/A</w:t>
            </w:r>
          </w:p>
        </w:tc>
        <w:tc>
          <w:tcPr>
            <w:tcW w:w="26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0"/>
        </w:trPr>
        <w:tc>
          <w:tcPr>
            <w:tcW w:w="5120" w:type="dxa"/>
            <w:vAlign w:val="bottom"/>
          </w:tcPr>
          <w:p>
            <w:pPr>
              <w:ind w:left="220"/>
              <w:spacing w:after="0" w:line="200" w:lineRule="exact"/>
              <w:rPr>
                <w:sz w:val="20"/>
                <w:szCs w:val="20"/>
                <w:color w:val="auto"/>
              </w:rPr>
            </w:pPr>
            <w:r>
              <w:rPr>
                <w:rFonts w:ascii="Arial" w:cs="Arial" w:eastAsia="Arial" w:hAnsi="Arial"/>
                <w:sz w:val="14"/>
                <w:szCs w:val="14"/>
                <w:color w:val="auto"/>
              </w:rPr>
              <w:t xml:space="preserve">BXP’s Share of NOI - cash basis </w:t>
            </w:r>
            <w:r>
              <w:rPr>
                <w:rFonts w:ascii="Arial" w:cs="Arial" w:eastAsia="Arial" w:hAnsi="Arial"/>
                <w:sz w:val="18"/>
                <w:szCs w:val="18"/>
                <w:color w:val="auto"/>
                <w:vertAlign w:val="superscript"/>
              </w:rPr>
              <w:t>2</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8,971</w:t>
            </w:r>
          </w:p>
        </w:tc>
        <w:tc>
          <w:tcPr>
            <w:tcW w:w="26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8,109</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3,536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xml:space="preserve">RESIDENTIAL RENTAL RATES AND OCCUPANCY </w:t>
            </w:r>
            <w:r>
              <w:rPr>
                <w:rFonts w:ascii="Arial" w:cs="Arial" w:eastAsia="Arial" w:hAnsi="Arial"/>
                <w:sz w:val="18"/>
                <w:szCs w:val="18"/>
                <w:b w:val="1"/>
                <w:bCs w:val="1"/>
                <w:i w:val="1"/>
                <w:iCs w:val="1"/>
                <w:color w:val="auto"/>
                <w:vertAlign w:val="superscript"/>
              </w:rPr>
              <w:t>2, 3</w:t>
            </w:r>
            <w:r>
              <w:rPr>
                <w:rFonts w:ascii="Arial" w:cs="Arial" w:eastAsia="Arial" w:hAnsi="Arial"/>
                <w:sz w:val="14"/>
                <w:szCs w:val="14"/>
                <w:b w:val="1"/>
                <w:bCs w:val="1"/>
                <w:i w:val="1"/>
                <w:iCs w:val="1"/>
                <w:color w:val="auto"/>
              </w:rPr>
              <w:t xml:space="preserve"> - Year-over-Year</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1"/>
        </w:trPr>
        <w:tc>
          <w:tcPr>
            <w:tcW w:w="51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Residential Units</w:t>
            </w:r>
          </w:p>
        </w:tc>
        <w:tc>
          <w:tcPr>
            <w:tcW w:w="1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30-Sep-25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30-Sep-24</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Arial" w:cs="Arial" w:eastAsia="Arial" w:hAnsi="Arial"/>
                <w:sz w:val="14"/>
                <w:szCs w:val="14"/>
                <w:color w:val="auto"/>
              </w:rPr>
              <w:t>Boston</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60"/>
              <w:spacing w:after="0"/>
              <w:rPr>
                <w:sz w:val="20"/>
                <w:szCs w:val="20"/>
                <w:color w:val="auto"/>
              </w:rPr>
            </w:pPr>
            <w:r>
              <w:rPr>
                <w:rFonts w:ascii="Arial" w:cs="Arial" w:eastAsia="Arial" w:hAnsi="Arial"/>
                <w:sz w:val="14"/>
                <w:szCs w:val="14"/>
                <w:color w:val="auto"/>
              </w:rPr>
              <w:t>Average Monthly Rental Rate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4,091</w:t>
            </w:r>
          </w:p>
        </w:tc>
        <w:tc>
          <w:tcPr>
            <w:tcW w:w="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2.28 %</w:t>
            </w:r>
          </w:p>
        </w:tc>
        <w:tc>
          <w:tcPr>
            <w:tcW w:w="0" w:type="dxa"/>
            <w:vAlign w:val="bottom"/>
          </w:tcPr>
          <w:p>
            <w:pPr>
              <w:spacing w:after="0"/>
              <w:rPr>
                <w:sz w:val="1"/>
                <w:szCs w:val="1"/>
                <w:color w:val="auto"/>
              </w:rPr>
            </w:pPr>
          </w:p>
        </w:tc>
      </w:tr>
      <w:tr>
        <w:trPr>
          <w:trHeight w:val="203"/>
        </w:trPr>
        <w:tc>
          <w:tcPr>
            <w:tcW w:w="5120" w:type="dxa"/>
            <w:vAlign w:val="bottom"/>
          </w:tcPr>
          <w:p>
            <w:pPr>
              <w:ind w:left="260"/>
              <w:spacing w:after="0"/>
              <w:rPr>
                <w:sz w:val="20"/>
                <w:szCs w:val="20"/>
                <w:color w:val="auto"/>
              </w:rPr>
            </w:pPr>
            <w:r>
              <w:rPr>
                <w:rFonts w:ascii="Arial" w:cs="Arial" w:eastAsia="Arial" w:hAnsi="Arial"/>
                <w:sz w:val="14"/>
                <w:szCs w:val="14"/>
                <w:color w:val="auto"/>
              </w:rPr>
              <w:t>Average Rental Rate Per Occupied Square Foot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5.97</w:t>
            </w:r>
          </w:p>
        </w:tc>
        <w:tc>
          <w:tcPr>
            <w:tcW w:w="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2.05 %</w:t>
            </w:r>
          </w:p>
        </w:tc>
        <w:tc>
          <w:tcPr>
            <w:tcW w:w="0" w:type="dxa"/>
            <w:vAlign w:val="bottom"/>
          </w:tcPr>
          <w:p>
            <w:pPr>
              <w:spacing w:after="0"/>
              <w:rPr>
                <w:sz w:val="1"/>
                <w:szCs w:val="1"/>
                <w:color w:val="auto"/>
              </w:rPr>
            </w:pPr>
          </w:p>
        </w:tc>
      </w:tr>
      <w:tr>
        <w:trPr>
          <w:trHeight w:val="203"/>
        </w:trPr>
        <w:tc>
          <w:tcPr>
            <w:tcW w:w="5120" w:type="dxa"/>
            <w:vAlign w:val="bottom"/>
          </w:tcPr>
          <w:p>
            <w:pPr>
              <w:ind w:left="260"/>
              <w:spacing w:after="0"/>
              <w:rPr>
                <w:sz w:val="20"/>
                <w:szCs w:val="20"/>
                <w:color w:val="auto"/>
              </w:rPr>
            </w:pPr>
            <w:r>
              <w:rPr>
                <w:rFonts w:ascii="Arial" w:cs="Arial" w:eastAsia="Arial" w:hAnsi="Arial"/>
                <w:sz w:val="14"/>
                <w:szCs w:val="14"/>
                <w:color w:val="auto"/>
              </w:rPr>
              <w:t>Average Physical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94.62 %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95.37 %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03"/>
        </w:trPr>
        <w:tc>
          <w:tcPr>
            <w:tcW w:w="5120" w:type="dxa"/>
            <w:vAlign w:val="bottom"/>
          </w:tcPr>
          <w:p>
            <w:pPr>
              <w:ind w:left="260"/>
              <w:spacing w:after="0"/>
              <w:rPr>
                <w:sz w:val="20"/>
                <w:szCs w:val="20"/>
                <w:color w:val="auto"/>
              </w:rPr>
            </w:pPr>
            <w:r>
              <w:rPr>
                <w:rFonts w:ascii="Arial" w:cs="Arial" w:eastAsia="Arial" w:hAnsi="Arial"/>
                <w:sz w:val="14"/>
                <w:szCs w:val="14"/>
                <w:color w:val="auto"/>
              </w:rPr>
              <w:t>Average Economic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94.57 %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95.39 %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60"/>
              <w:spacing w:after="0"/>
              <w:rPr>
                <w:sz w:val="20"/>
                <w:szCs w:val="20"/>
                <w:color w:val="auto"/>
              </w:rPr>
            </w:pPr>
            <w:r>
              <w:rPr>
                <w:rFonts w:ascii="Arial" w:cs="Arial" w:eastAsia="Arial" w:hAnsi="Arial"/>
                <w:sz w:val="14"/>
                <w:szCs w:val="14"/>
                <w:color w:val="auto"/>
              </w:rPr>
              <w:t>Average Monthly Rental Rate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3,004</w:t>
            </w:r>
          </w:p>
        </w:tc>
        <w:tc>
          <w:tcPr>
            <w:tcW w:w="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2,968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203"/>
        </w:trPr>
        <w:tc>
          <w:tcPr>
            <w:tcW w:w="5120" w:type="dxa"/>
            <w:vAlign w:val="bottom"/>
          </w:tcPr>
          <w:p>
            <w:pPr>
              <w:ind w:left="260"/>
              <w:spacing w:after="0"/>
              <w:rPr>
                <w:sz w:val="20"/>
                <w:szCs w:val="20"/>
                <w:color w:val="auto"/>
              </w:rPr>
            </w:pPr>
            <w:r>
              <w:rPr>
                <w:rFonts w:ascii="Arial" w:cs="Arial" w:eastAsia="Arial" w:hAnsi="Arial"/>
                <w:sz w:val="14"/>
                <w:szCs w:val="14"/>
                <w:color w:val="auto"/>
              </w:rPr>
              <w:t>Average Rental Rate Per Occupied Square Foot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3.80</w:t>
            </w:r>
          </w:p>
        </w:tc>
        <w:tc>
          <w:tcPr>
            <w:tcW w:w="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202"/>
        </w:trPr>
        <w:tc>
          <w:tcPr>
            <w:tcW w:w="5120" w:type="dxa"/>
            <w:vAlign w:val="bottom"/>
          </w:tcPr>
          <w:p>
            <w:pPr>
              <w:ind w:left="260"/>
              <w:spacing w:after="0"/>
              <w:rPr>
                <w:sz w:val="20"/>
                <w:szCs w:val="20"/>
                <w:color w:val="auto"/>
              </w:rPr>
            </w:pPr>
            <w:r>
              <w:rPr>
                <w:rFonts w:ascii="Arial" w:cs="Arial" w:eastAsia="Arial" w:hAnsi="Arial"/>
                <w:sz w:val="14"/>
                <w:szCs w:val="14"/>
                <w:color w:val="auto"/>
              </w:rPr>
              <w:t>Average Physical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90.88 %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89.88 %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203"/>
        </w:trPr>
        <w:tc>
          <w:tcPr>
            <w:tcW w:w="5120" w:type="dxa"/>
            <w:vAlign w:val="bottom"/>
          </w:tcPr>
          <w:p>
            <w:pPr>
              <w:ind w:left="260"/>
              <w:spacing w:after="0"/>
              <w:rPr>
                <w:sz w:val="20"/>
                <w:szCs w:val="20"/>
                <w:color w:val="auto"/>
              </w:rPr>
            </w:pPr>
            <w:r>
              <w:rPr>
                <w:rFonts w:ascii="Arial" w:cs="Arial" w:eastAsia="Arial" w:hAnsi="Arial"/>
                <w:sz w:val="14"/>
                <w:szCs w:val="14"/>
                <w:color w:val="auto"/>
              </w:rPr>
              <w:t>Average Economic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89.02 %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87.49 %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4"/>
                <w:szCs w:val="14"/>
                <w:color w:val="auto"/>
              </w:rPr>
              <w:t xml:space="preserve">Washington, DC </w:t>
            </w:r>
            <w:r>
              <w:rPr>
                <w:rFonts w:ascii="Arial" w:cs="Arial" w:eastAsia="Arial" w:hAnsi="Arial"/>
                <w:sz w:val="18"/>
                <w:szCs w:val="18"/>
                <w:color w:val="auto"/>
                <w:vertAlign w:val="superscript"/>
              </w:rPr>
              <w:t>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260"/>
              <w:spacing w:after="0"/>
              <w:rPr>
                <w:sz w:val="20"/>
                <w:szCs w:val="20"/>
                <w:color w:val="auto"/>
              </w:rPr>
            </w:pPr>
            <w:r>
              <w:rPr>
                <w:rFonts w:ascii="Arial" w:cs="Arial" w:eastAsia="Arial" w:hAnsi="Arial"/>
                <w:sz w:val="14"/>
                <w:szCs w:val="14"/>
                <w:color w:val="auto"/>
              </w:rPr>
              <w:t>Average Monthly Rental Rate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2,869</w:t>
            </w:r>
          </w:p>
        </w:tc>
        <w:tc>
          <w:tcPr>
            <w:tcW w:w="1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2,869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5120" w:type="dxa"/>
            <w:vAlign w:val="bottom"/>
          </w:tcPr>
          <w:p>
            <w:pPr>
              <w:ind w:left="260"/>
              <w:spacing w:after="0"/>
              <w:rPr>
                <w:sz w:val="20"/>
                <w:szCs w:val="20"/>
                <w:color w:val="auto"/>
              </w:rPr>
            </w:pPr>
            <w:r>
              <w:rPr>
                <w:rFonts w:ascii="Arial" w:cs="Arial" w:eastAsia="Arial" w:hAnsi="Arial"/>
                <w:sz w:val="14"/>
                <w:szCs w:val="14"/>
                <w:color w:val="auto"/>
              </w:rPr>
              <w:t>Average Rental Rate Per Occupied Square Foot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3.23</w:t>
            </w:r>
          </w:p>
        </w:tc>
        <w:tc>
          <w:tcPr>
            <w:tcW w:w="18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9.49 %</w:t>
            </w:r>
          </w:p>
        </w:tc>
        <w:tc>
          <w:tcPr>
            <w:tcW w:w="0" w:type="dxa"/>
            <w:vAlign w:val="bottom"/>
          </w:tcPr>
          <w:p>
            <w:pPr>
              <w:spacing w:after="0"/>
              <w:rPr>
                <w:sz w:val="1"/>
                <w:szCs w:val="1"/>
                <w:color w:val="auto"/>
              </w:rPr>
            </w:pPr>
          </w:p>
        </w:tc>
      </w:tr>
      <w:tr>
        <w:trPr>
          <w:trHeight w:val="203"/>
        </w:trPr>
        <w:tc>
          <w:tcPr>
            <w:tcW w:w="5120" w:type="dxa"/>
            <w:vAlign w:val="bottom"/>
          </w:tcPr>
          <w:p>
            <w:pPr>
              <w:ind w:left="260"/>
              <w:spacing w:after="0"/>
              <w:rPr>
                <w:sz w:val="20"/>
                <w:szCs w:val="20"/>
                <w:color w:val="auto"/>
              </w:rPr>
            </w:pPr>
            <w:r>
              <w:rPr>
                <w:rFonts w:ascii="Arial" w:cs="Arial" w:eastAsia="Arial" w:hAnsi="Arial"/>
                <w:sz w:val="14"/>
                <w:szCs w:val="14"/>
                <w:color w:val="auto"/>
              </w:rPr>
              <w:t>Average Physical Occupancy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91.57 %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96.00 %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07"/>
        </w:trPr>
        <w:tc>
          <w:tcPr>
            <w:tcW w:w="5120" w:type="dxa"/>
            <w:vAlign w:val="bottom"/>
          </w:tcPr>
          <w:p>
            <w:pPr>
              <w:ind w:left="260"/>
              <w:spacing w:after="0"/>
              <w:rPr>
                <w:sz w:val="20"/>
                <w:szCs w:val="20"/>
                <w:color w:val="auto"/>
              </w:rPr>
            </w:pPr>
            <w:r>
              <w:rPr>
                <w:rFonts w:ascii="Arial" w:cs="Arial" w:eastAsia="Arial" w:hAnsi="Arial"/>
                <w:sz w:val="14"/>
                <w:szCs w:val="14"/>
                <w:color w:val="auto"/>
              </w:rPr>
              <w:t>Average Economic Occupancy</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89.11 %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95.89 %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4"/>
                <w:szCs w:val="14"/>
                <w:color w:val="auto"/>
              </w:rPr>
              <w:t>Total residential units</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xml:space="preserve">HOTEL RENTAL RATES AND OCCUPANCY </w:t>
            </w:r>
            <w:r>
              <w:rPr>
                <w:rFonts w:ascii="Arial" w:cs="Arial" w:eastAsia="Arial" w:hAnsi="Arial"/>
                <w:sz w:val="18"/>
                <w:szCs w:val="18"/>
                <w:b w:val="1"/>
                <w:bCs w:val="1"/>
                <w:i w:val="1"/>
                <w:iCs w:val="1"/>
                <w:color w:val="auto"/>
                <w:vertAlign w:val="superscript"/>
              </w:rPr>
              <w:t>3</w:t>
            </w:r>
            <w:r>
              <w:rPr>
                <w:rFonts w:ascii="Arial" w:cs="Arial" w:eastAsia="Arial" w:hAnsi="Arial"/>
                <w:sz w:val="14"/>
                <w:szCs w:val="14"/>
                <w:b w:val="1"/>
                <w:bCs w:val="1"/>
                <w:i w:val="1"/>
                <w:iCs w:val="1"/>
                <w:color w:val="auto"/>
              </w:rPr>
              <w:t xml:space="preserve"> - Year-over-Year</w:t>
            </w: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51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7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Hotel Rooms</w:t>
            </w:r>
          </w:p>
        </w:tc>
        <w:tc>
          <w:tcPr>
            <w:tcW w:w="1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30-Sep-25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30-Sep-24</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Arial" w:cs="Arial" w:eastAsia="Arial" w:hAnsi="Arial"/>
                <w:sz w:val="14"/>
                <w:szCs w:val="14"/>
                <w:color w:val="auto"/>
              </w:rPr>
              <w:t>Boston Marriott Cambridge</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5120" w:type="dxa"/>
            <w:vAlign w:val="bottom"/>
          </w:tcPr>
          <w:p>
            <w:pPr>
              <w:ind w:left="240"/>
              <w:spacing w:after="0"/>
              <w:rPr>
                <w:sz w:val="20"/>
                <w:szCs w:val="20"/>
                <w:color w:val="auto"/>
              </w:rPr>
            </w:pPr>
            <w:r>
              <w:rPr>
                <w:rFonts w:ascii="Arial" w:cs="Arial" w:eastAsia="Arial" w:hAnsi="Arial"/>
                <w:sz w:val="14"/>
                <w:szCs w:val="14"/>
                <w:color w:val="auto"/>
              </w:rPr>
              <w:t>Average Occupancy</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82.80 %</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82.70 %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0.12 %</w:t>
            </w:r>
          </w:p>
        </w:tc>
        <w:tc>
          <w:tcPr>
            <w:tcW w:w="0" w:type="dxa"/>
            <w:vAlign w:val="bottom"/>
          </w:tcPr>
          <w:p>
            <w:pPr>
              <w:spacing w:after="0"/>
              <w:rPr>
                <w:sz w:val="1"/>
                <w:szCs w:val="1"/>
                <w:color w:val="auto"/>
              </w:rPr>
            </w:pPr>
          </w:p>
        </w:tc>
      </w:tr>
      <w:tr>
        <w:trPr>
          <w:trHeight w:val="283"/>
        </w:trPr>
        <w:tc>
          <w:tcPr>
            <w:tcW w:w="5120" w:type="dxa"/>
            <w:vAlign w:val="bottom"/>
          </w:tcPr>
          <w:p>
            <w:pPr>
              <w:ind w:left="240"/>
              <w:spacing w:after="0"/>
              <w:rPr>
                <w:sz w:val="20"/>
                <w:szCs w:val="20"/>
                <w:color w:val="auto"/>
              </w:rPr>
            </w:pPr>
            <w:r>
              <w:rPr>
                <w:rFonts w:ascii="Arial" w:cs="Arial" w:eastAsia="Arial" w:hAnsi="Arial"/>
                <w:sz w:val="14"/>
                <w:szCs w:val="14"/>
                <w:color w:val="auto"/>
              </w:rPr>
              <w:t>Average Daily Rate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328.68</w:t>
            </w:r>
          </w:p>
        </w:tc>
        <w:tc>
          <w:tcPr>
            <w:tcW w:w="18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356.44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284"/>
        </w:trPr>
        <w:tc>
          <w:tcPr>
            <w:tcW w:w="5120" w:type="dxa"/>
            <w:vAlign w:val="bottom"/>
          </w:tcPr>
          <w:p>
            <w:pPr>
              <w:ind w:left="240"/>
              <w:spacing w:after="0"/>
              <w:rPr>
                <w:sz w:val="20"/>
                <w:szCs w:val="20"/>
                <w:color w:val="auto"/>
              </w:rPr>
            </w:pPr>
            <w:r>
              <w:rPr>
                <w:rFonts w:ascii="Arial" w:cs="Arial" w:eastAsia="Arial" w:hAnsi="Arial"/>
                <w:sz w:val="14"/>
                <w:szCs w:val="14"/>
                <w:color w:val="auto"/>
              </w:rPr>
              <w:t>Revenue Per Available Room</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272.00</w:t>
            </w:r>
          </w:p>
        </w:tc>
        <w:tc>
          <w:tcPr>
            <w:tcW w:w="18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294.86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57"/>
        </w:numPr>
        <w:rPr>
          <w:rFonts w:ascii="Arial" w:cs="Arial" w:eastAsia="Arial" w:hAnsi="Arial"/>
          <w:sz w:val="19"/>
          <w:szCs w:val="19"/>
          <w:color w:val="auto"/>
          <w:vertAlign w:val="superscript"/>
        </w:rPr>
      </w:pPr>
      <w:r>
        <w:rPr>
          <w:rFonts w:ascii="Arial" w:cs="Arial" w:eastAsia="Arial" w:hAnsi="Arial"/>
          <w:sz w:val="14"/>
          <w:szCs w:val="14"/>
          <w:color w:val="auto"/>
        </w:rPr>
        <w:t>Includes retail space.</w:t>
      </w:r>
    </w:p>
    <w:p>
      <w:pPr>
        <w:ind w:left="80" w:hanging="72"/>
        <w:spacing w:after="0" w:line="222" w:lineRule="auto"/>
        <w:tabs>
          <w:tab w:leader="none" w:pos="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40"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Excludes retail space.</w:t>
      </w:r>
    </w:p>
    <w:p>
      <w:pPr>
        <w:ind w:left="80" w:right="20" w:hanging="81"/>
        <w:spacing w:after="0" w:line="23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For the three months ended September 30, 2025, rental rates and occupancy information includes Skymark, which was completed and fully placed in-service on December 13, 2024 and is in its initial lease-up period with expected stabilization in the second quarter of 2026. As of October 24, 2025, the physical occupancy of Skymark was approximately 94.69%.</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265" w:right="339" w:bottom="1440" w:gutter="0" w:footer="0" w:header="0"/>
          <w:type w:val="continuous"/>
        </w:sectPr>
      </w:pPr>
    </w:p>
    <w:bookmarkStart w:id="28" w:name="page29"/>
    <w:bookmarkEnd w:id="28"/>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-61595</wp:posOffset>
            </wp:positionV>
            <wp:extent cx="257175"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 of September 30,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Annualized Rental</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Sub Market</w:t>
            </w:r>
          </w:p>
        </w:tc>
        <w:tc>
          <w:tcPr>
            <w:tcW w:w="920" w:type="dxa"/>
            <w:vAlign w:val="bottom"/>
            <w:gridSpan w:val="2"/>
            <w:vMerge w:val="continue"/>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Square Feet</w:t>
            </w:r>
          </w:p>
        </w:tc>
        <w:tc>
          <w:tcPr>
            <w:tcW w:w="13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11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Buildings</w:t>
            </w:r>
          </w:p>
        </w:tc>
        <w:tc>
          <w:tcPr>
            <w:tcW w:w="9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20"/>
                <w:szCs w:val="20"/>
                <w:color w:val="auto"/>
              </w:rPr>
            </w:pPr>
            <w:r>
              <w:rPr>
                <w:rFonts w:ascii="Arial" w:cs="Arial" w:eastAsia="Arial" w:hAnsi="Arial"/>
                <w:sz w:val="14"/>
                <w:szCs w:val="14"/>
                <w:b w:val="1"/>
                <w:bCs w:val="1"/>
                <w:i w:val="1"/>
                <w:iCs w:val="1"/>
                <w:color w:val="auto"/>
              </w:rPr>
              <w:t>CBD</w:t>
            </w:r>
          </w:p>
        </w:tc>
        <w:tc>
          <w:tcPr>
            <w:tcW w:w="304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BOSTON</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200</w:t>
            </w:r>
          </w:p>
        </w:tc>
        <w:tc>
          <w:tcPr>
            <w:tcW w:w="3040" w:type="dxa"/>
            <w:vAlign w:val="bottom"/>
          </w:tcPr>
          <w:p>
            <w:pPr>
              <w:ind w:left="20"/>
              <w:spacing w:after="0"/>
              <w:rPr>
                <w:sz w:val="20"/>
                <w:szCs w:val="20"/>
                <w:color w:val="auto"/>
              </w:rPr>
            </w:pPr>
            <w:r>
              <w:rPr>
                <w:rFonts w:ascii="Arial" w:cs="Arial" w:eastAsia="Arial" w:hAnsi="Arial"/>
                <w:sz w:val="13"/>
                <w:szCs w:val="13"/>
                <w:color w:val="auto"/>
              </w:rPr>
              <w:t>Clarendon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1,700,914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99.6 %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99.6 %</w:t>
            </w:r>
          </w:p>
        </w:tc>
        <w:tc>
          <w:tcPr>
            <w:tcW w:w="24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88.62</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800</w:t>
            </w:r>
          </w:p>
        </w:tc>
        <w:tc>
          <w:tcPr>
            <w:tcW w:w="3040" w:type="dxa"/>
            <w:vAlign w:val="bottom"/>
          </w:tcPr>
          <w:p>
            <w:pPr>
              <w:ind w:left="20"/>
              <w:spacing w:after="0"/>
              <w:rPr>
                <w:sz w:val="20"/>
                <w:szCs w:val="20"/>
                <w:color w:val="auto"/>
              </w:rPr>
            </w:pPr>
            <w:r>
              <w:rPr>
                <w:rFonts w:ascii="Arial" w:cs="Arial" w:eastAsia="Arial" w:hAnsi="Arial"/>
                <w:sz w:val="13"/>
                <w:szCs w:val="13"/>
                <w:color w:val="auto"/>
              </w:rPr>
              <w:t>Boylston Street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1,274,213</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94.8 %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97.8 %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73.56</w:t>
            </w: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100</w:t>
            </w:r>
          </w:p>
        </w:tc>
        <w:tc>
          <w:tcPr>
            <w:tcW w:w="3040" w:type="dxa"/>
            <w:vAlign w:val="bottom"/>
          </w:tcPr>
          <w:p>
            <w:pPr>
              <w:ind w:left="20"/>
              <w:spacing w:after="0"/>
              <w:rPr>
                <w:sz w:val="20"/>
                <w:szCs w:val="20"/>
                <w:color w:val="auto"/>
              </w:rPr>
            </w:pPr>
            <w:r>
              <w:rPr>
                <w:rFonts w:ascii="Arial" w:cs="Arial" w:eastAsia="Arial" w:hAnsi="Arial"/>
                <w:sz w:val="13"/>
                <w:szCs w:val="13"/>
                <w:color w:val="auto"/>
              </w:rPr>
              <w:t>Federal Street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1,233,943</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91.9 %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98.3 %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77.44</w:t>
            </w: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111 Huntington Avenue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860,446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81.19</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Atlantic Wharf Office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793,024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88.25</w:t>
            </w: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Causeway Street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633,818</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75.65</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line="175" w:lineRule="exact"/>
              <w:rPr>
                <w:sz w:val="20"/>
                <w:szCs w:val="20"/>
                <w:color w:val="auto"/>
              </w:rPr>
            </w:pPr>
            <w:r>
              <w:rPr>
                <w:rFonts w:ascii="Arial" w:cs="Arial" w:eastAsia="Arial" w:hAnsi="Arial"/>
                <w:sz w:val="13"/>
                <w:szCs w:val="13"/>
                <w:color w:val="auto"/>
              </w:rPr>
              <w:t xml:space="preserve">Prudential Center (retail shops) </w:t>
            </w:r>
            <w:r>
              <w:rPr>
                <w:rFonts w:ascii="Arial" w:cs="Arial" w:eastAsia="Arial" w:hAnsi="Arial"/>
                <w:sz w:val="16"/>
                <w:szCs w:val="16"/>
                <w:color w:val="auto"/>
                <w:vertAlign w:val="superscript"/>
              </w:rPr>
              <w:t>5</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601,333</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94.5 %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94.8 %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94.38</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101</w:t>
            </w:r>
          </w:p>
        </w:tc>
        <w:tc>
          <w:tcPr>
            <w:tcW w:w="3040" w:type="dxa"/>
            <w:vAlign w:val="bottom"/>
          </w:tcPr>
          <w:p>
            <w:pPr>
              <w:ind w:left="20"/>
              <w:spacing w:after="0"/>
              <w:rPr>
                <w:sz w:val="20"/>
                <w:szCs w:val="20"/>
                <w:color w:val="auto"/>
              </w:rPr>
            </w:pPr>
            <w:r>
              <w:rPr>
                <w:rFonts w:ascii="Arial" w:cs="Arial" w:eastAsia="Arial" w:hAnsi="Arial"/>
                <w:sz w:val="13"/>
                <w:szCs w:val="13"/>
                <w:color w:val="auto"/>
              </w:rPr>
              <w:t>Huntington Avenue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506,476</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62.33</w:t>
            </w: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The Hub on Causeway - Podium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382,988</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94.8 %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94.8 %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65.80</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888</w:t>
            </w:r>
          </w:p>
        </w:tc>
        <w:tc>
          <w:tcPr>
            <w:tcW w:w="3040" w:type="dxa"/>
            <w:vAlign w:val="bottom"/>
          </w:tcPr>
          <w:p>
            <w:pPr>
              <w:ind w:left="20"/>
              <w:spacing w:after="0"/>
              <w:rPr>
                <w:sz w:val="20"/>
                <w:szCs w:val="20"/>
                <w:color w:val="auto"/>
              </w:rPr>
            </w:pPr>
            <w:r>
              <w:rPr>
                <w:rFonts w:ascii="Arial" w:cs="Arial" w:eastAsia="Arial" w:hAnsi="Arial"/>
                <w:sz w:val="13"/>
                <w:szCs w:val="13"/>
                <w:color w:val="auto"/>
              </w:rPr>
              <w:t>Boylston Street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363,320</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83.84</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Star Market at the Prudential Center </w:t>
            </w:r>
            <w:r>
              <w:rPr>
                <w:rFonts w:ascii="Arial" w:cs="Arial" w:eastAsia="Arial" w:hAnsi="Arial"/>
                <w:sz w:val="16"/>
                <w:szCs w:val="16"/>
                <w:color w:val="auto"/>
                <w:vertAlign w:val="superscript"/>
              </w:rPr>
              <w:t>5</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60,015</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64.51</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11</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8,410,490</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97.3 %</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80.49</w:t>
            </w:r>
          </w:p>
        </w:tc>
        <w:tc>
          <w:tcPr>
            <w:tcW w:w="0" w:type="dxa"/>
            <w:vAlign w:val="bottom"/>
          </w:tcPr>
          <w:p>
            <w:pPr>
              <w:spacing w:after="0"/>
              <w:rPr>
                <w:sz w:val="1"/>
                <w:szCs w:val="1"/>
                <w:color w:val="auto"/>
              </w:rPr>
            </w:pPr>
          </w:p>
        </w:tc>
      </w:tr>
      <w:tr>
        <w:trPr>
          <w:trHeight w:val="362"/>
        </w:trPr>
        <w:tc>
          <w:tcPr>
            <w:tcW w:w="480" w:type="dxa"/>
            <w:vAlign w:val="bottom"/>
          </w:tcPr>
          <w:p>
            <w:pPr>
              <w:ind w:left="240"/>
              <w:spacing w:after="0"/>
              <w:rPr>
                <w:sz w:val="20"/>
                <w:szCs w:val="20"/>
                <w:color w:val="auto"/>
              </w:rPr>
            </w:pPr>
            <w:r>
              <w:rPr>
                <w:rFonts w:ascii="Arial" w:cs="Arial" w:eastAsia="Arial" w:hAnsi="Arial"/>
                <w:sz w:val="13"/>
                <w:szCs w:val="13"/>
                <w:color w:val="auto"/>
              </w:rPr>
              <w:t>145</w:t>
            </w:r>
          </w:p>
        </w:tc>
        <w:tc>
          <w:tcPr>
            <w:tcW w:w="3040" w:type="dxa"/>
            <w:vAlign w:val="bottom"/>
          </w:tcPr>
          <w:p>
            <w:pPr>
              <w:ind w:left="20"/>
              <w:spacing w:after="0"/>
              <w:rPr>
                <w:sz w:val="20"/>
                <w:szCs w:val="20"/>
                <w:color w:val="auto"/>
              </w:rPr>
            </w:pPr>
            <w:r>
              <w:rPr>
                <w:rFonts w:ascii="Arial" w:cs="Arial" w:eastAsia="Arial" w:hAnsi="Arial"/>
                <w:sz w:val="13"/>
                <w:szCs w:val="13"/>
                <w:color w:val="auto"/>
              </w:rPr>
              <w:t>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490,086</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99.6 %</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99.6 %</w:t>
            </w:r>
          </w:p>
        </w:tc>
        <w:tc>
          <w:tcPr>
            <w:tcW w:w="24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93.42</w:t>
            </w: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325</w:t>
            </w:r>
          </w:p>
        </w:tc>
        <w:tc>
          <w:tcPr>
            <w:tcW w:w="3040" w:type="dxa"/>
            <w:vAlign w:val="bottom"/>
          </w:tcPr>
          <w:p>
            <w:pPr>
              <w:ind w:left="20"/>
              <w:spacing w:after="0"/>
              <w:rPr>
                <w:sz w:val="20"/>
                <w:szCs w:val="20"/>
                <w:color w:val="auto"/>
              </w:rPr>
            </w:pPr>
            <w:r>
              <w:rPr>
                <w:rFonts w:ascii="Arial" w:cs="Arial" w:eastAsia="Arial" w:hAnsi="Arial"/>
                <w:sz w:val="13"/>
                <w:szCs w:val="13"/>
                <w:color w:val="auto"/>
              </w:rPr>
              <w:t>Main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414,900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91.4 %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97.4 %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119.26</w:t>
            </w: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125</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Broadway </w:t>
            </w:r>
            <w:r>
              <w:rPr>
                <w:rFonts w:ascii="Arial" w:cs="Arial" w:eastAsia="Arial" w:hAnsi="Arial"/>
                <w:sz w:val="16"/>
                <w:szCs w:val="16"/>
                <w:color w:val="auto"/>
                <w:vertAlign w:val="superscript"/>
              </w:rPr>
              <w:t>6</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271,000</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148.82</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355</w:t>
            </w:r>
          </w:p>
        </w:tc>
        <w:tc>
          <w:tcPr>
            <w:tcW w:w="3040" w:type="dxa"/>
            <w:vAlign w:val="bottom"/>
          </w:tcPr>
          <w:p>
            <w:pPr>
              <w:ind w:left="20"/>
              <w:spacing w:after="0"/>
              <w:rPr>
                <w:sz w:val="20"/>
                <w:szCs w:val="20"/>
                <w:color w:val="auto"/>
              </w:rPr>
            </w:pPr>
            <w:r>
              <w:rPr>
                <w:rFonts w:ascii="Arial" w:cs="Arial" w:eastAsia="Arial" w:hAnsi="Arial"/>
                <w:sz w:val="13"/>
                <w:szCs w:val="13"/>
                <w:color w:val="auto"/>
              </w:rPr>
              <w:t>Main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256,966</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86.33</w:t>
            </w: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300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Binney Street (55% ownership) </w:t>
            </w:r>
            <w:r>
              <w:rPr>
                <w:rFonts w:ascii="Arial" w:cs="Arial" w:eastAsia="Arial" w:hAnsi="Arial"/>
                <w:sz w:val="16"/>
                <w:szCs w:val="16"/>
                <w:color w:val="auto"/>
                <w:vertAlign w:val="superscript"/>
              </w:rPr>
              <w:t>6, 7</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239,908</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159.03</w:t>
            </w: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90 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223,771</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81.08</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255</w:t>
            </w:r>
          </w:p>
        </w:tc>
        <w:tc>
          <w:tcPr>
            <w:tcW w:w="3040" w:type="dxa"/>
            <w:vAlign w:val="bottom"/>
          </w:tcPr>
          <w:p>
            <w:pPr>
              <w:ind w:left="20"/>
              <w:spacing w:after="0"/>
              <w:rPr>
                <w:sz w:val="20"/>
                <w:szCs w:val="20"/>
                <w:color w:val="auto"/>
              </w:rPr>
            </w:pPr>
            <w:r>
              <w:rPr>
                <w:rFonts w:ascii="Arial" w:cs="Arial" w:eastAsia="Arial" w:hAnsi="Arial"/>
                <w:sz w:val="13"/>
                <w:szCs w:val="13"/>
                <w:color w:val="auto"/>
              </w:rPr>
              <w:t>Main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215,394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82.5 %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82.5 %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92.24</w:t>
            </w: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150</w:t>
            </w:r>
          </w:p>
        </w:tc>
        <w:tc>
          <w:tcPr>
            <w:tcW w:w="3040" w:type="dxa"/>
            <w:vAlign w:val="bottom"/>
          </w:tcPr>
          <w:p>
            <w:pPr>
              <w:ind w:left="20"/>
              <w:spacing w:after="0"/>
              <w:rPr>
                <w:sz w:val="20"/>
                <w:szCs w:val="20"/>
                <w:color w:val="auto"/>
              </w:rPr>
            </w:pPr>
            <w:r>
              <w:rPr>
                <w:rFonts w:ascii="Arial" w:cs="Arial" w:eastAsia="Arial" w:hAnsi="Arial"/>
                <w:sz w:val="13"/>
                <w:szCs w:val="13"/>
                <w:color w:val="auto"/>
              </w:rPr>
              <w:t>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177,226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101.94</w:t>
            </w: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105</w:t>
            </w:r>
          </w:p>
        </w:tc>
        <w:tc>
          <w:tcPr>
            <w:tcW w:w="3040" w:type="dxa"/>
            <w:vAlign w:val="bottom"/>
          </w:tcPr>
          <w:p>
            <w:pPr>
              <w:ind w:left="20"/>
              <w:spacing w:after="0"/>
              <w:rPr>
                <w:sz w:val="20"/>
                <w:szCs w:val="20"/>
                <w:color w:val="auto"/>
              </w:rPr>
            </w:pPr>
            <w:r>
              <w:rPr>
                <w:rFonts w:ascii="Arial" w:cs="Arial" w:eastAsia="Arial" w:hAnsi="Arial"/>
                <w:sz w:val="13"/>
                <w:szCs w:val="13"/>
                <w:color w:val="auto"/>
              </w:rPr>
              <w:t>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152,664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77.35</w:t>
            </w: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250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Binney Street </w:t>
            </w:r>
            <w:r>
              <w:rPr>
                <w:rFonts w:ascii="Arial" w:cs="Arial" w:eastAsia="Arial" w:hAnsi="Arial"/>
                <w:sz w:val="16"/>
                <w:szCs w:val="16"/>
                <w:color w:val="auto"/>
                <w:vertAlign w:val="superscript"/>
              </w:rPr>
              <w:t>6</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67,362</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92.10</w:t>
            </w:r>
          </w:p>
        </w:tc>
        <w:tc>
          <w:tcPr>
            <w:tcW w:w="0" w:type="dxa"/>
            <w:vAlign w:val="bottom"/>
          </w:tcPr>
          <w:p>
            <w:pPr>
              <w:spacing w:after="0"/>
              <w:rPr>
                <w:sz w:val="1"/>
                <w:szCs w:val="1"/>
                <w:color w:val="auto"/>
              </w:rPr>
            </w:pPr>
          </w:p>
        </w:tc>
      </w:tr>
      <w:tr>
        <w:trPr>
          <w:trHeight w:val="17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University Place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Mid-Cambridge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195,282</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61.08</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11</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2,704,559</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97.2 %</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98.1 %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104.27</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040" w:type="dxa"/>
            <w:vAlign w:val="bottom"/>
            <w:vMerge w:val="restart"/>
          </w:tcPr>
          <w:p>
            <w:pPr>
              <w:ind w:left="100"/>
              <w:spacing w:after="0"/>
              <w:rPr>
                <w:sz w:val="20"/>
                <w:szCs w:val="20"/>
                <w:color w:val="auto"/>
              </w:rPr>
            </w:pPr>
            <w:r>
              <w:rPr>
                <w:rFonts w:ascii="Arial" w:cs="Arial" w:eastAsia="Arial" w:hAnsi="Arial"/>
                <w:sz w:val="13"/>
                <w:szCs w:val="13"/>
                <w:color w:val="auto"/>
              </w:rPr>
              <w:t>Subtotal Boston CBD</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22</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11,115,049</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97.3 %</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98.6 %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86.32</w:t>
            </w:r>
          </w:p>
        </w:tc>
        <w:tc>
          <w:tcPr>
            <w:tcW w:w="0" w:type="dxa"/>
            <w:vAlign w:val="bottom"/>
          </w:tcPr>
          <w:p>
            <w:pPr>
              <w:spacing w:after="0"/>
              <w:rPr>
                <w:sz w:val="1"/>
                <w:szCs w:val="1"/>
                <w:color w:val="auto"/>
              </w:rPr>
            </w:pPr>
          </w:p>
        </w:tc>
      </w:tr>
      <w:tr>
        <w:trPr>
          <w:trHeight w:val="364"/>
        </w:trPr>
        <w:tc>
          <w:tcPr>
            <w:tcW w:w="3520" w:type="dxa"/>
            <w:vAlign w:val="bottom"/>
            <w:gridSpan w:val="2"/>
          </w:tcPr>
          <w:p>
            <w:pPr>
              <w:ind w:left="120"/>
              <w:spacing w:after="0"/>
              <w:rPr>
                <w:sz w:val="20"/>
                <w:szCs w:val="20"/>
                <w:color w:val="auto"/>
              </w:rPr>
            </w:pPr>
            <w:r>
              <w:rPr>
                <w:rFonts w:ascii="Arial" w:cs="Arial" w:eastAsia="Arial" w:hAnsi="Arial"/>
                <w:sz w:val="13"/>
                <w:szCs w:val="13"/>
                <w:color w:val="auto"/>
              </w:rPr>
              <w:t>Residential</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Hub50House (440 units)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320,444</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The Lofts at Atlantic Wharf (86 units)</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87,096</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Proto Kendall Square (280 units)</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166,717</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3</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574,257</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480" w:type="dxa"/>
            <w:vAlign w:val="bottom"/>
          </w:tcPr>
          <w:p>
            <w:pPr>
              <w:ind w:left="120"/>
              <w:spacing w:after="0"/>
              <w:rPr>
                <w:sz w:val="20"/>
                <w:szCs w:val="20"/>
                <w:color w:val="auto"/>
              </w:rPr>
            </w:pPr>
            <w:r>
              <w:rPr>
                <w:rFonts w:ascii="Arial" w:cs="Arial" w:eastAsia="Arial" w:hAnsi="Arial"/>
                <w:sz w:val="13"/>
                <w:szCs w:val="13"/>
                <w:color w:val="auto"/>
              </w:rPr>
              <w:t>Hotel</w:t>
            </w:r>
          </w:p>
        </w:tc>
        <w:tc>
          <w:tcPr>
            <w:tcW w:w="3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Boston Marriott Cambridge (437 rooms)</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334,260</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334,260</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LOS ANGELES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Colorado Center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West Los Angeles CA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1,130,066</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89.6 %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90.3 %</w:t>
            </w:r>
          </w:p>
        </w:tc>
        <w:tc>
          <w:tcPr>
            <w:tcW w:w="2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78.25</w:t>
            </w: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Santa Monica Business Park</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West Los Angeles CA</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14</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1,104,174</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83.8 %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83.8 %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73.18</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Santa Monica Business Park Retail </w:t>
            </w:r>
            <w:r>
              <w:rPr>
                <w:rFonts w:ascii="Arial" w:cs="Arial" w:eastAsia="Arial" w:hAnsi="Arial"/>
                <w:sz w:val="16"/>
                <w:szCs w:val="16"/>
                <w:color w:val="auto"/>
                <w:vertAlign w:val="superscript"/>
              </w:rPr>
              <w:t>5</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West Los Angeles CA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7</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73,006</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86.8 %</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86.8 %</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80.09</w:t>
            </w:r>
          </w:p>
        </w:tc>
        <w:tc>
          <w:tcPr>
            <w:tcW w:w="0" w:type="dxa"/>
            <w:vAlign w:val="bottom"/>
          </w:tcPr>
          <w:p>
            <w:pPr>
              <w:spacing w:after="0"/>
              <w:rPr>
                <w:sz w:val="1"/>
                <w:szCs w:val="1"/>
                <w:color w:val="auto"/>
              </w:rPr>
            </w:pPr>
          </w:p>
        </w:tc>
      </w:tr>
      <w:tr>
        <w:trPr>
          <w:trHeight w:val="163"/>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27</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2,307,246</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86.7 %</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75.97</w:t>
            </w:r>
          </w:p>
        </w:tc>
        <w:tc>
          <w:tcPr>
            <w:tcW w:w="0" w:type="dxa"/>
            <w:vAlign w:val="bottom"/>
          </w:tcPr>
          <w:p>
            <w:pPr>
              <w:spacing w:after="0"/>
              <w:rPr>
                <w:sz w:val="1"/>
                <w:szCs w:val="1"/>
                <w:color w:val="auto"/>
              </w:rPr>
            </w:pPr>
          </w:p>
        </w:tc>
      </w:tr>
      <w:tr>
        <w:trPr>
          <w:trHeight w:val="417"/>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NEW YORK</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767</w:t>
            </w:r>
          </w:p>
        </w:tc>
        <w:tc>
          <w:tcPr>
            <w:tcW w:w="3040" w:type="dxa"/>
            <w:vAlign w:val="bottom"/>
          </w:tcPr>
          <w:p>
            <w:pPr>
              <w:ind w:left="20"/>
              <w:spacing w:after="0"/>
              <w:rPr>
                <w:sz w:val="20"/>
                <w:szCs w:val="20"/>
                <w:color w:val="auto"/>
              </w:rPr>
            </w:pPr>
            <w:r>
              <w:rPr>
                <w:rFonts w:ascii="Arial" w:cs="Arial" w:eastAsia="Arial" w:hAnsi="Arial"/>
                <w:sz w:val="13"/>
                <w:szCs w:val="13"/>
                <w:color w:val="auto"/>
              </w:rPr>
              <w:t>Fifth Avenue (The GM Building) (60%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Plaza District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1,970,335</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93.7 %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98.5 %</w:t>
            </w:r>
          </w:p>
        </w:tc>
        <w:tc>
          <w:tcPr>
            <w:tcW w:w="24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170.35</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601</w:t>
            </w:r>
          </w:p>
        </w:tc>
        <w:tc>
          <w:tcPr>
            <w:tcW w:w="3040" w:type="dxa"/>
            <w:vAlign w:val="bottom"/>
          </w:tcPr>
          <w:p>
            <w:pPr>
              <w:ind w:left="20"/>
              <w:spacing w:after="0"/>
              <w:rPr>
                <w:sz w:val="20"/>
                <w:szCs w:val="20"/>
                <w:color w:val="auto"/>
              </w:rPr>
            </w:pPr>
            <w:r>
              <w:rPr>
                <w:rFonts w:ascii="Arial" w:cs="Arial" w:eastAsia="Arial" w:hAnsi="Arial"/>
                <w:sz w:val="13"/>
                <w:szCs w:val="13"/>
                <w:color w:val="auto"/>
              </w:rPr>
              <w:t>Lexington Avenue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Park Avenue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1,671,682</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99.9 %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99.9 %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100.64</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399</w:t>
            </w:r>
          </w:p>
        </w:tc>
        <w:tc>
          <w:tcPr>
            <w:tcW w:w="3040" w:type="dxa"/>
            <w:vAlign w:val="bottom"/>
          </w:tcPr>
          <w:p>
            <w:pPr>
              <w:ind w:left="20"/>
              <w:spacing w:after="0"/>
              <w:rPr>
                <w:sz w:val="20"/>
                <w:szCs w:val="20"/>
                <w:color w:val="auto"/>
              </w:rPr>
            </w:pPr>
            <w:r>
              <w:rPr>
                <w:rFonts w:ascii="Arial" w:cs="Arial" w:eastAsia="Arial" w:hAnsi="Arial"/>
                <w:sz w:val="13"/>
                <w:szCs w:val="13"/>
                <w:color w:val="auto"/>
              </w:rPr>
              <w:t>Park Avenue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Park Avenue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1,567,470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109.69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20"/>
          </w:cols>
          <w:pgMar w:left="340" w:top="265" w:right="339" w:bottom="1440" w:gutter="0" w:footer="0" w:header="0"/>
        </w:sectPr>
      </w:pPr>
    </w:p>
    <w:bookmarkStart w:id="29" w:name="page30"/>
    <w:bookmarkEnd w:id="29"/>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-61595</wp:posOffset>
            </wp:positionV>
            <wp:extent cx="257175"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32385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Annualized Rental</w:t>
            </w: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Sub Market</w:t>
            </w:r>
          </w:p>
        </w:tc>
        <w:tc>
          <w:tcPr>
            <w:tcW w:w="920" w:type="dxa"/>
            <w:vAlign w:val="bottom"/>
            <w:gridSpan w:val="2"/>
            <w:vMerge w:val="continue"/>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Square Feet</w:t>
            </w:r>
          </w:p>
        </w:tc>
        <w:tc>
          <w:tcPr>
            <w:tcW w:w="132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11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Buildings</w:t>
            </w:r>
          </w:p>
        </w:tc>
        <w:tc>
          <w:tcPr>
            <w:tcW w:w="9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59"/>
        </w:trPr>
        <w:tc>
          <w:tcPr>
            <w:tcW w:w="240" w:type="dxa"/>
            <w:vAlign w:val="bottom"/>
          </w:tcPr>
          <w:p>
            <w:pPr>
              <w:spacing w:after="0"/>
              <w:rPr>
                <w:sz w:val="20"/>
                <w:szCs w:val="20"/>
                <w:color w:val="auto"/>
              </w:rPr>
            </w:pPr>
            <w:r>
              <w:rPr>
                <w:rFonts w:ascii="Arial" w:cs="Arial" w:eastAsia="Arial" w:hAnsi="Arial"/>
                <w:sz w:val="13"/>
                <w:szCs w:val="13"/>
                <w:color w:val="auto"/>
              </w:rPr>
              <w:t>599</w:t>
            </w:r>
          </w:p>
        </w:tc>
        <w:tc>
          <w:tcPr>
            <w:tcW w:w="3060" w:type="dxa"/>
            <w:vAlign w:val="bottom"/>
          </w:tcPr>
          <w:p>
            <w:pPr>
              <w:ind w:left="20"/>
              <w:spacing w:after="0"/>
              <w:rPr>
                <w:sz w:val="20"/>
                <w:szCs w:val="20"/>
                <w:color w:val="auto"/>
              </w:rPr>
            </w:pPr>
            <w:r>
              <w:rPr>
                <w:rFonts w:ascii="Arial" w:cs="Arial" w:eastAsia="Arial" w:hAnsi="Arial"/>
                <w:sz w:val="13"/>
                <w:szCs w:val="13"/>
                <w:color w:val="auto"/>
              </w:rPr>
              <w:t>Lexington Avenue</w:t>
            </w:r>
          </w:p>
        </w:tc>
        <w:tc>
          <w:tcPr>
            <w:tcW w:w="18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Park Avenue NY</w:t>
            </w:r>
          </w:p>
        </w:tc>
        <w:tc>
          <w:tcPr>
            <w:tcW w:w="140" w:type="dxa"/>
            <w:vAlign w:val="bottom"/>
          </w:tcPr>
          <w:p>
            <w:pPr>
              <w:spacing w:after="0"/>
              <w:rPr>
                <w:sz w:val="13"/>
                <w:szCs w:val="13"/>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1,106,336</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87.8 %</w:t>
            </w:r>
          </w:p>
        </w:tc>
        <w:tc>
          <w:tcPr>
            <w:tcW w:w="24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97.0 %</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87.43</w:t>
            </w:r>
          </w:p>
        </w:tc>
        <w:tc>
          <w:tcPr>
            <w:tcW w:w="0" w:type="dxa"/>
            <w:vAlign w:val="bottom"/>
          </w:tcPr>
          <w:p>
            <w:pPr>
              <w:spacing w:after="0"/>
              <w:rPr>
                <w:sz w:val="1"/>
                <w:szCs w:val="1"/>
                <w:color w:val="auto"/>
              </w:rPr>
            </w:pPr>
          </w:p>
        </w:tc>
      </w:tr>
      <w:tr>
        <w:trPr>
          <w:trHeight w:val="131"/>
        </w:trPr>
        <w:tc>
          <w:tcPr>
            <w:tcW w:w="3300" w:type="dxa"/>
            <w:vAlign w:val="bottom"/>
            <w:gridSpan w:val="2"/>
          </w:tcPr>
          <w:p>
            <w:pPr>
              <w:spacing w:after="0" w:line="131" w:lineRule="exact"/>
              <w:rPr>
                <w:sz w:val="20"/>
                <w:szCs w:val="20"/>
                <w:color w:val="auto"/>
              </w:rPr>
            </w:pPr>
            <w:r>
              <w:rPr>
                <w:rFonts w:ascii="Arial" w:cs="Arial" w:eastAsia="Arial" w:hAnsi="Arial"/>
                <w:sz w:val="13"/>
                <w:szCs w:val="13"/>
                <w:color w:val="auto"/>
              </w:rPr>
              <w:t>7 Times Square (formerly Times Square Tower) (55%</w:t>
            </w: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00" w:type="dxa"/>
            <w:vAlign w:val="bottom"/>
            <w:gridSpan w:val="2"/>
          </w:tcPr>
          <w:p>
            <w:pPr>
              <w:ind w:left="180"/>
              <w:spacing w:after="0"/>
              <w:rPr>
                <w:sz w:val="20"/>
                <w:szCs w:val="20"/>
                <w:color w:val="auto"/>
              </w:rPr>
            </w:pPr>
            <w:r>
              <w:rPr>
                <w:rFonts w:ascii="Arial" w:cs="Arial" w:eastAsia="Arial" w:hAnsi="Arial"/>
                <w:sz w:val="13"/>
                <w:szCs w:val="13"/>
                <w:color w:val="auto"/>
              </w:rPr>
              <w:t>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Times Square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1,238,724</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84.7 %</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76.83</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20"/>
                <w:szCs w:val="20"/>
                <w:color w:val="auto"/>
              </w:rPr>
            </w:pPr>
            <w:r>
              <w:rPr>
                <w:rFonts w:ascii="Arial" w:cs="Arial" w:eastAsia="Arial" w:hAnsi="Arial"/>
                <w:sz w:val="13"/>
                <w:szCs w:val="13"/>
                <w:color w:val="auto"/>
              </w:rPr>
              <w:t>250</w:t>
            </w:r>
          </w:p>
        </w:tc>
        <w:tc>
          <w:tcPr>
            <w:tcW w:w="3060" w:type="dxa"/>
            <w:vAlign w:val="bottom"/>
          </w:tcPr>
          <w:p>
            <w:pPr>
              <w:ind w:left="20"/>
              <w:spacing w:after="0"/>
              <w:rPr>
                <w:sz w:val="20"/>
                <w:szCs w:val="20"/>
                <w:color w:val="auto"/>
              </w:rPr>
            </w:pPr>
            <w:r>
              <w:rPr>
                <w:rFonts w:ascii="Arial" w:cs="Arial" w:eastAsia="Arial" w:hAnsi="Arial"/>
                <w:sz w:val="13"/>
                <w:szCs w:val="13"/>
                <w:color w:val="auto"/>
              </w:rPr>
              <w:t>West 55th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Times Square / West Side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966,976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102.74</w:t>
            </w:r>
          </w:p>
        </w:tc>
        <w:tc>
          <w:tcPr>
            <w:tcW w:w="0" w:type="dxa"/>
            <w:vAlign w:val="bottom"/>
          </w:tcPr>
          <w:p>
            <w:pPr>
              <w:spacing w:after="0"/>
              <w:rPr>
                <w:sz w:val="1"/>
                <w:szCs w:val="1"/>
                <w:color w:val="auto"/>
              </w:rPr>
            </w:pPr>
          </w:p>
        </w:tc>
      </w:tr>
      <w:tr>
        <w:trPr>
          <w:trHeight w:val="185"/>
        </w:trPr>
        <w:tc>
          <w:tcPr>
            <w:tcW w:w="240" w:type="dxa"/>
            <w:vAlign w:val="bottom"/>
          </w:tcPr>
          <w:p>
            <w:pPr>
              <w:spacing w:after="0"/>
              <w:rPr>
                <w:sz w:val="20"/>
                <w:szCs w:val="20"/>
                <w:color w:val="auto"/>
              </w:rPr>
            </w:pPr>
            <w:r>
              <w:rPr>
                <w:rFonts w:ascii="Arial" w:cs="Arial" w:eastAsia="Arial" w:hAnsi="Arial"/>
                <w:sz w:val="13"/>
                <w:szCs w:val="13"/>
                <w:color w:val="auto"/>
              </w:rPr>
              <w:t>200</w:t>
            </w:r>
          </w:p>
        </w:tc>
        <w:tc>
          <w:tcPr>
            <w:tcW w:w="3060" w:type="dxa"/>
            <w:vAlign w:val="bottom"/>
          </w:tcPr>
          <w:p>
            <w:pPr>
              <w:ind w:left="20"/>
              <w:spacing w:after="0"/>
              <w:rPr>
                <w:sz w:val="20"/>
                <w:szCs w:val="20"/>
                <w:color w:val="auto"/>
              </w:rPr>
            </w:pPr>
            <w:r>
              <w:rPr>
                <w:rFonts w:ascii="Arial" w:cs="Arial" w:eastAsia="Arial" w:hAnsi="Arial"/>
                <w:sz w:val="13"/>
                <w:szCs w:val="13"/>
                <w:color w:val="auto"/>
              </w:rPr>
              <w:t xml:space="preserve">Fifth Avenue (26.69%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Midtown South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846,506</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59.0 %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91.0 %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98.80</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20"/>
                <w:szCs w:val="20"/>
                <w:color w:val="auto"/>
              </w:rPr>
            </w:pPr>
            <w:r>
              <w:rPr>
                <w:rFonts w:ascii="Arial" w:cs="Arial" w:eastAsia="Arial" w:hAnsi="Arial"/>
                <w:sz w:val="13"/>
                <w:szCs w:val="13"/>
                <w:color w:val="auto"/>
              </w:rPr>
              <w:t>360</w:t>
            </w:r>
          </w:p>
        </w:tc>
        <w:tc>
          <w:tcPr>
            <w:tcW w:w="306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Park Avenue South (71.11% ownership) </w:t>
            </w:r>
            <w:r>
              <w:rPr>
                <w:rFonts w:ascii="Arial" w:cs="Arial" w:eastAsia="Arial" w:hAnsi="Arial"/>
                <w:sz w:val="16"/>
                <w:szCs w:val="16"/>
                <w:color w:val="auto"/>
                <w:vertAlign w:val="superscript"/>
              </w:rPr>
              <w:t>4, 7, 8</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Midtown South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448,112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38.3 %</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100.48</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line="175" w:lineRule="exact"/>
              <w:rPr>
                <w:sz w:val="20"/>
                <w:szCs w:val="20"/>
                <w:color w:val="auto"/>
              </w:rPr>
            </w:pPr>
            <w:r>
              <w:rPr>
                <w:rFonts w:ascii="Arial" w:cs="Arial" w:eastAsia="Arial" w:hAnsi="Arial"/>
                <w:sz w:val="13"/>
                <w:szCs w:val="13"/>
                <w:color w:val="auto"/>
              </w:rPr>
              <w:t xml:space="preserve">Dock 72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Brooklyn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668,521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42.7 %</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37.60</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20"/>
                <w:szCs w:val="20"/>
                <w:color w:val="auto"/>
              </w:rPr>
            </w:pPr>
            <w:r>
              <w:rPr>
                <w:rFonts w:ascii="Arial" w:cs="Arial" w:eastAsia="Arial" w:hAnsi="Arial"/>
                <w:sz w:val="13"/>
                <w:szCs w:val="13"/>
                <w:color w:val="auto"/>
              </w:rPr>
              <w:t>510</w:t>
            </w:r>
          </w:p>
        </w:tc>
        <w:tc>
          <w:tcPr>
            <w:tcW w:w="3060" w:type="dxa"/>
            <w:vAlign w:val="bottom"/>
          </w:tcPr>
          <w:p>
            <w:pPr>
              <w:ind w:left="20"/>
              <w:spacing w:after="0"/>
              <w:rPr>
                <w:sz w:val="20"/>
                <w:szCs w:val="20"/>
                <w:color w:val="auto"/>
              </w:rPr>
            </w:pPr>
            <w:r>
              <w:rPr>
                <w:rFonts w:ascii="Arial" w:cs="Arial" w:eastAsia="Arial" w:hAnsi="Arial"/>
                <w:sz w:val="13"/>
                <w:szCs w:val="13"/>
                <w:color w:val="auto"/>
              </w:rPr>
              <w:t>Madison Avenue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Fifth/Madison Avenue NY</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352,589</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77.0 %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93.4 %</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123.57</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306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10,837,251</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90.7 %</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111.11</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 FRANCISCO</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20"/>
                <w:szCs w:val="20"/>
                <w:color w:val="auto"/>
              </w:rPr>
            </w:pPr>
            <w:r>
              <w:rPr>
                <w:rFonts w:ascii="Arial" w:cs="Arial" w:eastAsia="Arial" w:hAnsi="Arial"/>
                <w:sz w:val="13"/>
                <w:szCs w:val="13"/>
                <w:color w:val="auto"/>
                <w:w w:val="99"/>
              </w:rPr>
              <w:t>Office</w:t>
            </w: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Salesforce Tower</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1,420,682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98.0 %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98.0 %</w:t>
            </w:r>
          </w:p>
        </w:tc>
        <w:tc>
          <w:tcPr>
            <w:tcW w:w="220" w:type="dxa"/>
            <w:vAlign w:val="bottom"/>
          </w:tcPr>
          <w:p>
            <w:pPr>
              <w:spacing w:after="0"/>
              <w:rPr>
                <w:sz w:val="15"/>
                <w:szCs w:val="15"/>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114.47</w:t>
            </w:r>
          </w:p>
        </w:tc>
      </w:tr>
      <w:tr>
        <w:trPr>
          <w:trHeight w:val="176"/>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Four</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945,405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88.3 %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94.5 %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105.29</w:t>
            </w:r>
          </w:p>
        </w:tc>
      </w:tr>
      <w:tr>
        <w:trPr>
          <w:trHeight w:val="176"/>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One</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837,810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71.3 %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71.3 %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96.59</w:t>
            </w:r>
          </w:p>
        </w:tc>
      </w:tr>
      <w:tr>
        <w:trPr>
          <w:trHeight w:val="175"/>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Two</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804,891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71.5 %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72.5 %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85.39</w:t>
            </w:r>
          </w:p>
        </w:tc>
      </w:tr>
      <w:tr>
        <w:trPr>
          <w:trHeight w:val="176"/>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Three</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786,411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75.0 %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78.7 %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93.08</w:t>
            </w:r>
          </w:p>
        </w:tc>
      </w:tr>
      <w:tr>
        <w:trPr>
          <w:trHeight w:val="175"/>
        </w:trPr>
        <w:tc>
          <w:tcPr>
            <w:tcW w:w="360" w:type="dxa"/>
            <w:vAlign w:val="bottom"/>
          </w:tcPr>
          <w:p>
            <w:pPr>
              <w:ind w:left="120"/>
              <w:spacing w:after="0"/>
              <w:rPr>
                <w:sz w:val="20"/>
                <w:szCs w:val="20"/>
                <w:color w:val="auto"/>
              </w:rPr>
            </w:pPr>
            <w:r>
              <w:rPr>
                <w:rFonts w:ascii="Arial" w:cs="Arial" w:eastAsia="Arial" w:hAnsi="Arial"/>
                <w:sz w:val="13"/>
                <w:szCs w:val="13"/>
                <w:color w:val="auto"/>
              </w:rPr>
              <w:t>680</w:t>
            </w:r>
          </w:p>
        </w:tc>
        <w:tc>
          <w:tcPr>
            <w:tcW w:w="2180" w:type="dxa"/>
            <w:vAlign w:val="bottom"/>
          </w:tcPr>
          <w:p>
            <w:pPr>
              <w:ind w:left="20"/>
              <w:spacing w:after="0"/>
              <w:rPr>
                <w:sz w:val="20"/>
                <w:szCs w:val="20"/>
                <w:color w:val="auto"/>
              </w:rPr>
            </w:pPr>
            <w:r>
              <w:rPr>
                <w:rFonts w:ascii="Arial" w:cs="Arial" w:eastAsia="Arial" w:hAnsi="Arial"/>
                <w:sz w:val="13"/>
                <w:szCs w:val="13"/>
                <w:color w:val="auto"/>
              </w:rPr>
              <w:t>Folsom Street</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522,406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59.2 %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59.2 %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84.61</w:t>
            </w:r>
          </w:p>
        </w:tc>
      </w:tr>
      <w:tr>
        <w:trPr>
          <w:trHeight w:val="176"/>
        </w:trPr>
        <w:tc>
          <w:tcPr>
            <w:tcW w:w="360" w:type="dxa"/>
            <w:vAlign w:val="bottom"/>
          </w:tcPr>
          <w:p>
            <w:pPr>
              <w:ind w:left="120"/>
              <w:spacing w:after="0"/>
              <w:rPr>
                <w:sz w:val="20"/>
                <w:szCs w:val="20"/>
                <w:color w:val="auto"/>
              </w:rPr>
            </w:pPr>
            <w:r>
              <w:rPr>
                <w:rFonts w:ascii="Arial" w:cs="Arial" w:eastAsia="Arial" w:hAnsi="Arial"/>
                <w:sz w:val="13"/>
                <w:szCs w:val="13"/>
                <w:color w:val="auto"/>
              </w:rPr>
              <w:t>535</w:t>
            </w:r>
          </w:p>
        </w:tc>
        <w:tc>
          <w:tcPr>
            <w:tcW w:w="2180" w:type="dxa"/>
            <w:vAlign w:val="bottom"/>
          </w:tcPr>
          <w:p>
            <w:pPr>
              <w:ind w:left="20"/>
              <w:spacing w:after="0"/>
              <w:rPr>
                <w:sz w:val="20"/>
                <w:szCs w:val="20"/>
                <w:color w:val="auto"/>
              </w:rPr>
            </w:pPr>
            <w:r>
              <w:rPr>
                <w:rFonts w:ascii="Arial" w:cs="Arial" w:eastAsia="Arial" w:hAnsi="Arial"/>
                <w:sz w:val="13"/>
                <w:szCs w:val="13"/>
                <w:color w:val="auto"/>
              </w:rPr>
              <w:t>Mission Street</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303,322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77.2 %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86.2 %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77.36</w:t>
            </w:r>
          </w:p>
        </w:tc>
      </w:tr>
      <w:tr>
        <w:trPr>
          <w:trHeight w:val="183"/>
        </w:trPr>
        <w:tc>
          <w:tcPr>
            <w:tcW w:w="360" w:type="dxa"/>
            <w:vAlign w:val="bottom"/>
          </w:tcPr>
          <w:p>
            <w:pPr>
              <w:ind w:left="120"/>
              <w:spacing w:after="0"/>
              <w:rPr>
                <w:sz w:val="20"/>
                <w:szCs w:val="20"/>
                <w:color w:val="auto"/>
              </w:rPr>
            </w:pPr>
            <w:r>
              <w:rPr>
                <w:rFonts w:ascii="Arial" w:cs="Arial" w:eastAsia="Arial" w:hAnsi="Arial"/>
                <w:sz w:val="13"/>
                <w:szCs w:val="13"/>
                <w:color w:val="auto"/>
              </w:rPr>
              <w:t>690</w:t>
            </w:r>
          </w:p>
        </w:tc>
        <w:tc>
          <w:tcPr>
            <w:tcW w:w="2180" w:type="dxa"/>
            <w:vAlign w:val="bottom"/>
          </w:tcPr>
          <w:p>
            <w:pPr>
              <w:ind w:left="20"/>
              <w:spacing w:after="0"/>
              <w:rPr>
                <w:sz w:val="20"/>
                <w:szCs w:val="20"/>
                <w:color w:val="auto"/>
              </w:rPr>
            </w:pPr>
            <w:r>
              <w:rPr>
                <w:rFonts w:ascii="Arial" w:cs="Arial" w:eastAsia="Arial" w:hAnsi="Arial"/>
                <w:sz w:val="13"/>
                <w:szCs w:val="13"/>
                <w:color w:val="auto"/>
              </w:rPr>
              <w:t>Folsom Street</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26,080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76.45</w:t>
            </w:r>
          </w:p>
        </w:tc>
      </w:tr>
      <w:tr>
        <w:trPr>
          <w:trHeight w:val="169"/>
        </w:trPr>
        <w:tc>
          <w:tcPr>
            <w:tcW w:w="36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Subtotal</w:t>
            </w:r>
          </w:p>
        </w:tc>
        <w:tc>
          <w:tcPr>
            <w:tcW w:w="28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5,647,007</w:t>
            </w:r>
          </w:p>
        </w:tc>
        <w:tc>
          <w:tcPr>
            <w:tcW w:w="1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80.7 %</w:t>
            </w:r>
          </w:p>
        </w:tc>
        <w:tc>
          <w:tcPr>
            <w:tcW w:w="2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82.9 %</w:t>
            </w:r>
          </w:p>
        </w:tc>
        <w:tc>
          <w:tcPr>
            <w:tcW w:w="2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99.95</w:t>
            </w:r>
          </w:p>
        </w:tc>
      </w:tr>
      <w:tr>
        <w:trPr>
          <w:trHeight w:val="364"/>
        </w:trPr>
        <w:tc>
          <w:tcPr>
            <w:tcW w:w="2540" w:type="dxa"/>
            <w:vAlign w:val="bottom"/>
            <w:gridSpan w:val="2"/>
          </w:tcPr>
          <w:p>
            <w:pPr>
              <w:spacing w:after="0"/>
              <w:rPr>
                <w:sz w:val="20"/>
                <w:szCs w:val="20"/>
                <w:color w:val="auto"/>
              </w:rPr>
            </w:pPr>
            <w:r>
              <w:rPr>
                <w:rFonts w:ascii="Arial" w:cs="Arial" w:eastAsia="Arial" w:hAnsi="Arial"/>
                <w:sz w:val="13"/>
                <w:szCs w:val="13"/>
                <w:color w:val="auto"/>
              </w:rPr>
              <w:t>Residential</w:t>
            </w: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The Skylyne (402 units)</w:t>
            </w:r>
          </w:p>
        </w:tc>
        <w:tc>
          <w:tcPr>
            <w:tcW w:w="2880" w:type="dxa"/>
            <w:vAlign w:val="bottom"/>
          </w:tcPr>
          <w:p>
            <w:pPr>
              <w:ind w:left="900"/>
              <w:spacing w:after="0"/>
              <w:rPr>
                <w:sz w:val="20"/>
                <w:szCs w:val="20"/>
                <w:color w:val="auto"/>
              </w:rPr>
            </w:pPr>
            <w:r>
              <w:rPr>
                <w:rFonts w:ascii="Arial" w:cs="Arial" w:eastAsia="Arial" w:hAnsi="Arial"/>
                <w:sz w:val="13"/>
                <w:szCs w:val="13"/>
                <w:color w:val="auto"/>
              </w:rPr>
              <w:t>CBD Oakland CA</w:t>
            </w: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330,996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1"/>
        </w:trPr>
        <w:tc>
          <w:tcPr>
            <w:tcW w:w="36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Subtotal</w:t>
            </w:r>
          </w:p>
        </w:tc>
        <w:tc>
          <w:tcPr>
            <w:tcW w:w="2880" w:type="dxa"/>
            <w:vAlign w:val="bottom"/>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330,996</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SEATTLE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80" w:type="dxa"/>
            <w:vAlign w:val="bottom"/>
          </w:tcPr>
          <w:p>
            <w:pPr>
              <w:spacing w:after="0"/>
              <w:rPr>
                <w:sz w:val="20"/>
                <w:szCs w:val="20"/>
                <w:color w:val="auto"/>
              </w:rPr>
            </w:pPr>
            <w:r>
              <w:rPr>
                <w:rFonts w:ascii="Arial" w:cs="Arial" w:eastAsia="Arial" w:hAnsi="Arial"/>
                <w:sz w:val="13"/>
                <w:szCs w:val="13"/>
                <w:color w:val="auto"/>
              </w:rPr>
              <w:t>Office</w:t>
            </w:r>
          </w:p>
        </w:tc>
        <w:tc>
          <w:tcPr>
            <w:tcW w:w="2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2780" w:type="dxa"/>
            <w:vAlign w:val="bottom"/>
          </w:tcPr>
          <w:p>
            <w:pPr>
              <w:ind w:left="120"/>
              <w:spacing w:after="0"/>
              <w:rPr>
                <w:sz w:val="20"/>
                <w:szCs w:val="20"/>
                <w:color w:val="auto"/>
              </w:rPr>
            </w:pPr>
            <w:r>
              <w:rPr>
                <w:rFonts w:ascii="Arial" w:cs="Arial" w:eastAsia="Arial" w:hAnsi="Arial"/>
                <w:sz w:val="13"/>
                <w:szCs w:val="13"/>
                <w:color w:val="auto"/>
              </w:rPr>
              <w:t xml:space="preserve">Safeco Plaza (33.67% ownership) </w:t>
            </w:r>
            <w:r>
              <w:rPr>
                <w:rFonts w:ascii="Arial" w:cs="Arial" w:eastAsia="Arial" w:hAnsi="Arial"/>
                <w:sz w:val="16"/>
                <w:szCs w:val="16"/>
                <w:color w:val="auto"/>
                <w:vertAlign w:val="superscript"/>
              </w:rPr>
              <w:t>4</w:t>
            </w:r>
          </w:p>
        </w:tc>
        <w:tc>
          <w:tcPr>
            <w:tcW w:w="2640" w:type="dxa"/>
            <w:vAlign w:val="bottom"/>
          </w:tcPr>
          <w:p>
            <w:pPr>
              <w:ind w:left="660"/>
              <w:spacing w:after="0"/>
              <w:rPr>
                <w:sz w:val="20"/>
                <w:szCs w:val="20"/>
                <w:color w:val="auto"/>
              </w:rPr>
            </w:pPr>
            <w:r>
              <w:rPr>
                <w:rFonts w:ascii="Arial" w:cs="Arial" w:eastAsia="Arial" w:hAnsi="Arial"/>
                <w:sz w:val="13"/>
                <w:szCs w:val="13"/>
                <w:color w:val="auto"/>
              </w:rPr>
              <w:t>CBD Seattle WA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762,541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84.5 %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86.5 %</w:t>
            </w:r>
          </w:p>
        </w:tc>
        <w:tc>
          <w:tcPr>
            <w:tcW w:w="220" w:type="dxa"/>
            <w:vAlign w:val="bottom"/>
          </w:tcPr>
          <w:p>
            <w:pPr>
              <w:spacing w:after="0"/>
              <w:rPr>
                <w:sz w:val="16"/>
                <w:szCs w:val="16"/>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49.34</w:t>
            </w:r>
          </w:p>
        </w:tc>
      </w:tr>
      <w:tr>
        <w:trPr>
          <w:trHeight w:val="173"/>
        </w:trPr>
        <w:tc>
          <w:tcPr>
            <w:tcW w:w="2780" w:type="dxa"/>
            <w:vAlign w:val="bottom"/>
          </w:tcPr>
          <w:p>
            <w:pPr>
              <w:ind w:left="120"/>
              <w:spacing w:after="0"/>
              <w:rPr>
                <w:sz w:val="20"/>
                <w:szCs w:val="20"/>
                <w:color w:val="auto"/>
              </w:rPr>
            </w:pPr>
            <w:r>
              <w:rPr>
                <w:rFonts w:ascii="Arial" w:cs="Arial" w:eastAsia="Arial" w:hAnsi="Arial"/>
                <w:sz w:val="13"/>
                <w:szCs w:val="13"/>
                <w:color w:val="auto"/>
              </w:rPr>
              <w:t>Madison Centre</w:t>
            </w:r>
          </w:p>
        </w:tc>
        <w:tc>
          <w:tcPr>
            <w:tcW w:w="2640" w:type="dxa"/>
            <w:vAlign w:val="bottom"/>
          </w:tcPr>
          <w:p>
            <w:pPr>
              <w:ind w:left="660"/>
              <w:spacing w:after="0"/>
              <w:rPr>
                <w:sz w:val="20"/>
                <w:szCs w:val="20"/>
                <w:color w:val="auto"/>
              </w:rPr>
            </w:pPr>
            <w:r>
              <w:rPr>
                <w:rFonts w:ascii="Arial" w:cs="Arial" w:eastAsia="Arial" w:hAnsi="Arial"/>
                <w:sz w:val="13"/>
                <w:szCs w:val="13"/>
                <w:color w:val="auto"/>
              </w:rPr>
              <w:t>CBD Seattle WA</w:t>
            </w: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754,011</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83.6 %</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60.44</w:t>
            </w:r>
          </w:p>
        </w:tc>
      </w:tr>
      <w:tr>
        <w:trPr>
          <w:trHeight w:val="171"/>
        </w:trPr>
        <w:tc>
          <w:tcPr>
            <w:tcW w:w="278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640" w:type="dxa"/>
            <w:vAlign w:val="bottom"/>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1,516,552</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85.1 %</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WASHINGTON, DC</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60" w:type="dxa"/>
            <w:vAlign w:val="bottom"/>
          </w:tcPr>
          <w:p>
            <w:pPr>
              <w:spacing w:after="0"/>
              <w:rPr>
                <w:sz w:val="20"/>
                <w:szCs w:val="20"/>
                <w:color w:val="auto"/>
              </w:rPr>
            </w:pPr>
            <w:r>
              <w:rPr>
                <w:rFonts w:ascii="Arial" w:cs="Arial" w:eastAsia="Arial" w:hAnsi="Arial"/>
                <w:sz w:val="13"/>
                <w:szCs w:val="13"/>
                <w:color w:val="auto"/>
              </w:rPr>
              <w:t>Office</w:t>
            </w:r>
          </w:p>
        </w:tc>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3160" w:type="dxa"/>
            <w:vAlign w:val="bottom"/>
          </w:tcPr>
          <w:p>
            <w:pPr>
              <w:ind w:left="120"/>
              <w:spacing w:after="0"/>
              <w:rPr>
                <w:sz w:val="20"/>
                <w:szCs w:val="20"/>
                <w:color w:val="auto"/>
              </w:rPr>
            </w:pPr>
            <w:r>
              <w:rPr>
                <w:rFonts w:ascii="Arial" w:cs="Arial" w:eastAsia="Arial" w:hAnsi="Arial"/>
                <w:sz w:val="13"/>
                <w:szCs w:val="13"/>
                <w:color w:val="auto"/>
              </w:rPr>
              <w:t>901 New York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East End Washington DC</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508,130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80.5 %</w:t>
            </w:r>
          </w:p>
        </w:tc>
        <w:tc>
          <w:tcPr>
            <w:tcW w:w="220" w:type="dxa"/>
            <w:vAlign w:val="bottom"/>
          </w:tcPr>
          <w:p>
            <w:pPr>
              <w:spacing w:after="0"/>
              <w:rPr>
                <w:sz w:val="15"/>
                <w:szCs w:val="15"/>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69.14</w:t>
            </w:r>
          </w:p>
        </w:tc>
      </w:tr>
      <w:tr>
        <w:trPr>
          <w:trHeight w:val="185"/>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Market Square North (50% ownership) </w:t>
            </w:r>
            <w:r>
              <w:rPr>
                <w:rFonts w:ascii="Arial" w:cs="Arial" w:eastAsia="Arial" w:hAnsi="Arial"/>
                <w:sz w:val="16"/>
                <w:szCs w:val="16"/>
                <w:color w:val="auto"/>
                <w:vertAlign w:val="superscript"/>
              </w:rPr>
              <w:t>4</w:t>
            </w:r>
          </w:p>
        </w:tc>
        <w:tc>
          <w:tcPr>
            <w:tcW w:w="2260" w:type="dxa"/>
            <w:vAlign w:val="bottom"/>
          </w:tcPr>
          <w:p>
            <w:pPr>
              <w:ind w:left="280"/>
              <w:spacing w:after="0"/>
              <w:rPr>
                <w:sz w:val="20"/>
                <w:szCs w:val="20"/>
                <w:color w:val="auto"/>
              </w:rPr>
            </w:pPr>
            <w:r>
              <w:rPr>
                <w:rFonts w:ascii="Arial" w:cs="Arial" w:eastAsia="Arial" w:hAnsi="Arial"/>
                <w:sz w:val="13"/>
                <w:szCs w:val="13"/>
                <w:color w:val="auto"/>
              </w:rPr>
              <w:t>East End Washington DC</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417,298</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75.3 %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75.3 %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75.52</w:t>
            </w:r>
          </w:p>
        </w:tc>
      </w:tr>
      <w:tr>
        <w:trPr>
          <w:trHeight w:val="166"/>
        </w:trPr>
        <w:tc>
          <w:tcPr>
            <w:tcW w:w="3160" w:type="dxa"/>
            <w:vAlign w:val="bottom"/>
          </w:tcPr>
          <w:p>
            <w:pPr>
              <w:ind w:left="120"/>
              <w:spacing w:after="0"/>
              <w:rPr>
                <w:sz w:val="20"/>
                <w:szCs w:val="20"/>
                <w:color w:val="auto"/>
              </w:rPr>
            </w:pPr>
            <w:r>
              <w:rPr>
                <w:rFonts w:ascii="Arial" w:cs="Arial" w:eastAsia="Arial" w:hAnsi="Arial"/>
                <w:sz w:val="13"/>
                <w:szCs w:val="13"/>
                <w:color w:val="auto"/>
              </w:rPr>
              <w:t>2100 Pennsylvania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475,849</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95.0 %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95.0 %</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82.25</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2200 Pennsylvania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459,954</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94.8 %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98.0 %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95.76</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1330 Connecticut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252,413</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95.5 %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95.5 %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71.07</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Sumner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208,797</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94.0 %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50.61</w:t>
            </w:r>
          </w:p>
        </w:tc>
      </w:tr>
      <w:tr>
        <w:trPr>
          <w:trHeight w:val="185"/>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500 North Capitol Street, N.W. (30% ownership) </w:t>
            </w:r>
            <w:r>
              <w:rPr>
                <w:rFonts w:ascii="Arial" w:cs="Arial" w:eastAsia="Arial" w:hAnsi="Arial"/>
                <w:sz w:val="16"/>
                <w:szCs w:val="16"/>
                <w:color w:val="auto"/>
                <w:vertAlign w:val="superscript"/>
              </w:rPr>
              <w:t>4</w:t>
            </w:r>
          </w:p>
        </w:tc>
        <w:tc>
          <w:tcPr>
            <w:tcW w:w="2260" w:type="dxa"/>
            <w:vAlign w:val="bottom"/>
          </w:tcPr>
          <w:p>
            <w:pPr>
              <w:ind w:left="280"/>
              <w:spacing w:after="0"/>
              <w:rPr>
                <w:sz w:val="20"/>
                <w:szCs w:val="20"/>
                <w:color w:val="auto"/>
              </w:rPr>
            </w:pPr>
            <w:r>
              <w:rPr>
                <w:rFonts w:ascii="Arial" w:cs="Arial" w:eastAsia="Arial" w:hAnsi="Arial"/>
                <w:sz w:val="13"/>
                <w:szCs w:val="13"/>
                <w:color w:val="auto"/>
              </w:rPr>
              <w:t>Capitol Hill Washington DC</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230,900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96.8 %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96.8 %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86.29</w:t>
            </w:r>
          </w:p>
        </w:tc>
      </w:tr>
      <w:tr>
        <w:trPr>
          <w:trHeight w:val="173"/>
        </w:trPr>
        <w:tc>
          <w:tcPr>
            <w:tcW w:w="3160" w:type="dxa"/>
            <w:vAlign w:val="bottom"/>
          </w:tcPr>
          <w:p>
            <w:pPr>
              <w:ind w:left="120"/>
              <w:spacing w:after="0"/>
              <w:rPr>
                <w:sz w:val="20"/>
                <w:szCs w:val="20"/>
                <w:color w:val="auto"/>
              </w:rPr>
            </w:pPr>
            <w:r>
              <w:rPr>
                <w:rFonts w:ascii="Arial" w:cs="Arial" w:eastAsia="Arial" w:hAnsi="Arial"/>
                <w:sz w:val="13"/>
                <w:szCs w:val="13"/>
                <w:color w:val="auto"/>
              </w:rPr>
              <w:t>Capital Gallery</w:t>
            </w:r>
          </w:p>
        </w:tc>
        <w:tc>
          <w:tcPr>
            <w:tcW w:w="2260" w:type="dxa"/>
            <w:vAlign w:val="bottom"/>
          </w:tcPr>
          <w:p>
            <w:pPr>
              <w:ind w:left="280"/>
              <w:spacing w:after="0"/>
              <w:rPr>
                <w:sz w:val="20"/>
                <w:szCs w:val="20"/>
                <w:color w:val="auto"/>
              </w:rPr>
            </w:pPr>
            <w:r>
              <w:rPr>
                <w:rFonts w:ascii="Arial" w:cs="Arial" w:eastAsia="Arial" w:hAnsi="Arial"/>
                <w:sz w:val="13"/>
                <w:szCs w:val="13"/>
                <w:color w:val="auto"/>
              </w:rPr>
              <w:t>Southwest Washington DC</w:t>
            </w: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176,824</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92.7 %</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58.30</w:t>
            </w:r>
          </w:p>
        </w:tc>
      </w:tr>
      <w:tr>
        <w:trPr>
          <w:trHeight w:val="171"/>
        </w:trPr>
        <w:tc>
          <w:tcPr>
            <w:tcW w:w="316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260" w:type="dxa"/>
            <w:vAlign w:val="bottom"/>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2,730,165</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88.5 %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89.8 %</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76.68</w:t>
            </w:r>
          </w:p>
        </w:tc>
      </w:tr>
      <w:tr>
        <w:trPr>
          <w:trHeight w:val="362"/>
        </w:trPr>
        <w:tc>
          <w:tcPr>
            <w:tcW w:w="3160" w:type="dxa"/>
            <w:vAlign w:val="bottom"/>
          </w:tcPr>
          <w:p>
            <w:pPr>
              <w:ind w:left="120"/>
              <w:spacing w:after="0"/>
              <w:rPr>
                <w:sz w:val="20"/>
                <w:szCs w:val="20"/>
                <w:color w:val="auto"/>
              </w:rPr>
            </w:pPr>
            <w:r>
              <w:rPr>
                <w:rFonts w:ascii="Arial" w:cs="Arial" w:eastAsia="Arial" w:hAnsi="Arial"/>
                <w:sz w:val="13"/>
                <w:szCs w:val="13"/>
                <w:color w:val="auto"/>
              </w:rPr>
              <w:t>Reston Next</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1,063,299</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97.5 %</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99.2 %</w:t>
            </w:r>
          </w:p>
        </w:tc>
        <w:tc>
          <w:tcPr>
            <w:tcW w:w="22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62.90</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South of Market</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624,387</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57.19</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Fountain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524,329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99.1 %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53.64</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One Freedom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427,646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87.8 %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87.8 %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55.08</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Two Freedom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423,222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55.65</w:t>
            </w:r>
          </w:p>
        </w:tc>
      </w:tr>
      <w:tr>
        <w:trPr>
          <w:trHeight w:val="176"/>
        </w:trPr>
        <w:tc>
          <w:tcPr>
            <w:tcW w:w="3160" w:type="dxa"/>
            <w:vAlign w:val="bottom"/>
          </w:tcPr>
          <w:p>
            <w:pPr>
              <w:ind w:left="120"/>
              <w:spacing w:after="0"/>
              <w:rPr>
                <w:sz w:val="20"/>
                <w:szCs w:val="20"/>
                <w:color w:val="auto"/>
              </w:rPr>
            </w:pPr>
            <w:r>
              <w:rPr>
                <w:rFonts w:ascii="Arial" w:cs="Arial" w:eastAsia="Arial" w:hAnsi="Arial"/>
                <w:sz w:val="13"/>
                <w:szCs w:val="13"/>
                <w:color w:val="auto"/>
              </w:rPr>
              <w:t>One and Two Discovery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366,989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89.7 %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54.13</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One Reston Overlook</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319,519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50.80</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17Fifty Presidents Street</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275,809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74.81</w:t>
            </w:r>
          </w:p>
        </w:tc>
      </w:tr>
      <w:tr>
        <w:trPr>
          <w:trHeight w:val="175"/>
        </w:trPr>
        <w:tc>
          <w:tcPr>
            <w:tcW w:w="3160" w:type="dxa"/>
            <w:vAlign w:val="bottom"/>
          </w:tcPr>
          <w:p>
            <w:pPr>
              <w:ind w:left="120"/>
              <w:spacing w:after="0"/>
              <w:rPr>
                <w:sz w:val="20"/>
                <w:szCs w:val="20"/>
                <w:color w:val="auto"/>
              </w:rPr>
            </w:pPr>
            <w:r>
              <w:rPr>
                <w:rFonts w:ascii="Arial" w:cs="Arial" w:eastAsia="Arial" w:hAnsi="Arial"/>
                <w:sz w:val="13"/>
                <w:szCs w:val="13"/>
                <w:color w:val="auto"/>
              </w:rPr>
              <w:t>Democracy Tower</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259,441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99.3 %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99.3 %</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69.25</w:t>
            </w:r>
          </w:p>
        </w:tc>
      </w:tr>
      <w:tr>
        <w:trPr>
          <w:trHeight w:val="232"/>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Fountain Square Retail </w:t>
            </w:r>
            <w:r>
              <w:rPr>
                <w:rFonts w:ascii="Arial" w:cs="Arial" w:eastAsia="Arial" w:hAnsi="Arial"/>
                <w:sz w:val="16"/>
                <w:szCs w:val="16"/>
                <w:color w:val="auto"/>
                <w:vertAlign w:val="superscript"/>
              </w:rPr>
              <w:t>5</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196,421</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90.4 %</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91.2 %</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59.39</w:t>
            </w:r>
          </w:p>
        </w:tc>
      </w:tr>
    </w:tbl>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100"/>
          </w:cols>
          <w:pgMar w:left="460" w:top="265" w:right="339" w:bottom="1440" w:gutter="0" w:footer="0" w:header="0"/>
        </w:sectPr>
      </w:pPr>
    </w:p>
    <w:bookmarkStart w:id="30" w:name="page31"/>
    <w:bookmarkEnd w:id="30"/>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-61595</wp:posOffset>
            </wp:positionV>
            <wp:extent cx="257175"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 of September 30,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rPr>
              <w:t>Annualized Rental</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Sub Market</w:t>
            </w:r>
          </w:p>
        </w:tc>
        <w:tc>
          <w:tcPr>
            <w:tcW w:w="920" w:type="dxa"/>
            <w:vAlign w:val="bottom"/>
            <w:gridSpan w:val="2"/>
            <w:vMerge w:val="continue"/>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Square Feet</w:t>
            </w: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Buildings</w:t>
            </w:r>
          </w:p>
        </w:tc>
        <w:tc>
          <w:tcPr>
            <w:tcW w:w="9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5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Two Reston Overlook</w:t>
            </w:r>
          </w:p>
        </w:tc>
        <w:tc>
          <w:tcPr>
            <w:tcW w:w="18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Reston VA</w:t>
            </w:r>
          </w:p>
        </w:tc>
        <w:tc>
          <w:tcPr>
            <w:tcW w:w="120" w:type="dxa"/>
            <w:vAlign w:val="bottom"/>
          </w:tcPr>
          <w:p>
            <w:pPr>
              <w:spacing w:after="0"/>
              <w:rPr>
                <w:sz w:val="13"/>
                <w:szCs w:val="13"/>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134,615</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gridSpan w:val="2"/>
          </w:tcPr>
          <w:p>
            <w:pPr>
              <w:ind w:left="240"/>
              <w:spacing w:after="0" w:line="181" w:lineRule="exact"/>
              <w:rPr>
                <w:sz w:val="20"/>
                <w:szCs w:val="20"/>
                <w:color w:val="auto"/>
              </w:rPr>
            </w:pPr>
            <w:r>
              <w:rPr>
                <w:rFonts w:ascii="Arial" w:cs="Arial" w:eastAsia="Arial" w:hAnsi="Arial"/>
                <w:sz w:val="13"/>
                <w:szCs w:val="13"/>
                <w:color w:val="auto"/>
              </w:rPr>
              <w:t xml:space="preserve">Reston Next Office Phase II </w:t>
            </w:r>
            <w:r>
              <w:rPr>
                <w:rFonts w:ascii="Arial" w:cs="Arial" w:eastAsia="Arial" w:hAnsi="Arial"/>
                <w:sz w:val="16"/>
                <w:szCs w:val="16"/>
                <w:color w:val="auto"/>
                <w:vertAlign w:val="superscript"/>
              </w:rPr>
              <w:t>7, 8</w:t>
            </w:r>
          </w:p>
        </w:tc>
        <w:tc>
          <w:tcPr>
            <w:tcW w:w="1980" w:type="dxa"/>
            <w:vAlign w:val="bottom"/>
            <w:gridSpan w:val="2"/>
          </w:tcPr>
          <w:p>
            <w:pPr>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86,629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92.2 %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57.20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gridSpan w:val="2"/>
          </w:tcPr>
          <w:p>
            <w:pPr>
              <w:ind w:left="240"/>
              <w:spacing w:after="0" w:line="180" w:lineRule="exact"/>
              <w:rPr>
                <w:sz w:val="20"/>
                <w:szCs w:val="20"/>
                <w:color w:val="auto"/>
              </w:rPr>
            </w:pPr>
            <w:r>
              <w:rPr>
                <w:rFonts w:ascii="Arial" w:cs="Arial" w:eastAsia="Arial" w:hAnsi="Arial"/>
                <w:sz w:val="13"/>
                <w:szCs w:val="13"/>
                <w:color w:val="auto"/>
              </w:rPr>
              <w:t xml:space="preserve">Avant Retail </w:t>
            </w:r>
            <w:r>
              <w:rPr>
                <w:rFonts w:ascii="Arial" w:cs="Arial" w:eastAsia="Arial" w:hAnsi="Arial"/>
                <w:sz w:val="16"/>
                <w:szCs w:val="16"/>
                <w:color w:val="auto"/>
                <w:vertAlign w:val="superscript"/>
              </w:rPr>
              <w:t>5</w:t>
            </w:r>
          </w:p>
        </w:tc>
        <w:tc>
          <w:tcPr>
            <w:tcW w:w="1980" w:type="dxa"/>
            <w:vAlign w:val="bottom"/>
            <w:gridSpan w:val="2"/>
          </w:tcPr>
          <w:p>
            <w:pPr>
              <w:spacing w:after="0"/>
              <w:rPr>
                <w:sz w:val="20"/>
                <w:szCs w:val="20"/>
                <w:color w:val="auto"/>
              </w:rPr>
            </w:pPr>
            <w:r>
              <w:rPr>
                <w:rFonts w:ascii="Arial" w:cs="Arial" w:eastAsia="Arial" w:hAnsi="Arial"/>
                <w:sz w:val="13"/>
                <w:szCs w:val="13"/>
                <w:color w:val="auto"/>
              </w:rPr>
              <w:t>Reston VA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26,179</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4,728,485</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94.7 %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7750 Wisconsin Avenue (50% ownership) </w:t>
            </w:r>
            <w:r>
              <w:rPr>
                <w:rFonts w:ascii="Arial" w:cs="Arial" w:eastAsia="Arial" w:hAnsi="Arial"/>
                <w:sz w:val="16"/>
                <w:szCs w:val="16"/>
                <w:color w:val="auto"/>
                <w:vertAlign w:val="superscript"/>
              </w:rPr>
              <w:t>4</w:t>
            </w:r>
          </w:p>
        </w:tc>
        <w:tc>
          <w:tcPr>
            <w:tcW w:w="1980" w:type="dxa"/>
            <w:vAlign w:val="bottom"/>
            <w:gridSpan w:val="2"/>
          </w:tcPr>
          <w:p>
            <w:pPr>
              <w:spacing w:after="0"/>
              <w:rPr>
                <w:sz w:val="20"/>
                <w:szCs w:val="20"/>
                <w:color w:val="auto"/>
              </w:rPr>
            </w:pPr>
            <w:r>
              <w:rPr>
                <w:rFonts w:ascii="Arial" w:cs="Arial" w:eastAsia="Arial" w:hAnsi="Arial"/>
                <w:sz w:val="13"/>
                <w:szCs w:val="13"/>
                <w:color w:val="auto"/>
              </w:rPr>
              <w:t>Bethesda/Chevy Chase MD</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735,573</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38.99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Wisconsin Place Office</w:t>
            </w:r>
          </w:p>
        </w:tc>
        <w:tc>
          <w:tcPr>
            <w:tcW w:w="1980" w:type="dxa"/>
            <w:vAlign w:val="bottom"/>
            <w:gridSpan w:val="2"/>
          </w:tcPr>
          <w:p>
            <w:pPr>
              <w:spacing w:after="0"/>
              <w:rPr>
                <w:sz w:val="20"/>
                <w:szCs w:val="20"/>
                <w:color w:val="auto"/>
              </w:rPr>
            </w:pPr>
            <w:r>
              <w:rPr>
                <w:rFonts w:ascii="Arial" w:cs="Arial" w:eastAsia="Arial" w:hAnsi="Arial"/>
                <w:sz w:val="13"/>
                <w:szCs w:val="13"/>
                <w:color w:val="auto"/>
              </w:rPr>
              <w:t>Montgomery County MD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295,845</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1,031,418</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88.5 %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88.5 %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040" w:type="dxa"/>
            <w:vAlign w:val="bottom"/>
            <w:vMerge w:val="restart"/>
          </w:tcPr>
          <w:p>
            <w:pPr>
              <w:ind w:left="100"/>
              <w:spacing w:after="0"/>
              <w:rPr>
                <w:sz w:val="20"/>
                <w:szCs w:val="20"/>
                <w:color w:val="auto"/>
              </w:rPr>
            </w:pPr>
            <w:r>
              <w:rPr>
                <w:rFonts w:ascii="Arial" w:cs="Arial" w:eastAsia="Arial" w:hAnsi="Arial"/>
                <w:sz w:val="13"/>
                <w:szCs w:val="13"/>
                <w:color w:val="auto"/>
              </w:rPr>
              <w:t>Subtotal Washington, DC CBD</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8,490,068</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93.8 %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3520" w:type="dxa"/>
            <w:vAlign w:val="bottom"/>
            <w:gridSpan w:val="2"/>
          </w:tcPr>
          <w:p>
            <w:pPr>
              <w:ind w:left="120"/>
              <w:spacing w:after="0"/>
              <w:rPr>
                <w:sz w:val="20"/>
                <w:szCs w:val="20"/>
                <w:color w:val="auto"/>
              </w:rPr>
            </w:pPr>
            <w:r>
              <w:rPr>
                <w:rFonts w:ascii="Arial" w:cs="Arial" w:eastAsia="Arial" w:hAnsi="Arial"/>
                <w:sz w:val="13"/>
                <w:szCs w:val="13"/>
                <w:color w:val="auto"/>
              </w:rPr>
              <w:t>Residential</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Signature at Reston (508 units)</w:t>
            </w:r>
          </w:p>
        </w:tc>
        <w:tc>
          <w:tcPr>
            <w:tcW w:w="1980" w:type="dxa"/>
            <w:vAlign w:val="bottom"/>
            <w:gridSpan w:val="2"/>
          </w:tcPr>
          <w:p>
            <w:pPr>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517,783</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Skymark (508 units) (20% ownership) </w:t>
            </w:r>
            <w:r>
              <w:rPr>
                <w:rFonts w:ascii="Arial" w:cs="Arial" w:eastAsia="Arial" w:hAnsi="Arial"/>
                <w:sz w:val="16"/>
                <w:szCs w:val="16"/>
                <w:color w:val="auto"/>
                <w:vertAlign w:val="superscript"/>
              </w:rPr>
              <w:t>4, 7</w:t>
            </w:r>
          </w:p>
        </w:tc>
        <w:tc>
          <w:tcPr>
            <w:tcW w:w="1980" w:type="dxa"/>
            <w:vAlign w:val="bottom"/>
            <w:gridSpan w:val="2"/>
          </w:tcPr>
          <w:p>
            <w:pPr>
              <w:spacing w:after="0"/>
              <w:rPr>
                <w:sz w:val="20"/>
                <w:szCs w:val="20"/>
                <w:color w:val="auto"/>
              </w:rPr>
            </w:pPr>
            <w:r>
              <w:rPr>
                <w:rFonts w:ascii="Arial" w:cs="Arial" w:eastAsia="Arial" w:hAnsi="Arial"/>
                <w:sz w:val="13"/>
                <w:szCs w:val="13"/>
                <w:color w:val="auto"/>
              </w:rPr>
              <w:t>Reston VA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417,036</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8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934,819</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CBD Total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105</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42,087,505</w:t>
            </w:r>
          </w:p>
        </w:tc>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89.3 % </w:t>
            </w:r>
            <w:r>
              <w:rPr>
                <w:rFonts w:ascii="Arial" w:cs="Arial" w:eastAsia="Arial" w:hAnsi="Arial"/>
                <w:sz w:val="17"/>
                <w:szCs w:val="17"/>
                <w:color w:val="auto"/>
                <w:vertAlign w:val="superscript"/>
              </w:rPr>
              <w:t>9</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92.0 % </w:t>
            </w:r>
            <w:r>
              <w:rPr>
                <w:rFonts w:ascii="Arial" w:cs="Arial" w:eastAsia="Arial" w:hAnsi="Arial"/>
                <w:sz w:val="17"/>
                <w:szCs w:val="17"/>
                <w:color w:val="auto"/>
                <w:vertAlign w:val="superscript"/>
              </w:rPr>
              <w:t>9</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 xml:space="preserve">87.55 </w:t>
            </w:r>
            <w:r>
              <w:rPr>
                <w:rFonts w:ascii="Arial" w:cs="Arial" w:eastAsia="Arial" w:hAnsi="Arial"/>
                <w:sz w:val="17"/>
                <w:szCs w:val="17"/>
                <w:color w:val="auto"/>
                <w:vertAlign w:val="superscript"/>
              </w:rPr>
              <w:t>9</w:t>
            </w: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BXP’s Share of CBD</w:t>
            </w: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90.0 % </w:t>
            </w:r>
            <w:r>
              <w:rPr>
                <w:rFonts w:ascii="Arial" w:cs="Arial" w:eastAsia="Arial" w:hAnsi="Arial"/>
                <w:sz w:val="17"/>
                <w:szCs w:val="17"/>
                <w:color w:val="auto"/>
                <w:vertAlign w:val="superscript"/>
              </w:rPr>
              <w:t>9</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92.3 % </w:t>
            </w:r>
            <w:r>
              <w:rPr>
                <w:rFonts w:ascii="Arial" w:cs="Arial" w:eastAsia="Arial" w:hAnsi="Arial"/>
                <w:sz w:val="17"/>
                <w:szCs w:val="17"/>
                <w:color w:val="auto"/>
                <w:vertAlign w:val="superscript"/>
              </w:rPr>
              <w:t>9</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SUBURBAN</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BOSTON</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Bay Colony Corporate Center </w:t>
            </w:r>
            <w:r>
              <w:rPr>
                <w:rFonts w:ascii="Arial" w:cs="Arial" w:eastAsia="Arial" w:hAnsi="Arial"/>
                <w:sz w:val="16"/>
                <w:szCs w:val="16"/>
                <w:color w:val="auto"/>
                <w:vertAlign w:val="superscript"/>
              </w:rPr>
              <w:t>10</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710,064</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56.2 %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57.7 %</w:t>
            </w:r>
          </w:p>
        </w:tc>
        <w:tc>
          <w:tcPr>
            <w:tcW w:w="2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38.70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140</w:t>
            </w:r>
          </w:p>
        </w:tc>
        <w:tc>
          <w:tcPr>
            <w:tcW w:w="3040" w:type="dxa"/>
            <w:vAlign w:val="bottom"/>
          </w:tcPr>
          <w:p>
            <w:pPr>
              <w:ind w:left="20"/>
              <w:spacing w:after="0"/>
              <w:rPr>
                <w:sz w:val="20"/>
                <w:szCs w:val="20"/>
                <w:color w:val="auto"/>
              </w:rPr>
            </w:pPr>
            <w:r>
              <w:rPr>
                <w:rFonts w:ascii="Arial" w:cs="Arial" w:eastAsia="Arial" w:hAnsi="Arial"/>
                <w:sz w:val="13"/>
                <w:szCs w:val="13"/>
                <w:color w:val="auto"/>
              </w:rPr>
              <w:t>Kendrick Street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409,197</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77.2 %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81.7 %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Weston Corporate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357,579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12.5 %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180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CityPoint </w:t>
            </w:r>
            <w:r>
              <w:rPr>
                <w:rFonts w:ascii="Arial" w:cs="Arial" w:eastAsia="Arial" w:hAnsi="Arial"/>
                <w:sz w:val="16"/>
                <w:szCs w:val="16"/>
                <w:color w:val="auto"/>
                <w:vertAlign w:val="superscript"/>
              </w:rPr>
              <w:t>6, 7</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329,195</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43.2 %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78.3 %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102.94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Waltham Weston Corporate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301,611</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230</w:t>
            </w:r>
          </w:p>
        </w:tc>
        <w:tc>
          <w:tcPr>
            <w:tcW w:w="3040" w:type="dxa"/>
            <w:vAlign w:val="bottom"/>
          </w:tcPr>
          <w:p>
            <w:pPr>
              <w:ind w:left="20"/>
              <w:spacing w:after="0"/>
              <w:rPr>
                <w:sz w:val="20"/>
                <w:szCs w:val="20"/>
                <w:color w:val="auto"/>
              </w:rPr>
            </w:pPr>
            <w:r>
              <w:rPr>
                <w:rFonts w:ascii="Arial" w:cs="Arial" w:eastAsia="Arial" w:hAnsi="Arial"/>
                <w:sz w:val="13"/>
                <w:szCs w:val="13"/>
                <w:color w:val="auto"/>
              </w:rPr>
              <w:t>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296,720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97.7 %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200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West Street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273,361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86.1 %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86.1 %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91.72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880</w:t>
            </w:r>
          </w:p>
        </w:tc>
        <w:tc>
          <w:tcPr>
            <w:tcW w:w="304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Winter Street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243,614</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10 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236,570</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97.1 %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98.6 %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20 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211,476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98.1 %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98.1 %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77 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209,382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90.2 %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90.2 %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890</w:t>
            </w:r>
          </w:p>
        </w:tc>
        <w:tc>
          <w:tcPr>
            <w:tcW w:w="3040" w:type="dxa"/>
            <w:vAlign w:val="bottom"/>
          </w:tcPr>
          <w:p>
            <w:pPr>
              <w:ind w:left="20"/>
              <w:spacing w:after="0"/>
              <w:rPr>
                <w:sz w:val="20"/>
                <w:szCs w:val="20"/>
                <w:color w:val="auto"/>
              </w:rPr>
            </w:pPr>
            <w:r>
              <w:rPr>
                <w:rFonts w:ascii="Arial" w:cs="Arial" w:eastAsia="Arial" w:hAnsi="Arial"/>
                <w:sz w:val="13"/>
                <w:szCs w:val="13"/>
                <w:color w:val="auto"/>
              </w:rPr>
              <w:t>Winter Street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180,155</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93.1 %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93.1 %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Reservoir Place </w:t>
            </w:r>
            <w:r>
              <w:rPr>
                <w:rFonts w:ascii="Arial" w:cs="Arial" w:eastAsia="Arial" w:hAnsi="Arial"/>
                <w:sz w:val="16"/>
                <w:szCs w:val="16"/>
                <w:color w:val="auto"/>
                <w:vertAlign w:val="superscript"/>
              </w:rPr>
              <w:t>11</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164,993</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153</w:t>
            </w:r>
          </w:p>
        </w:tc>
        <w:tc>
          <w:tcPr>
            <w:tcW w:w="304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&amp; 211 Second Avenue </w:t>
            </w:r>
            <w:r>
              <w:rPr>
                <w:rFonts w:ascii="Arial" w:cs="Arial" w:eastAsia="Arial" w:hAnsi="Arial"/>
                <w:sz w:val="16"/>
                <w:szCs w:val="16"/>
                <w:color w:val="auto"/>
                <w:vertAlign w:val="superscript"/>
              </w:rPr>
              <w:t>12</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154,093</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84.2 %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84.2 %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line="175" w:lineRule="exact"/>
              <w:rPr>
                <w:sz w:val="20"/>
                <w:szCs w:val="20"/>
                <w:color w:val="auto"/>
              </w:rPr>
            </w:pPr>
            <w:r>
              <w:rPr>
                <w:rFonts w:ascii="Arial" w:cs="Arial" w:eastAsia="Arial" w:hAnsi="Arial"/>
                <w:sz w:val="13"/>
                <w:szCs w:val="13"/>
                <w:color w:val="auto"/>
              </w:rPr>
              <w:t xml:space="preserve">1265 Main Street (50% ownership) </w:t>
            </w:r>
            <w:r>
              <w:rPr>
                <w:rFonts w:ascii="Arial" w:cs="Arial" w:eastAsia="Arial" w:hAnsi="Arial"/>
                <w:sz w:val="16"/>
                <w:szCs w:val="16"/>
                <w:color w:val="auto"/>
                <w:vertAlign w:val="superscript"/>
              </w:rPr>
              <w:t>4</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120,681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line="175" w:lineRule="exact"/>
              <w:rPr>
                <w:sz w:val="20"/>
                <w:szCs w:val="20"/>
                <w:color w:val="auto"/>
              </w:rPr>
            </w:pPr>
            <w:r>
              <w:rPr>
                <w:rFonts w:ascii="Arial" w:cs="Arial" w:eastAsia="Arial" w:hAnsi="Arial"/>
                <w:sz w:val="13"/>
                <w:szCs w:val="13"/>
                <w:color w:val="auto"/>
              </w:rPr>
              <w:t xml:space="preserve">103 CityPoint </w:t>
            </w:r>
            <w:r>
              <w:rPr>
                <w:rFonts w:ascii="Arial" w:cs="Arial" w:eastAsia="Arial" w:hAnsi="Arial"/>
                <w:sz w:val="16"/>
                <w:szCs w:val="16"/>
                <w:color w:val="auto"/>
                <w:vertAlign w:val="superscript"/>
              </w:rPr>
              <w:t>6, 7</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112,841</w:t>
            </w: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Reservoir Place North</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73,258</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The Point </w:t>
            </w:r>
            <w:r>
              <w:rPr>
                <w:rFonts w:ascii="Arial" w:cs="Arial" w:eastAsia="Arial" w:hAnsi="Arial"/>
                <w:sz w:val="16"/>
                <w:szCs w:val="16"/>
                <w:color w:val="auto"/>
                <w:vertAlign w:val="superscript"/>
              </w:rPr>
              <w:t>5</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16,300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line="175" w:lineRule="exact"/>
              <w:rPr>
                <w:sz w:val="20"/>
                <w:szCs w:val="20"/>
                <w:color w:val="auto"/>
              </w:rPr>
            </w:pPr>
            <w:r>
              <w:rPr>
                <w:rFonts w:ascii="Arial" w:cs="Arial" w:eastAsia="Arial" w:hAnsi="Arial"/>
                <w:sz w:val="13"/>
                <w:szCs w:val="13"/>
                <w:color w:val="auto"/>
              </w:rPr>
              <w:t xml:space="preserve">33 Hayden Avenue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80,872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32 Hartwell Avenue</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69,154</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0" w:type="dxa"/>
            <w:vAlign w:val="bottom"/>
          </w:tcPr>
          <w:p>
            <w:pPr>
              <w:ind w:left="240"/>
              <w:spacing w:after="0"/>
              <w:rPr>
                <w:sz w:val="20"/>
                <w:szCs w:val="20"/>
                <w:color w:val="auto"/>
              </w:rPr>
            </w:pPr>
            <w:r>
              <w:rPr>
                <w:rFonts w:ascii="Arial" w:cs="Arial" w:eastAsia="Arial" w:hAnsi="Arial"/>
                <w:sz w:val="13"/>
                <w:szCs w:val="13"/>
                <w:color w:val="auto"/>
              </w:rPr>
              <w:t>100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Hayden Avenue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55,924</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92 Hayden Avenue</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31,100</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ind w:left="46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27</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4,638,140</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74.8 %</w:t>
            </w:r>
          </w:p>
        </w:tc>
        <w:tc>
          <w:tcPr>
            <w:tcW w:w="24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NEW YORK</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510</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234,160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72.4 %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74.9 %</w:t>
            </w:r>
          </w:p>
        </w:tc>
        <w:tc>
          <w:tcPr>
            <w:tcW w:w="24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206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161,763</w:t>
            </w: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210</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159,468</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66.3 %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ind w:left="240"/>
              <w:spacing w:after="0"/>
              <w:rPr>
                <w:sz w:val="20"/>
                <w:szCs w:val="20"/>
                <w:color w:val="auto"/>
              </w:rPr>
            </w:pPr>
            <w:r>
              <w:rPr>
                <w:rFonts w:ascii="Arial" w:cs="Arial" w:eastAsia="Arial" w:hAnsi="Arial"/>
                <w:sz w:val="13"/>
                <w:szCs w:val="13"/>
                <w:color w:val="auto"/>
              </w:rPr>
              <w:t>212</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148,942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67.8 %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72.4 %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214</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146,799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62.8 %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62.8 %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240"/>
              <w:spacing w:after="0"/>
              <w:rPr>
                <w:sz w:val="20"/>
                <w:szCs w:val="20"/>
                <w:color w:val="auto"/>
              </w:rPr>
            </w:pPr>
            <w:r>
              <w:rPr>
                <w:rFonts w:ascii="Arial" w:cs="Arial" w:eastAsia="Arial" w:hAnsi="Arial"/>
                <w:sz w:val="13"/>
                <w:szCs w:val="13"/>
                <w:color w:val="auto"/>
              </w:rPr>
              <w:t>506</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139,050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95.1 %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95.1 %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20"/>
          </w:cols>
          <w:pgMar w:left="340" w:top="265" w:right="339" w:bottom="1440" w:gutter="0" w:footer="0" w:header="0"/>
        </w:sectPr>
      </w:pPr>
    </w:p>
    <w:bookmarkStart w:id="31" w:name="page32"/>
    <w:bookmarkEnd w:id="31"/>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-61595</wp:posOffset>
            </wp:positionV>
            <wp:extent cx="25717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32385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as of September 30, 2025</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Annualized Rental</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Sub Market</w:t>
            </w:r>
          </w:p>
        </w:tc>
        <w:tc>
          <w:tcPr>
            <w:tcW w:w="920" w:type="dxa"/>
            <w:vAlign w:val="bottom"/>
            <w:gridSpan w:val="2"/>
            <w:vMerge w:val="continue"/>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Square Feet</w:t>
            </w:r>
          </w:p>
        </w:tc>
        <w:tc>
          <w:tcPr>
            <w:tcW w:w="132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11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Buildings</w:t>
            </w:r>
          </w:p>
        </w:tc>
        <w:tc>
          <w:tcPr>
            <w:tcW w:w="9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20"/>
                <w:szCs w:val="20"/>
                <w:color w:val="auto"/>
              </w:rPr>
            </w:pPr>
            <w:r>
              <w:rPr>
                <w:rFonts w:ascii="Arial" w:cs="Arial" w:eastAsia="Arial" w:hAnsi="Arial"/>
                <w:sz w:val="13"/>
                <w:szCs w:val="13"/>
                <w:color w:val="auto"/>
              </w:rPr>
              <w:t>508 Carnegie Center</w:t>
            </w:r>
          </w:p>
        </w:tc>
        <w:tc>
          <w:tcPr>
            <w:tcW w:w="18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Princeton NJ</w:t>
            </w:r>
          </w:p>
        </w:tc>
        <w:tc>
          <w:tcPr>
            <w:tcW w:w="140" w:type="dxa"/>
            <w:vAlign w:val="bottom"/>
          </w:tcPr>
          <w:p>
            <w:pPr>
              <w:spacing w:after="0"/>
              <w:rPr>
                <w:sz w:val="13"/>
                <w:szCs w:val="13"/>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134,433</w:t>
            </w: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43.84</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3"/>
                <w:szCs w:val="13"/>
                <w:color w:val="auto"/>
              </w:rPr>
              <w:t>202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134,068</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73.7 %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73.7 %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40.89</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Arial" w:cs="Arial" w:eastAsia="Arial" w:hAnsi="Arial"/>
                <w:sz w:val="13"/>
                <w:szCs w:val="13"/>
                <w:color w:val="auto"/>
              </w:rPr>
              <w:t>804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130,000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42.13</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3"/>
                <w:szCs w:val="13"/>
                <w:color w:val="auto"/>
              </w:rPr>
              <w:t>101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122,791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99.5 %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40.25</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Arial" w:cs="Arial" w:eastAsia="Arial" w:hAnsi="Arial"/>
                <w:sz w:val="13"/>
                <w:szCs w:val="13"/>
                <w:color w:val="auto"/>
              </w:rPr>
              <w:t>504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121,990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36.83</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3"/>
                <w:szCs w:val="13"/>
                <w:color w:val="auto"/>
              </w:rPr>
              <w:t>502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121,460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94.8 %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94.8 %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39.47</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Arial" w:cs="Arial" w:eastAsia="Arial" w:hAnsi="Arial"/>
                <w:sz w:val="13"/>
                <w:szCs w:val="13"/>
                <w:color w:val="auto"/>
              </w:rPr>
              <w:t>701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120,000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34.78</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Arial" w:cs="Arial" w:eastAsia="Arial" w:hAnsi="Arial"/>
                <w:sz w:val="13"/>
                <w:szCs w:val="13"/>
                <w:color w:val="auto"/>
              </w:rPr>
              <w:t>104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101,969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69.6 %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73.4 %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38.38</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3"/>
                <w:szCs w:val="13"/>
                <w:color w:val="auto"/>
              </w:rPr>
              <w:t>103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96,322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69.1 %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69.1 %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37.51</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Arial" w:cs="Arial" w:eastAsia="Arial" w:hAnsi="Arial"/>
                <w:sz w:val="13"/>
                <w:szCs w:val="13"/>
                <w:color w:val="auto"/>
              </w:rPr>
              <w:t>302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64,926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36.50</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3"/>
                <w:szCs w:val="13"/>
                <w:color w:val="auto"/>
              </w:rPr>
              <w:t>211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47,025</w:t>
            </w: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Arial" w:cs="Arial" w:eastAsia="Arial" w:hAnsi="Arial"/>
                <w:sz w:val="13"/>
                <w:szCs w:val="13"/>
                <w:color w:val="auto"/>
              </w:rPr>
              <w:t>201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color w:val="auto"/>
                <w:w w:val="9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6,500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34.09</w:t>
            </w:r>
          </w:p>
        </w:tc>
        <w:tc>
          <w:tcPr>
            <w:tcW w:w="0" w:type="dxa"/>
            <w:vAlign w:val="bottom"/>
          </w:tcPr>
          <w:p>
            <w:pPr>
              <w:spacing w:after="0"/>
              <w:rPr>
                <w:sz w:val="1"/>
                <w:szCs w:val="1"/>
                <w:color w:val="auto"/>
              </w:rPr>
            </w:pPr>
          </w:p>
        </w:tc>
      </w:tr>
      <w:tr>
        <w:trPr>
          <w:trHeight w:val="171"/>
        </w:trPr>
        <w:tc>
          <w:tcPr>
            <w:tcW w:w="3280" w:type="dxa"/>
            <w:vAlign w:val="bottom"/>
          </w:tcPr>
          <w:p>
            <w:pPr>
              <w:ind w:left="340"/>
              <w:spacing w:after="0"/>
              <w:rPr>
                <w:sz w:val="20"/>
                <w:szCs w:val="20"/>
                <w:color w:val="auto"/>
              </w:rPr>
            </w:pPr>
            <w:r>
              <w:rPr>
                <w:rFonts w:ascii="Arial" w:cs="Arial" w:eastAsia="Arial" w:hAnsi="Arial"/>
                <w:sz w:val="13"/>
                <w:szCs w:val="13"/>
                <w:color w:val="auto"/>
              </w:rPr>
              <w:t>Subtotal</w:t>
            </w: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17</w:t>
            </w:r>
          </w:p>
        </w:tc>
        <w:tc>
          <w:tcPr>
            <w:tcW w:w="1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2,191,666</w:t>
            </w:r>
          </w:p>
        </w:tc>
        <w:tc>
          <w:tcPr>
            <w:tcW w:w="1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72.6 %</w:t>
            </w:r>
          </w:p>
        </w:tc>
        <w:tc>
          <w:tcPr>
            <w:tcW w:w="2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76.2 %</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39.38</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SAN FRANCISCO</w:t>
      </w:r>
    </w:p>
    <w:p>
      <w:pPr>
        <w:spacing w:after="0" w:line="44" w:lineRule="exact"/>
        <w:rPr>
          <w:sz w:val="20"/>
          <w:szCs w:val="20"/>
          <w:color w:val="auto"/>
        </w:rPr>
      </w:pPr>
    </w:p>
    <w:tbl>
      <w:tblPr>
        <w:tblLayout w:type="fixed"/>
        <w:tblInd w:w="220" w:type="dxa"/>
        <w:tblCellMar>
          <w:top w:w="0" w:type="dxa"/>
          <w:left w:w="0" w:type="dxa"/>
          <w:bottom w:w="0" w:type="dxa"/>
          <w:right w:w="0" w:type="dxa"/>
        </w:tblCellMar>
      </w:tblPr>
      <w:tr>
        <w:trPr>
          <w:trHeight w:val="166"/>
        </w:trPr>
        <w:tc>
          <w:tcPr>
            <w:tcW w:w="2920" w:type="dxa"/>
            <w:vAlign w:val="bottom"/>
          </w:tcPr>
          <w:p>
            <w:pPr>
              <w:spacing w:after="0"/>
              <w:rPr>
                <w:sz w:val="20"/>
                <w:szCs w:val="20"/>
                <w:color w:val="auto"/>
              </w:rPr>
            </w:pPr>
            <w:r>
              <w:rPr>
                <w:rFonts w:ascii="Arial" w:cs="Arial" w:eastAsia="Arial" w:hAnsi="Arial"/>
                <w:sz w:val="13"/>
                <w:szCs w:val="13"/>
                <w:color w:val="auto"/>
              </w:rPr>
              <w:t>Office</w:t>
            </w:r>
          </w:p>
        </w:tc>
        <w:tc>
          <w:tcPr>
            <w:tcW w:w="2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120"/>
              <w:spacing w:after="0"/>
              <w:rPr>
                <w:sz w:val="20"/>
                <w:szCs w:val="20"/>
                <w:color w:val="auto"/>
              </w:rPr>
            </w:pPr>
            <w:r>
              <w:rPr>
                <w:rFonts w:ascii="Arial" w:cs="Arial" w:eastAsia="Arial" w:hAnsi="Arial"/>
                <w:sz w:val="13"/>
                <w:szCs w:val="13"/>
                <w:color w:val="auto"/>
              </w:rPr>
              <w:t xml:space="preserve">Gateway Commons (50% ownership) </w:t>
            </w:r>
            <w:r>
              <w:rPr>
                <w:rFonts w:ascii="Arial" w:cs="Arial" w:eastAsia="Arial" w:hAnsi="Arial"/>
                <w:sz w:val="16"/>
                <w:szCs w:val="16"/>
                <w:color w:val="auto"/>
                <w:vertAlign w:val="superscript"/>
              </w:rPr>
              <w:t>4, 13</w:t>
            </w:r>
          </w:p>
        </w:tc>
        <w:tc>
          <w:tcPr>
            <w:tcW w:w="2460" w:type="dxa"/>
            <w:vAlign w:val="bottom"/>
          </w:tcPr>
          <w:p>
            <w:pPr>
              <w:ind w:left="480"/>
              <w:spacing w:after="0"/>
              <w:rPr>
                <w:sz w:val="20"/>
                <w:szCs w:val="20"/>
                <w:color w:val="auto"/>
              </w:rPr>
            </w:pPr>
            <w:r>
              <w:rPr>
                <w:rFonts w:ascii="Arial" w:cs="Arial" w:eastAsia="Arial" w:hAnsi="Arial"/>
                <w:sz w:val="13"/>
                <w:szCs w:val="13"/>
                <w:color w:val="auto"/>
              </w:rPr>
              <w:t>South San Francisco CA</w:t>
            </w:r>
          </w:p>
        </w:tc>
        <w:tc>
          <w:tcPr>
            <w:tcW w:w="760" w:type="dxa"/>
            <w:vAlign w:val="bottom"/>
          </w:tcPr>
          <w:p>
            <w:pPr>
              <w:jc w:val="center"/>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792,737</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72.2 %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72.2 %</w:t>
            </w:r>
          </w:p>
        </w:tc>
        <w:tc>
          <w:tcPr>
            <w:tcW w:w="240" w:type="dxa"/>
            <w:vAlign w:val="bottom"/>
          </w:tcPr>
          <w:p>
            <w:pPr>
              <w:spacing w:after="0"/>
              <w:rPr>
                <w:sz w:val="16"/>
                <w:szCs w:val="16"/>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73.49</w:t>
            </w:r>
          </w:p>
        </w:tc>
      </w:tr>
      <w:tr>
        <w:trPr>
          <w:trHeight w:val="176"/>
        </w:trPr>
        <w:tc>
          <w:tcPr>
            <w:tcW w:w="292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751 Gateway (49% ownership) </w:t>
            </w:r>
            <w:r>
              <w:rPr>
                <w:rFonts w:ascii="Arial" w:cs="Arial" w:eastAsia="Arial" w:hAnsi="Arial"/>
                <w:sz w:val="16"/>
                <w:szCs w:val="16"/>
                <w:color w:val="auto"/>
                <w:vertAlign w:val="superscript"/>
              </w:rPr>
              <w:t>4, 6</w:t>
            </w:r>
          </w:p>
        </w:tc>
        <w:tc>
          <w:tcPr>
            <w:tcW w:w="2460" w:type="dxa"/>
            <w:vAlign w:val="bottom"/>
          </w:tcPr>
          <w:p>
            <w:pPr>
              <w:ind w:left="480"/>
              <w:spacing w:after="0"/>
              <w:rPr>
                <w:sz w:val="20"/>
                <w:szCs w:val="20"/>
                <w:color w:val="auto"/>
              </w:rPr>
            </w:pPr>
            <w:r>
              <w:rPr>
                <w:rFonts w:ascii="Arial" w:cs="Arial" w:eastAsia="Arial" w:hAnsi="Arial"/>
                <w:sz w:val="13"/>
                <w:szCs w:val="13"/>
                <w:color w:val="auto"/>
              </w:rPr>
              <w:t>South San Francisco CA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230,592</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116.11</w:t>
            </w:r>
          </w:p>
        </w:tc>
      </w:tr>
      <w:tr>
        <w:trPr>
          <w:trHeight w:val="175"/>
        </w:trPr>
        <w:tc>
          <w:tcPr>
            <w:tcW w:w="292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Mountain View Research Park </w:t>
            </w:r>
            <w:r>
              <w:rPr>
                <w:rFonts w:ascii="Arial" w:cs="Arial" w:eastAsia="Arial" w:hAnsi="Arial"/>
                <w:sz w:val="16"/>
                <w:szCs w:val="16"/>
                <w:color w:val="auto"/>
                <w:vertAlign w:val="superscript"/>
              </w:rPr>
              <w:t>14</w:t>
            </w:r>
          </w:p>
        </w:tc>
        <w:tc>
          <w:tcPr>
            <w:tcW w:w="2460" w:type="dxa"/>
            <w:vAlign w:val="bottom"/>
          </w:tcPr>
          <w:p>
            <w:pPr>
              <w:ind w:left="480"/>
              <w:spacing w:after="0"/>
              <w:rPr>
                <w:sz w:val="20"/>
                <w:szCs w:val="20"/>
                <w:color w:val="auto"/>
              </w:rPr>
            </w:pPr>
            <w:r>
              <w:rPr>
                <w:rFonts w:ascii="Arial" w:cs="Arial" w:eastAsia="Arial" w:hAnsi="Arial"/>
                <w:sz w:val="13"/>
                <w:szCs w:val="13"/>
                <w:color w:val="auto"/>
              </w:rPr>
              <w:t>Mountain View CA</w:t>
            </w: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16</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571,884</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59.0 %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62.7 %</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64.32</w:t>
            </w:r>
          </w:p>
        </w:tc>
      </w:tr>
      <w:tr>
        <w:trPr>
          <w:trHeight w:val="166"/>
        </w:trPr>
        <w:tc>
          <w:tcPr>
            <w:tcW w:w="2920" w:type="dxa"/>
            <w:vAlign w:val="bottom"/>
          </w:tcPr>
          <w:p>
            <w:pPr>
              <w:ind w:left="120"/>
              <w:spacing w:after="0"/>
              <w:rPr>
                <w:sz w:val="20"/>
                <w:szCs w:val="20"/>
                <w:color w:val="auto"/>
              </w:rPr>
            </w:pPr>
            <w:r>
              <w:rPr>
                <w:rFonts w:ascii="Arial" w:cs="Arial" w:eastAsia="Arial" w:hAnsi="Arial"/>
                <w:sz w:val="13"/>
                <w:szCs w:val="13"/>
                <w:color w:val="auto"/>
              </w:rPr>
              <w:t>2440 West El Camino Real</w:t>
            </w:r>
          </w:p>
        </w:tc>
        <w:tc>
          <w:tcPr>
            <w:tcW w:w="2460" w:type="dxa"/>
            <w:vAlign w:val="bottom"/>
          </w:tcPr>
          <w:p>
            <w:pPr>
              <w:ind w:left="480"/>
              <w:spacing w:after="0"/>
              <w:rPr>
                <w:sz w:val="20"/>
                <w:szCs w:val="20"/>
                <w:color w:val="auto"/>
              </w:rPr>
            </w:pPr>
            <w:r>
              <w:rPr>
                <w:rFonts w:ascii="Arial" w:cs="Arial" w:eastAsia="Arial" w:hAnsi="Arial"/>
                <w:sz w:val="13"/>
                <w:szCs w:val="13"/>
                <w:color w:val="auto"/>
              </w:rPr>
              <w:t>Mountain View CA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142,711</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57.8 %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57.8 %</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95.39</w:t>
            </w:r>
          </w:p>
        </w:tc>
      </w:tr>
      <w:tr>
        <w:trPr>
          <w:trHeight w:val="183"/>
        </w:trPr>
        <w:tc>
          <w:tcPr>
            <w:tcW w:w="2920" w:type="dxa"/>
            <w:vAlign w:val="bottom"/>
          </w:tcPr>
          <w:p>
            <w:pPr>
              <w:ind w:left="120"/>
              <w:spacing w:after="0"/>
              <w:rPr>
                <w:sz w:val="20"/>
                <w:szCs w:val="20"/>
                <w:color w:val="auto"/>
              </w:rPr>
            </w:pPr>
            <w:r>
              <w:rPr>
                <w:rFonts w:ascii="Arial" w:cs="Arial" w:eastAsia="Arial" w:hAnsi="Arial"/>
                <w:sz w:val="13"/>
                <w:szCs w:val="13"/>
                <w:color w:val="auto"/>
              </w:rPr>
              <w:t>North First Business Park</w:t>
            </w:r>
          </w:p>
        </w:tc>
        <w:tc>
          <w:tcPr>
            <w:tcW w:w="2460" w:type="dxa"/>
            <w:vAlign w:val="bottom"/>
          </w:tcPr>
          <w:p>
            <w:pPr>
              <w:ind w:left="480"/>
              <w:spacing w:after="0"/>
              <w:rPr>
                <w:sz w:val="20"/>
                <w:szCs w:val="20"/>
                <w:color w:val="auto"/>
              </w:rPr>
            </w:pPr>
            <w:r>
              <w:rPr>
                <w:rFonts w:ascii="Arial" w:cs="Arial" w:eastAsia="Arial" w:hAnsi="Arial"/>
                <w:sz w:val="13"/>
                <w:szCs w:val="13"/>
                <w:color w:val="auto"/>
              </w:rPr>
              <w:t>San Jose CA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191,033</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58.4 %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58.4 %</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30.15</w:t>
            </w:r>
          </w:p>
        </w:tc>
      </w:tr>
      <w:tr>
        <w:trPr>
          <w:trHeight w:val="171"/>
        </w:trPr>
        <w:tc>
          <w:tcPr>
            <w:tcW w:w="292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4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1,928,957</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69.2 %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70.3 %</w:t>
            </w:r>
          </w:p>
        </w:tc>
        <w:tc>
          <w:tcPr>
            <w:tcW w:w="240" w:type="dxa"/>
            <w:vAlign w:val="bottom"/>
          </w:tcPr>
          <w:p>
            <w:pPr>
              <w:spacing w:after="0"/>
              <w:rPr>
                <w:sz w:val="14"/>
                <w:szCs w:val="14"/>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76.29</w:t>
            </w:r>
          </w:p>
        </w:tc>
      </w:tr>
    </w:tbl>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WASHINGTON, DC</w:t>
      </w:r>
    </w:p>
    <w:p>
      <w:pPr>
        <w:spacing w:after="0" w:line="44" w:lineRule="exact"/>
        <w:rPr>
          <w:sz w:val="20"/>
          <w:szCs w:val="20"/>
          <w:color w:val="auto"/>
        </w:rPr>
      </w:pPr>
    </w:p>
    <w:tbl>
      <w:tblPr>
        <w:tblLayout w:type="fixed"/>
        <w:tblInd w:w="220" w:type="dxa"/>
        <w:tblCellMar>
          <w:top w:w="0" w:type="dxa"/>
          <w:left w:w="0" w:type="dxa"/>
          <w:bottom w:w="0" w:type="dxa"/>
          <w:right w:w="0" w:type="dxa"/>
        </w:tblCellMar>
      </w:tblPr>
      <w:tr>
        <w:trPr>
          <w:trHeight w:val="166"/>
        </w:trPr>
        <w:tc>
          <w:tcPr>
            <w:tcW w:w="3000" w:type="dxa"/>
            <w:vAlign w:val="bottom"/>
          </w:tcPr>
          <w:p>
            <w:pPr>
              <w:spacing w:after="0"/>
              <w:rPr>
                <w:sz w:val="20"/>
                <w:szCs w:val="20"/>
                <w:color w:val="auto"/>
              </w:rPr>
            </w:pPr>
            <w:r>
              <w:rPr>
                <w:rFonts w:ascii="Arial" w:cs="Arial" w:eastAsia="Arial" w:hAnsi="Arial"/>
                <w:sz w:val="13"/>
                <w:szCs w:val="13"/>
                <w:color w:val="auto"/>
              </w:rPr>
              <w:t>Office</w:t>
            </w:r>
          </w:p>
        </w:tc>
        <w:tc>
          <w:tcPr>
            <w:tcW w:w="2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20"/>
              <w:spacing w:after="0"/>
              <w:rPr>
                <w:sz w:val="20"/>
                <w:szCs w:val="20"/>
                <w:color w:val="auto"/>
              </w:rPr>
            </w:pPr>
            <w:r>
              <w:rPr>
                <w:rFonts w:ascii="Arial" w:cs="Arial" w:eastAsia="Arial" w:hAnsi="Arial"/>
                <w:sz w:val="13"/>
                <w:szCs w:val="13"/>
                <w:color w:val="auto"/>
              </w:rPr>
              <w:t>Kingstowne Two</w:t>
            </w:r>
          </w:p>
        </w:tc>
        <w:tc>
          <w:tcPr>
            <w:tcW w:w="2380" w:type="dxa"/>
            <w:vAlign w:val="bottom"/>
          </w:tcPr>
          <w:p>
            <w:pPr>
              <w:ind w:left="400"/>
              <w:spacing w:after="0"/>
              <w:rPr>
                <w:sz w:val="20"/>
                <w:szCs w:val="20"/>
                <w:color w:val="auto"/>
              </w:rPr>
            </w:pPr>
            <w:r>
              <w:rPr>
                <w:rFonts w:ascii="Arial" w:cs="Arial" w:eastAsia="Arial" w:hAnsi="Arial"/>
                <w:sz w:val="13"/>
                <w:szCs w:val="13"/>
                <w:color w:val="auto"/>
              </w:rPr>
              <w:t>Springfield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156,540</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50.7 %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67.8 %</w:t>
            </w:r>
          </w:p>
        </w:tc>
        <w:tc>
          <w:tcPr>
            <w:tcW w:w="240" w:type="dxa"/>
            <w:vAlign w:val="bottom"/>
          </w:tcPr>
          <w:p>
            <w:pPr>
              <w:spacing w:after="0"/>
              <w:rPr>
                <w:sz w:val="15"/>
                <w:szCs w:val="15"/>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00" w:type="dxa"/>
            <w:vAlign w:val="bottom"/>
          </w:tcPr>
          <w:p>
            <w:pPr>
              <w:ind w:left="120"/>
              <w:spacing w:after="0"/>
              <w:rPr>
                <w:sz w:val="20"/>
                <w:szCs w:val="20"/>
                <w:color w:val="auto"/>
              </w:rPr>
            </w:pPr>
            <w:r>
              <w:rPr>
                <w:rFonts w:ascii="Arial" w:cs="Arial" w:eastAsia="Arial" w:hAnsi="Arial"/>
                <w:sz w:val="13"/>
                <w:szCs w:val="13"/>
                <w:color w:val="auto"/>
              </w:rPr>
              <w:t xml:space="preserve">Kingstowne Retail </w:t>
            </w:r>
            <w:r>
              <w:rPr>
                <w:rFonts w:ascii="Arial" w:cs="Arial" w:eastAsia="Arial" w:hAnsi="Arial"/>
                <w:sz w:val="16"/>
                <w:szCs w:val="16"/>
                <w:color w:val="auto"/>
                <w:vertAlign w:val="superscript"/>
              </w:rPr>
              <w:t>5</w:t>
            </w:r>
          </w:p>
        </w:tc>
        <w:tc>
          <w:tcPr>
            <w:tcW w:w="2380" w:type="dxa"/>
            <w:vAlign w:val="bottom"/>
          </w:tcPr>
          <w:p>
            <w:pPr>
              <w:ind w:left="400"/>
              <w:spacing w:after="0"/>
              <w:rPr>
                <w:sz w:val="20"/>
                <w:szCs w:val="20"/>
                <w:color w:val="auto"/>
              </w:rPr>
            </w:pPr>
            <w:r>
              <w:rPr>
                <w:rFonts w:ascii="Arial" w:cs="Arial" w:eastAsia="Arial" w:hAnsi="Arial"/>
                <w:sz w:val="13"/>
                <w:szCs w:val="13"/>
                <w:color w:val="auto"/>
              </w:rPr>
              <w:t>Springfield VA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88,288</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0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3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244,828</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68.5 %</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79.4 %</w:t>
            </w:r>
          </w:p>
        </w:tc>
        <w:tc>
          <w:tcPr>
            <w:tcW w:w="240" w:type="dxa"/>
            <w:vAlign w:val="bottom"/>
          </w:tcPr>
          <w:p>
            <w:pPr>
              <w:spacing w:after="0"/>
              <w:rPr>
                <w:sz w:val="14"/>
                <w:szCs w:val="14"/>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4"/>
                <w:szCs w:val="24"/>
                <w:color w:val="auto"/>
              </w:rPr>
            </w:pPr>
          </w:p>
        </w:tc>
        <w:tc>
          <w:tcPr>
            <w:tcW w:w="2380" w:type="dxa"/>
            <w:vAlign w:val="bottom"/>
          </w:tcPr>
          <w:p>
            <w:pPr>
              <w:ind w:left="400"/>
              <w:spacing w:after="0"/>
              <w:rPr>
                <w:sz w:val="20"/>
                <w:szCs w:val="20"/>
                <w:color w:val="auto"/>
              </w:rPr>
            </w:pPr>
            <w:r>
              <w:rPr>
                <w:rFonts w:ascii="Arial" w:cs="Arial" w:eastAsia="Arial" w:hAnsi="Arial"/>
                <w:sz w:val="14"/>
                <w:szCs w:val="14"/>
                <w:b w:val="1"/>
                <w:bCs w:val="1"/>
                <w:i w:val="1"/>
                <w:iCs w:val="1"/>
                <w:color w:val="auto"/>
              </w:rPr>
              <w:t>Suburban Total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74</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9,003,591</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71.2 %</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74.3 %</w:t>
            </w:r>
          </w:p>
        </w:tc>
        <w:tc>
          <w:tcPr>
            <w:tcW w:w="240" w:type="dxa"/>
            <w:vAlign w:val="bottom"/>
          </w:tcPr>
          <w:p>
            <w:pPr>
              <w:spacing w:after="0"/>
              <w:rPr>
                <w:sz w:val="24"/>
                <w:szCs w:val="24"/>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58.06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2380" w:type="dxa"/>
            <w:vAlign w:val="bottom"/>
            <w:vMerge w:val="restart"/>
          </w:tcPr>
          <w:p>
            <w:pPr>
              <w:ind w:left="400"/>
              <w:spacing w:after="0"/>
              <w:rPr>
                <w:sz w:val="20"/>
                <w:szCs w:val="20"/>
                <w:color w:val="auto"/>
              </w:rPr>
            </w:pPr>
            <w:r>
              <w:rPr>
                <w:rFonts w:ascii="Arial" w:cs="Arial" w:eastAsia="Arial" w:hAnsi="Arial"/>
                <w:sz w:val="14"/>
                <w:szCs w:val="14"/>
                <w:b w:val="1"/>
                <w:bCs w:val="1"/>
                <w:i w:val="1"/>
                <w:iCs w:val="1"/>
                <w:color w:val="auto"/>
              </w:rPr>
              <w:t>BXP’s Share of Suburban</w:t>
            </w: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30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70.6 %</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73.8 %</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0" w:type="dxa"/>
            <w:vAlign w:val="bottom"/>
          </w:tcPr>
          <w:p>
            <w:pPr>
              <w:ind w:left="120"/>
              <w:spacing w:after="0"/>
              <w:rPr>
                <w:sz w:val="20"/>
                <w:szCs w:val="20"/>
                <w:color w:val="auto"/>
              </w:rPr>
            </w:pPr>
            <w:r>
              <w:rPr>
                <w:rFonts w:ascii="Arial" w:cs="Arial" w:eastAsia="Arial" w:hAnsi="Arial"/>
                <w:sz w:val="13"/>
                <w:szCs w:val="13"/>
                <w:color w:val="auto"/>
              </w:rPr>
              <w:t>Total In-Service Properties:</w:t>
            </w:r>
          </w:p>
        </w:tc>
        <w:tc>
          <w:tcPr>
            <w:tcW w:w="238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179</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51,091,096</w:t>
            </w:r>
          </w:p>
        </w:tc>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86.0 % </w:t>
            </w:r>
            <w:r>
              <w:rPr>
                <w:rFonts w:ascii="Arial" w:cs="Arial" w:eastAsia="Arial" w:hAnsi="Arial"/>
                <w:sz w:val="8"/>
                <w:szCs w:val="8"/>
                <w:color w:val="auto"/>
              </w:rPr>
              <w:t>9</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88.8 % </w:t>
            </w:r>
            <w:r>
              <w:rPr>
                <w:rFonts w:ascii="Arial" w:cs="Arial" w:eastAsia="Arial" w:hAnsi="Arial"/>
                <w:sz w:val="8"/>
                <w:szCs w:val="8"/>
                <w:color w:val="auto"/>
              </w:rPr>
              <w:t>9</w:t>
            </w: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83.04</w:t>
            </w:r>
          </w:p>
        </w:tc>
        <w:tc>
          <w:tcPr>
            <w:tcW w:w="80" w:type="dxa"/>
            <w:vAlign w:val="bottom"/>
          </w:tcPr>
          <w:p>
            <w:pPr>
              <w:jc w:val="right"/>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3000" w:type="dxa"/>
            <w:vAlign w:val="bottom"/>
          </w:tcPr>
          <w:p>
            <w:pPr>
              <w:ind w:left="120"/>
              <w:spacing w:after="0"/>
              <w:rPr>
                <w:sz w:val="20"/>
                <w:szCs w:val="20"/>
                <w:color w:val="auto"/>
              </w:rPr>
            </w:pPr>
            <w:r>
              <w:rPr>
                <w:rFonts w:ascii="Arial" w:cs="Arial" w:eastAsia="Arial" w:hAnsi="Arial"/>
                <w:sz w:val="13"/>
                <w:szCs w:val="13"/>
                <w:color w:val="auto"/>
              </w:rPr>
              <w:t xml:space="preserve">BXP’s Share of Total In-Service Properties: </w:t>
            </w:r>
            <w:r>
              <w:rPr>
                <w:rFonts w:ascii="Arial" w:cs="Arial" w:eastAsia="Arial" w:hAnsi="Arial"/>
                <w:sz w:val="16"/>
                <w:szCs w:val="16"/>
                <w:color w:val="auto"/>
                <w:vertAlign w:val="superscript"/>
              </w:rPr>
              <w:t>3</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86.1 % </w:t>
            </w:r>
            <w:r>
              <w:rPr>
                <w:rFonts w:ascii="Arial" w:cs="Arial" w:eastAsia="Arial" w:hAnsi="Arial"/>
                <w:sz w:val="8"/>
                <w:szCs w:val="8"/>
                <w:color w:val="auto"/>
              </w:rPr>
              <w:t>9</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88.6 % </w:t>
            </w:r>
            <w:r>
              <w:rPr>
                <w:rFonts w:ascii="Arial" w:cs="Arial" w:eastAsia="Arial" w:hAnsi="Arial"/>
                <w:sz w:val="8"/>
                <w:szCs w:val="8"/>
                <w:color w:val="auto"/>
              </w:rPr>
              <w:t>9</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left="80"/>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240" w:hanging="71"/>
        <w:spacing w:after="0"/>
        <w:tabs>
          <w:tab w:leader="none" w:pos="240"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w:t>
      </w:r>
    </w:p>
    <w:p>
      <w:pPr>
        <w:spacing w:after="0" w:line="18" w:lineRule="exact"/>
        <w:rPr>
          <w:sz w:val="20"/>
          <w:szCs w:val="20"/>
          <w:color w:val="auto"/>
        </w:rPr>
      </w:pPr>
    </w:p>
    <w:p>
      <w:pPr>
        <w:ind w:left="260" w:right="240" w:hanging="91"/>
        <w:spacing w:after="0" w:line="227" w:lineRule="auto"/>
        <w:tabs>
          <w:tab w:leader="none" w:pos="258"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 and signed leases for vacant space with future commencement dates. For additional detail, see pages 38-54.</w:t>
      </w:r>
    </w:p>
    <w:p>
      <w:pPr>
        <w:spacing w:after="0" w:line="14" w:lineRule="exact"/>
        <w:rPr>
          <w:sz w:val="20"/>
          <w:szCs w:val="20"/>
          <w:color w:val="auto"/>
        </w:rPr>
      </w:pPr>
    </w:p>
    <w:p>
      <w:pPr>
        <w:ind w:left="240" w:hanging="71"/>
        <w:spacing w:after="0"/>
        <w:tabs>
          <w:tab w:leader="none" w:pos="240" w:val="left"/>
        </w:tabs>
        <w:numPr>
          <w:ilvl w:val="0"/>
          <w:numId w:val="61"/>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pacing w:after="0" w:line="52" w:lineRule="exact"/>
        <w:rPr>
          <w:rFonts w:ascii="Arial" w:cs="Arial" w:eastAsia="Arial" w:hAnsi="Arial"/>
          <w:sz w:val="9"/>
          <w:szCs w:val="9"/>
          <w:color w:val="auto"/>
        </w:rPr>
      </w:pPr>
    </w:p>
    <w:p>
      <w:pPr>
        <w:ind w:left="160"/>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This is an unconsolidated joint venture property.</w:t>
      </w:r>
    </w:p>
    <w:p>
      <w:pPr>
        <w:spacing w:after="0" w:line="11" w:lineRule="exact"/>
        <w:rPr>
          <w:rFonts w:ascii="Arial" w:cs="Arial" w:eastAsia="Arial" w:hAnsi="Arial"/>
          <w:sz w:val="9"/>
          <w:szCs w:val="9"/>
          <w:color w:val="auto"/>
        </w:rPr>
      </w:pPr>
    </w:p>
    <w:p>
      <w:pPr>
        <w:ind w:left="160"/>
        <w:spacing w:after="0"/>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This is a retail property.</w:t>
      </w:r>
    </w:p>
    <w:p>
      <w:pPr>
        <w:spacing w:after="0" w:line="9" w:lineRule="exact"/>
        <w:rPr>
          <w:rFonts w:ascii="Arial" w:cs="Arial" w:eastAsia="Arial" w:hAnsi="Arial"/>
          <w:sz w:val="9"/>
          <w:szCs w:val="9"/>
          <w:color w:val="auto"/>
        </w:rPr>
      </w:pPr>
    </w:p>
    <w:p>
      <w:pPr>
        <w:ind w:left="160"/>
        <w:spacing w:after="0" w:line="234" w:lineRule="auto"/>
        <w:rPr>
          <w:rFonts w:ascii="Arial" w:cs="Arial" w:eastAsia="Arial" w:hAnsi="Arial"/>
          <w:sz w:val="9"/>
          <w:szCs w:val="9"/>
          <w:color w:val="auto"/>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Classified as a laboratory/life sciences property.</w:t>
      </w:r>
    </w:p>
    <w:p>
      <w:pPr>
        <w:ind w:left="160"/>
        <w:spacing w:after="0"/>
        <w:rPr>
          <w:rFonts w:ascii="Arial" w:cs="Arial" w:eastAsia="Arial" w:hAnsi="Arial"/>
          <w:sz w:val="9"/>
          <w:szCs w:val="9"/>
          <w:color w:val="auto"/>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Not included in the Same Property analysis.</w:t>
      </w:r>
    </w:p>
    <w:p>
      <w:pPr>
        <w:spacing w:after="0" w:line="9" w:lineRule="exact"/>
        <w:rPr>
          <w:rFonts w:ascii="Arial" w:cs="Arial" w:eastAsia="Arial" w:hAnsi="Arial"/>
          <w:sz w:val="9"/>
          <w:szCs w:val="9"/>
          <w:color w:val="auto"/>
        </w:rPr>
      </w:pPr>
    </w:p>
    <w:p>
      <w:pPr>
        <w:ind w:left="160"/>
        <w:spacing w:after="0" w:line="234" w:lineRule="auto"/>
        <w:rPr>
          <w:rFonts w:ascii="Arial" w:cs="Arial" w:eastAsia="Arial" w:hAnsi="Arial"/>
          <w:sz w:val="9"/>
          <w:szCs w:val="9"/>
          <w:color w:val="auto"/>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Property was fully placed in service during the third quarter of 2025.</w:t>
      </w:r>
    </w:p>
    <w:p>
      <w:pPr>
        <w:ind w:left="160"/>
        <w:spacing w:after="0" w:line="234" w:lineRule="auto"/>
        <w:rPr>
          <w:rFonts w:ascii="Arial" w:cs="Arial" w:eastAsia="Arial" w:hAnsi="Arial"/>
          <w:sz w:val="9"/>
          <w:szCs w:val="9"/>
          <w:color w:val="auto"/>
        </w:rPr>
      </w:pPr>
      <w:r>
        <w:rPr>
          <w:rFonts w:ascii="Arial" w:cs="Arial" w:eastAsia="Arial" w:hAnsi="Arial"/>
          <w:sz w:val="18"/>
          <w:szCs w:val="18"/>
          <w:color w:val="auto"/>
          <w:vertAlign w:val="superscript"/>
        </w:rPr>
        <w:t>9</w:t>
      </w:r>
      <w:r>
        <w:rPr>
          <w:rFonts w:ascii="Arial" w:cs="Arial" w:eastAsia="Arial" w:hAnsi="Arial"/>
          <w:sz w:val="14"/>
          <w:szCs w:val="14"/>
          <w:color w:val="auto"/>
        </w:rPr>
        <w:t xml:space="preserve"> Excludes hotel and residential properties. For additional detail, see page 20.</w:t>
      </w:r>
    </w:p>
    <w:p>
      <w:pPr>
        <w:spacing w:after="0" w:line="1" w:lineRule="exact"/>
        <w:rPr>
          <w:sz w:val="20"/>
          <w:szCs w:val="20"/>
          <w:color w:val="auto"/>
        </w:rPr>
      </w:pPr>
    </w:p>
    <w:p>
      <w:pPr>
        <w:ind w:left="160" w:hanging="153"/>
        <w:spacing w:after="0"/>
        <w:tabs>
          <w:tab w:leader="none" w:pos="160" w:val="left"/>
        </w:tabs>
        <w:numPr>
          <w:ilvl w:val="0"/>
          <w:numId w:val="62"/>
        </w:numPr>
        <w:rPr>
          <w:rFonts w:ascii="Arial" w:cs="Arial" w:eastAsia="Arial" w:hAnsi="Arial"/>
          <w:sz w:val="9"/>
          <w:szCs w:val="9"/>
          <w:color w:val="auto"/>
        </w:rPr>
      </w:pPr>
      <w:r>
        <w:rPr>
          <w:rFonts w:ascii="Arial" w:cs="Arial" w:eastAsia="Arial" w:hAnsi="Arial"/>
          <w:sz w:val="14"/>
          <w:szCs w:val="14"/>
          <w:color w:val="auto"/>
        </w:rPr>
        <w:t>Bay Colony Corporate Center includes 1050 Winter Street, an approximately 162,274 net rentable square feet redevelopment that was fully placed</w:t>
      </w:r>
    </w:p>
    <w:p>
      <w:pPr>
        <w:spacing w:after="0" w:line="322" w:lineRule="exact"/>
        <w:rPr>
          <w:sz w:val="20"/>
          <w:szCs w:val="20"/>
          <w:color w:val="auto"/>
        </w:rPr>
      </w:pPr>
    </w:p>
    <w:p>
      <w:pPr>
        <w:ind w:left="260" w:right="520"/>
        <w:spacing w:after="0" w:line="272" w:lineRule="auto"/>
        <w:rPr>
          <w:sz w:val="20"/>
          <w:szCs w:val="20"/>
          <w:color w:val="auto"/>
        </w:rPr>
      </w:pPr>
      <w:r>
        <w:rPr>
          <w:rFonts w:ascii="Arial" w:cs="Arial" w:eastAsia="Arial" w:hAnsi="Arial"/>
          <w:sz w:val="14"/>
          <w:szCs w:val="14"/>
          <w:color w:val="auto"/>
        </w:rPr>
        <w:t>in- service during the third quarter of 2025. 1050 Winter Street is not included in the Same Property analysis.</w:t>
      </w:r>
    </w:p>
    <w:p>
      <w:pPr>
        <w:spacing w:after="0" w:line="196" w:lineRule="exact"/>
        <w:rPr>
          <w:sz w:val="20"/>
          <w:szCs w:val="20"/>
          <w:color w:val="auto"/>
        </w:rPr>
      </w:pPr>
    </w:p>
    <w:p>
      <w:pPr>
        <w:ind w:left="220" w:hanging="132"/>
        <w:spacing w:after="0"/>
        <w:tabs>
          <w:tab w:leader="none" w:pos="220" w:val="left"/>
        </w:tabs>
        <w:numPr>
          <w:ilvl w:val="0"/>
          <w:numId w:val="63"/>
        </w:numPr>
        <w:rPr>
          <w:rFonts w:ascii="Arial" w:cs="Arial" w:eastAsia="Arial" w:hAnsi="Arial"/>
          <w:sz w:val="9"/>
          <w:szCs w:val="9"/>
          <w:color w:val="auto"/>
        </w:rPr>
      </w:pPr>
      <w:r>
        <w:rPr>
          <w:rFonts w:ascii="Arial" w:cs="Arial" w:eastAsia="Arial" w:hAnsi="Arial"/>
          <w:sz w:val="14"/>
          <w:szCs w:val="14"/>
          <w:color w:val="auto"/>
        </w:rPr>
        <w:t>During the first quarter of 2025, approximately 361,000 net rentable square feet was taken out of service to be held for future redevelopment.</w:t>
      </w:r>
    </w:p>
    <w:p>
      <w:pPr>
        <w:spacing w:after="0" w:line="49" w:lineRule="exact"/>
        <w:rPr>
          <w:rFonts w:ascii="Arial" w:cs="Arial" w:eastAsia="Arial" w:hAnsi="Arial"/>
          <w:sz w:val="9"/>
          <w:szCs w:val="9"/>
          <w:color w:val="auto"/>
        </w:rPr>
      </w:pPr>
    </w:p>
    <w:p>
      <w:pPr>
        <w:ind w:left="220" w:hanging="132"/>
        <w:spacing w:after="0"/>
        <w:tabs>
          <w:tab w:leader="none" w:pos="220" w:val="left"/>
        </w:tabs>
        <w:numPr>
          <w:ilvl w:val="0"/>
          <w:numId w:val="63"/>
        </w:numPr>
        <w:rPr>
          <w:rFonts w:ascii="Arial" w:cs="Arial" w:eastAsia="Arial" w:hAnsi="Arial"/>
          <w:sz w:val="17"/>
          <w:szCs w:val="17"/>
          <w:color w:val="auto"/>
          <w:vertAlign w:val="superscript"/>
        </w:rPr>
      </w:pPr>
      <w:r>
        <w:rPr>
          <w:rFonts w:ascii="Arial" w:cs="Arial" w:eastAsia="Arial" w:hAnsi="Arial"/>
          <w:sz w:val="13"/>
          <w:szCs w:val="13"/>
          <w:color w:val="auto"/>
        </w:rPr>
        <w:t>211 Second Avenue is classified as a laboratory/life sciences property.</w:t>
      </w:r>
    </w:p>
    <w:p>
      <w:pPr>
        <w:spacing w:after="0" w:line="26" w:lineRule="exact"/>
        <w:rPr>
          <w:rFonts w:ascii="Arial" w:cs="Arial" w:eastAsia="Arial" w:hAnsi="Arial"/>
          <w:sz w:val="17"/>
          <w:szCs w:val="17"/>
          <w:color w:val="auto"/>
          <w:vertAlign w:val="superscript"/>
        </w:rPr>
      </w:pPr>
    </w:p>
    <w:p>
      <w:pPr>
        <w:ind w:left="240" w:hanging="152"/>
        <w:spacing w:after="0"/>
        <w:tabs>
          <w:tab w:leader="none" w:pos="240" w:val="left"/>
        </w:tabs>
        <w:numPr>
          <w:ilvl w:val="0"/>
          <w:numId w:val="63"/>
        </w:numPr>
        <w:rPr>
          <w:rFonts w:ascii="Arial" w:cs="Arial" w:eastAsia="Arial" w:hAnsi="Arial"/>
          <w:sz w:val="9"/>
          <w:szCs w:val="9"/>
          <w:color w:val="auto"/>
        </w:rPr>
      </w:pPr>
      <w:r>
        <w:rPr>
          <w:rFonts w:ascii="Arial" w:cs="Arial" w:eastAsia="Arial" w:hAnsi="Arial"/>
          <w:sz w:val="14"/>
          <w:szCs w:val="14"/>
          <w:color w:val="auto"/>
        </w:rPr>
        <w:t>Includes 681 Gateway, which is a laboratory/life sciences property.</w:t>
      </w:r>
    </w:p>
    <w:p>
      <w:pPr>
        <w:spacing w:after="0" w:line="35" w:lineRule="exact"/>
        <w:rPr>
          <w:rFonts w:ascii="Arial" w:cs="Arial" w:eastAsia="Arial" w:hAnsi="Arial"/>
          <w:sz w:val="9"/>
          <w:szCs w:val="9"/>
          <w:color w:val="auto"/>
        </w:rPr>
      </w:pPr>
    </w:p>
    <w:p>
      <w:pPr>
        <w:ind w:left="220" w:hanging="132"/>
        <w:spacing w:after="0"/>
        <w:tabs>
          <w:tab w:leader="none" w:pos="220" w:val="left"/>
        </w:tabs>
        <w:numPr>
          <w:ilvl w:val="0"/>
          <w:numId w:val="63"/>
        </w:numPr>
        <w:rPr>
          <w:rFonts w:ascii="Arial" w:cs="Arial" w:eastAsia="Arial" w:hAnsi="Arial"/>
          <w:sz w:val="17"/>
          <w:szCs w:val="17"/>
          <w:color w:val="auto"/>
          <w:vertAlign w:val="superscript"/>
        </w:rPr>
      </w:pPr>
      <w:r>
        <w:rPr>
          <w:rFonts w:ascii="Arial" w:cs="Arial" w:eastAsia="Arial" w:hAnsi="Arial"/>
          <w:sz w:val="13"/>
          <w:szCs w:val="13"/>
          <w:color w:val="auto"/>
        </w:rPr>
        <w:t>Includes 453 Ravendale Drive.</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20"/>
          </w:cols>
          <w:pgMar w:left="240" w:top="26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Q3 2025</w:t>
            </w:r>
          </w:p>
        </w:tc>
      </w:tr>
      <w:tr>
        <w:trPr>
          <w:trHeight w:val="245"/>
        </w:trPr>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00497F"/>
              </w:rPr>
              <w:t>Top 20 clients listing and portfolio client diversification</w:t>
            </w:r>
          </w:p>
        </w:tc>
      </w:tr>
      <w:tr>
        <w:trPr>
          <w:trHeight w:val="599"/>
        </w:trPr>
        <w:tc>
          <w:tcPr>
            <w:tcW w:w="4580" w:type="dxa"/>
            <w:vAlign w:val="bottom"/>
            <w:gridSpan w:val="4"/>
          </w:tcPr>
          <w:p>
            <w:pPr>
              <w:spacing w:after="0"/>
              <w:rPr>
                <w:sz w:val="20"/>
                <w:szCs w:val="20"/>
                <w:color w:val="auto"/>
              </w:rPr>
            </w:pPr>
            <w:r>
              <w:rPr>
                <w:rFonts w:ascii="Arial" w:cs="Arial" w:eastAsia="Arial" w:hAnsi="Arial"/>
                <w:sz w:val="14"/>
                <w:szCs w:val="14"/>
                <w:color w:val="auto"/>
              </w:rPr>
              <w:t>as of September 30, 2025</w:t>
            </w: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8"/>
        </w:trPr>
        <w:tc>
          <w:tcPr>
            <w:tcW w:w="45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TOP 20 CLIENTS</w:t>
            </w: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3"/>
        </w:trPr>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gridSpan w:val="2"/>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560" w:type="dxa"/>
            <w:vAlign w:val="bottom"/>
          </w:tcPr>
          <w:p>
            <w:pPr>
              <w:spacing w:after="0"/>
              <w:rPr>
                <w:sz w:val="5"/>
                <w:szCs w:val="5"/>
                <w:color w:val="auto"/>
              </w:rPr>
            </w:pPr>
          </w:p>
        </w:tc>
      </w:tr>
      <w:tr>
        <w:trPr>
          <w:trHeight w:val="193"/>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BXP’s Share of Annualized Rental</w:t>
            </w:r>
          </w:p>
        </w:tc>
        <w:tc>
          <w:tcPr>
            <w:tcW w:w="3960" w:type="dxa"/>
            <w:vAlign w:val="bottom"/>
            <w:gridSpan w:val="2"/>
          </w:tcPr>
          <w:p>
            <w:pPr>
              <w:jc w:val="right"/>
              <w:ind w:right="1508"/>
              <w:spacing w:after="0"/>
              <w:rPr>
                <w:sz w:val="20"/>
                <w:szCs w:val="20"/>
                <w:color w:val="auto"/>
              </w:rPr>
            </w:pPr>
            <w:r>
              <w:rPr>
                <w:rFonts w:ascii="Arial" w:cs="Arial" w:eastAsia="Arial" w:hAnsi="Arial"/>
                <w:sz w:val="14"/>
                <w:szCs w:val="14"/>
                <w:b w:val="1"/>
                <w:bCs w:val="1"/>
                <w:color w:val="auto"/>
              </w:rPr>
              <w:t>Weighted Average Remaining</w:t>
            </w:r>
          </w:p>
        </w:tc>
      </w:tr>
      <w:tr>
        <w:trPr>
          <w:trHeight w:val="211"/>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8"/>
                <w:szCs w:val="18"/>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Client</w:t>
            </w:r>
          </w:p>
        </w:tc>
        <w:tc>
          <w:tcPr>
            <w:tcW w:w="240" w:type="dxa"/>
            <w:vAlign w:val="bottom"/>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Obligations </w:t>
            </w:r>
            <w:r>
              <w:rPr>
                <w:rFonts w:ascii="Arial" w:cs="Arial" w:eastAsia="Arial" w:hAnsi="Arial"/>
                <w:sz w:val="9"/>
                <w:szCs w:val="9"/>
                <w:b w:val="1"/>
                <w:bCs w:val="1"/>
                <w:color w:val="auto"/>
              </w:rPr>
              <w:t>1</w:t>
            </w:r>
          </w:p>
        </w:tc>
        <w:tc>
          <w:tcPr>
            <w:tcW w:w="240" w:type="dxa"/>
            <w:vAlign w:val="bottom"/>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Lease Term (years) </w:t>
            </w:r>
            <w:r>
              <w:rPr>
                <w:rFonts w:ascii="Arial" w:cs="Arial" w:eastAsia="Arial" w:hAnsi="Arial"/>
                <w:sz w:val="9"/>
                <w:szCs w:val="9"/>
                <w:b w:val="1"/>
                <w:bCs w:val="1"/>
                <w:color w:val="auto"/>
              </w:rPr>
              <w:t>2</w:t>
            </w:r>
          </w:p>
        </w:tc>
        <w:tc>
          <w:tcPr>
            <w:tcW w:w="1560" w:type="dxa"/>
            <w:vAlign w:val="bottom"/>
          </w:tcPr>
          <w:p>
            <w:pPr>
              <w:spacing w:after="0"/>
              <w:rPr>
                <w:sz w:val="18"/>
                <w:szCs w:val="18"/>
                <w:color w:val="auto"/>
              </w:rPr>
            </w:pPr>
          </w:p>
        </w:tc>
      </w:tr>
      <w:tr>
        <w:trPr>
          <w:trHeight w:val="189"/>
        </w:trPr>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Salesforce</w:t>
            </w:r>
          </w:p>
        </w:tc>
        <w:tc>
          <w:tcPr>
            <w:tcW w:w="2460" w:type="dxa"/>
            <w:vAlign w:val="bottom"/>
          </w:tcPr>
          <w:p>
            <w:pPr>
              <w:jc w:val="right"/>
              <w:spacing w:after="0"/>
              <w:rPr>
                <w:sz w:val="20"/>
                <w:szCs w:val="20"/>
                <w:color w:val="auto"/>
              </w:rPr>
            </w:pPr>
            <w:r>
              <w:rPr>
                <w:rFonts w:ascii="Arial" w:cs="Arial" w:eastAsia="Arial" w:hAnsi="Arial"/>
                <w:sz w:val="14"/>
                <w:szCs w:val="14"/>
                <w:color w:val="auto"/>
              </w:rPr>
              <w:t>3.34 %</w:t>
            </w:r>
          </w:p>
        </w:tc>
        <w:tc>
          <w:tcPr>
            <w:tcW w:w="24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6.5</w:t>
            </w:r>
          </w:p>
        </w:tc>
        <w:tc>
          <w:tcPr>
            <w:tcW w:w="1560" w:type="dxa"/>
            <w:vAlign w:val="bottom"/>
          </w:tcPr>
          <w:p>
            <w:pPr>
              <w:spacing w:after="0"/>
              <w:rPr>
                <w:sz w:val="16"/>
                <w:szCs w:val="16"/>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Google</w:t>
            </w:r>
          </w:p>
        </w:tc>
        <w:tc>
          <w:tcPr>
            <w:tcW w:w="2460" w:type="dxa"/>
            <w:vAlign w:val="bottom"/>
          </w:tcPr>
          <w:p>
            <w:pPr>
              <w:jc w:val="right"/>
              <w:spacing w:after="0"/>
              <w:rPr>
                <w:sz w:val="20"/>
                <w:szCs w:val="20"/>
                <w:color w:val="auto"/>
              </w:rPr>
            </w:pPr>
            <w:r>
              <w:rPr>
                <w:rFonts w:ascii="Arial" w:cs="Arial" w:eastAsia="Arial" w:hAnsi="Arial"/>
                <w:sz w:val="14"/>
                <w:szCs w:val="14"/>
                <w:color w:val="auto"/>
              </w:rPr>
              <w:t>2.88 %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11.6</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Akamai Technologies</w:t>
            </w:r>
          </w:p>
        </w:tc>
        <w:tc>
          <w:tcPr>
            <w:tcW w:w="2460" w:type="dxa"/>
            <w:vAlign w:val="bottom"/>
          </w:tcPr>
          <w:p>
            <w:pPr>
              <w:jc w:val="right"/>
              <w:spacing w:after="0"/>
              <w:rPr>
                <w:sz w:val="20"/>
                <w:szCs w:val="20"/>
                <w:color w:val="auto"/>
              </w:rPr>
            </w:pPr>
            <w:r>
              <w:rPr>
                <w:rFonts w:ascii="Arial" w:cs="Arial" w:eastAsia="Arial" w:hAnsi="Arial"/>
                <w:sz w:val="14"/>
                <w:szCs w:val="14"/>
                <w:color w:val="auto"/>
              </w:rPr>
              <w:t>2.15 %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9.1</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Kirkland &amp; Ellis</w:t>
            </w:r>
          </w:p>
        </w:tc>
        <w:tc>
          <w:tcPr>
            <w:tcW w:w="2460" w:type="dxa"/>
            <w:vAlign w:val="bottom"/>
          </w:tcPr>
          <w:p>
            <w:pPr>
              <w:jc w:val="right"/>
              <w:spacing w:after="0"/>
              <w:rPr>
                <w:sz w:val="20"/>
                <w:szCs w:val="20"/>
                <w:color w:val="auto"/>
              </w:rPr>
            </w:pPr>
            <w:r>
              <w:rPr>
                <w:rFonts w:ascii="Arial" w:cs="Arial" w:eastAsia="Arial" w:hAnsi="Arial"/>
                <w:sz w:val="14"/>
                <w:szCs w:val="14"/>
                <w:color w:val="auto"/>
              </w:rPr>
              <w:t>1.81 %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11.9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Biogen</w:t>
            </w:r>
          </w:p>
        </w:tc>
        <w:tc>
          <w:tcPr>
            <w:tcW w:w="2460" w:type="dxa"/>
            <w:vAlign w:val="bottom"/>
          </w:tcPr>
          <w:p>
            <w:pPr>
              <w:jc w:val="right"/>
              <w:spacing w:after="0"/>
              <w:rPr>
                <w:sz w:val="20"/>
                <w:szCs w:val="20"/>
                <w:color w:val="auto"/>
              </w:rPr>
            </w:pPr>
            <w:r>
              <w:rPr>
                <w:rFonts w:ascii="Arial" w:cs="Arial" w:eastAsia="Arial" w:hAnsi="Arial"/>
                <w:sz w:val="14"/>
                <w:szCs w:val="14"/>
                <w:color w:val="auto"/>
              </w:rPr>
              <w:t>1.78 %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2.6</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Snap</w:t>
            </w:r>
          </w:p>
        </w:tc>
        <w:tc>
          <w:tcPr>
            <w:tcW w:w="2460" w:type="dxa"/>
            <w:vAlign w:val="bottom"/>
          </w:tcPr>
          <w:p>
            <w:pPr>
              <w:jc w:val="right"/>
              <w:spacing w:after="0"/>
              <w:rPr>
                <w:sz w:val="20"/>
                <w:szCs w:val="20"/>
                <w:color w:val="auto"/>
              </w:rPr>
            </w:pPr>
            <w:r>
              <w:rPr>
                <w:rFonts w:ascii="Arial" w:cs="Arial" w:eastAsia="Arial" w:hAnsi="Arial"/>
                <w:sz w:val="14"/>
                <w:szCs w:val="14"/>
                <w:color w:val="auto"/>
              </w:rPr>
              <w:t>1.61 %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8.3</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Fannie Mae</w:t>
            </w:r>
          </w:p>
        </w:tc>
        <w:tc>
          <w:tcPr>
            <w:tcW w:w="2460" w:type="dxa"/>
            <w:vAlign w:val="bottom"/>
          </w:tcPr>
          <w:p>
            <w:pPr>
              <w:jc w:val="right"/>
              <w:spacing w:after="0"/>
              <w:rPr>
                <w:sz w:val="20"/>
                <w:szCs w:val="20"/>
                <w:color w:val="auto"/>
              </w:rPr>
            </w:pPr>
            <w:r>
              <w:rPr>
                <w:rFonts w:ascii="Arial" w:cs="Arial" w:eastAsia="Arial" w:hAnsi="Arial"/>
                <w:sz w:val="14"/>
                <w:szCs w:val="14"/>
                <w:color w:val="auto"/>
              </w:rPr>
              <w:t>1.52 %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11.9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Millennium Management</w:t>
            </w:r>
          </w:p>
        </w:tc>
        <w:tc>
          <w:tcPr>
            <w:tcW w:w="2460" w:type="dxa"/>
            <w:vAlign w:val="bottom"/>
          </w:tcPr>
          <w:p>
            <w:pPr>
              <w:jc w:val="right"/>
              <w:spacing w:after="0"/>
              <w:rPr>
                <w:sz w:val="20"/>
                <w:szCs w:val="20"/>
                <w:color w:val="auto"/>
              </w:rPr>
            </w:pPr>
            <w:r>
              <w:rPr>
                <w:rFonts w:ascii="Arial" w:cs="Arial" w:eastAsia="Arial" w:hAnsi="Arial"/>
                <w:sz w:val="14"/>
                <w:szCs w:val="14"/>
                <w:color w:val="auto"/>
              </w:rPr>
              <w:t>1.43 %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10.5</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Ropes &amp; Gray</w:t>
            </w:r>
          </w:p>
        </w:tc>
        <w:tc>
          <w:tcPr>
            <w:tcW w:w="2460" w:type="dxa"/>
            <w:vAlign w:val="bottom"/>
          </w:tcPr>
          <w:p>
            <w:pPr>
              <w:jc w:val="right"/>
              <w:spacing w:after="0"/>
              <w:rPr>
                <w:sz w:val="20"/>
                <w:szCs w:val="20"/>
                <w:color w:val="auto"/>
              </w:rPr>
            </w:pPr>
            <w:r>
              <w:rPr>
                <w:rFonts w:ascii="Arial" w:cs="Arial" w:eastAsia="Arial" w:hAnsi="Arial"/>
                <w:sz w:val="14"/>
                <w:szCs w:val="14"/>
                <w:color w:val="auto"/>
              </w:rPr>
              <w:t>1.35 %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12.3</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Weil Gotshal &amp; Manges</w:t>
            </w:r>
          </w:p>
        </w:tc>
        <w:tc>
          <w:tcPr>
            <w:tcW w:w="2460" w:type="dxa"/>
            <w:vAlign w:val="bottom"/>
          </w:tcPr>
          <w:p>
            <w:pPr>
              <w:jc w:val="right"/>
              <w:spacing w:after="0"/>
              <w:rPr>
                <w:sz w:val="20"/>
                <w:szCs w:val="20"/>
                <w:color w:val="auto"/>
              </w:rPr>
            </w:pPr>
            <w:r>
              <w:rPr>
                <w:rFonts w:ascii="Arial" w:cs="Arial" w:eastAsia="Arial" w:hAnsi="Arial"/>
                <w:sz w:val="14"/>
                <w:szCs w:val="14"/>
                <w:color w:val="auto"/>
              </w:rPr>
              <w:t>1.22 %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8.7</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Wellington Management</w:t>
            </w:r>
          </w:p>
        </w:tc>
        <w:tc>
          <w:tcPr>
            <w:tcW w:w="2460" w:type="dxa"/>
            <w:vAlign w:val="bottom"/>
          </w:tcPr>
          <w:p>
            <w:pPr>
              <w:jc w:val="right"/>
              <w:spacing w:after="0"/>
              <w:rPr>
                <w:sz w:val="20"/>
                <w:szCs w:val="20"/>
                <w:color w:val="auto"/>
              </w:rPr>
            </w:pPr>
            <w:r>
              <w:rPr>
                <w:rFonts w:ascii="Arial" w:cs="Arial" w:eastAsia="Arial" w:hAnsi="Arial"/>
                <w:sz w:val="14"/>
                <w:szCs w:val="14"/>
                <w:color w:val="auto"/>
              </w:rPr>
              <w:t>1.17 %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10.8</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Microsoft</w:t>
            </w:r>
          </w:p>
        </w:tc>
        <w:tc>
          <w:tcPr>
            <w:tcW w:w="2460" w:type="dxa"/>
            <w:vAlign w:val="bottom"/>
          </w:tcPr>
          <w:p>
            <w:pPr>
              <w:jc w:val="right"/>
              <w:spacing w:after="0"/>
              <w:rPr>
                <w:sz w:val="20"/>
                <w:szCs w:val="20"/>
                <w:color w:val="auto"/>
              </w:rPr>
            </w:pPr>
            <w:r>
              <w:rPr>
                <w:rFonts w:ascii="Arial" w:cs="Arial" w:eastAsia="Arial" w:hAnsi="Arial"/>
                <w:sz w:val="14"/>
                <w:szCs w:val="14"/>
                <w:color w:val="auto"/>
              </w:rPr>
              <w:t>1.14 %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Arnold &amp; Porter Kaye Scholer</w:t>
            </w:r>
          </w:p>
        </w:tc>
        <w:tc>
          <w:tcPr>
            <w:tcW w:w="2460" w:type="dxa"/>
            <w:vAlign w:val="bottom"/>
          </w:tcPr>
          <w:p>
            <w:pPr>
              <w:jc w:val="right"/>
              <w:spacing w:after="0"/>
              <w:rPr>
                <w:sz w:val="20"/>
                <w:szCs w:val="20"/>
                <w:color w:val="auto"/>
              </w:rPr>
            </w:pPr>
            <w:r>
              <w:rPr>
                <w:rFonts w:ascii="Arial" w:cs="Arial" w:eastAsia="Arial" w:hAnsi="Arial"/>
                <w:sz w:val="14"/>
                <w:szCs w:val="14"/>
                <w:color w:val="auto"/>
              </w:rPr>
              <w:t>1.08 %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7.1</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Allen Overy Shearman Sterling</w:t>
            </w:r>
          </w:p>
        </w:tc>
        <w:tc>
          <w:tcPr>
            <w:tcW w:w="2460" w:type="dxa"/>
            <w:vAlign w:val="bottom"/>
          </w:tcPr>
          <w:p>
            <w:pPr>
              <w:jc w:val="right"/>
              <w:spacing w:after="0"/>
              <w:rPr>
                <w:sz w:val="20"/>
                <w:szCs w:val="20"/>
                <w:color w:val="auto"/>
              </w:rPr>
            </w:pPr>
            <w:r>
              <w:rPr>
                <w:rFonts w:ascii="Arial" w:cs="Arial" w:eastAsia="Arial" w:hAnsi="Arial"/>
                <w:sz w:val="14"/>
                <w:szCs w:val="14"/>
                <w:color w:val="auto"/>
              </w:rPr>
              <w:t>1.03 %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15.9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Bain Capital</w:t>
            </w:r>
          </w:p>
        </w:tc>
        <w:tc>
          <w:tcPr>
            <w:tcW w:w="2460" w:type="dxa"/>
            <w:vAlign w:val="bottom"/>
          </w:tcPr>
          <w:p>
            <w:pPr>
              <w:jc w:val="right"/>
              <w:spacing w:after="0"/>
              <w:rPr>
                <w:sz w:val="20"/>
                <w:szCs w:val="20"/>
                <w:color w:val="auto"/>
              </w:rPr>
            </w:pPr>
            <w:r>
              <w:rPr>
                <w:rFonts w:ascii="Arial" w:cs="Arial" w:eastAsia="Arial" w:hAnsi="Arial"/>
                <w:sz w:val="14"/>
                <w:szCs w:val="14"/>
                <w:color w:val="auto"/>
              </w:rPr>
              <w:t>0.93 %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6.3</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Morrison &amp; Foerster</w:t>
            </w:r>
          </w:p>
        </w:tc>
        <w:tc>
          <w:tcPr>
            <w:tcW w:w="2460" w:type="dxa"/>
            <w:vAlign w:val="bottom"/>
          </w:tcPr>
          <w:p>
            <w:pPr>
              <w:jc w:val="right"/>
              <w:spacing w:after="0"/>
              <w:rPr>
                <w:sz w:val="20"/>
                <w:szCs w:val="20"/>
                <w:color w:val="auto"/>
              </w:rPr>
            </w:pPr>
            <w:r>
              <w:rPr>
                <w:rFonts w:ascii="Arial" w:cs="Arial" w:eastAsia="Arial" w:hAnsi="Arial"/>
                <w:sz w:val="14"/>
                <w:szCs w:val="14"/>
                <w:color w:val="auto"/>
              </w:rPr>
              <w:t>0.91 %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4.9</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Bank of America</w:t>
            </w:r>
          </w:p>
        </w:tc>
        <w:tc>
          <w:tcPr>
            <w:tcW w:w="2460" w:type="dxa"/>
            <w:vAlign w:val="bottom"/>
          </w:tcPr>
          <w:p>
            <w:pPr>
              <w:jc w:val="right"/>
              <w:spacing w:after="0"/>
              <w:rPr>
                <w:sz w:val="20"/>
                <w:szCs w:val="20"/>
                <w:color w:val="auto"/>
              </w:rPr>
            </w:pPr>
            <w:r>
              <w:rPr>
                <w:rFonts w:ascii="Arial" w:cs="Arial" w:eastAsia="Arial" w:hAnsi="Arial"/>
                <w:sz w:val="14"/>
                <w:szCs w:val="14"/>
                <w:color w:val="auto"/>
              </w:rPr>
              <w:t>0.85 %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10.7</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C.V. Starr &amp; Co</w:t>
            </w:r>
          </w:p>
        </w:tc>
        <w:tc>
          <w:tcPr>
            <w:tcW w:w="2460" w:type="dxa"/>
            <w:vAlign w:val="bottom"/>
          </w:tcPr>
          <w:p>
            <w:pPr>
              <w:jc w:val="right"/>
              <w:spacing w:after="0"/>
              <w:rPr>
                <w:sz w:val="20"/>
                <w:szCs w:val="20"/>
                <w:color w:val="auto"/>
              </w:rPr>
            </w:pPr>
            <w:r>
              <w:rPr>
                <w:rFonts w:ascii="Arial" w:cs="Arial" w:eastAsia="Arial" w:hAnsi="Arial"/>
                <w:sz w:val="14"/>
                <w:szCs w:val="14"/>
                <w:color w:val="auto"/>
              </w:rPr>
              <w:t>0.85 %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8.6</w:t>
            </w:r>
          </w:p>
        </w:tc>
        <w:tc>
          <w:tcPr>
            <w:tcW w:w="1560" w:type="dxa"/>
            <w:vAlign w:val="bottom"/>
          </w:tcPr>
          <w:p>
            <w:pPr>
              <w:spacing w:after="0"/>
              <w:rPr>
                <w:sz w:val="17"/>
                <w:szCs w:val="17"/>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Wilmer Cutler Pickering Hale</w:t>
            </w:r>
          </w:p>
        </w:tc>
        <w:tc>
          <w:tcPr>
            <w:tcW w:w="2460" w:type="dxa"/>
            <w:vAlign w:val="bottom"/>
          </w:tcPr>
          <w:p>
            <w:pPr>
              <w:jc w:val="right"/>
              <w:spacing w:after="0"/>
              <w:rPr>
                <w:sz w:val="20"/>
                <w:szCs w:val="20"/>
                <w:color w:val="auto"/>
              </w:rPr>
            </w:pPr>
            <w:r>
              <w:rPr>
                <w:rFonts w:ascii="Arial" w:cs="Arial" w:eastAsia="Arial" w:hAnsi="Arial"/>
                <w:sz w:val="14"/>
                <w:szCs w:val="14"/>
                <w:color w:val="auto"/>
              </w:rPr>
              <w:t>0.84 %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13.2</w:t>
            </w:r>
          </w:p>
        </w:tc>
        <w:tc>
          <w:tcPr>
            <w:tcW w:w="1560" w:type="dxa"/>
            <w:vAlign w:val="bottom"/>
          </w:tcPr>
          <w:p>
            <w:pPr>
              <w:spacing w:after="0"/>
              <w:rPr>
                <w:sz w:val="17"/>
                <w:szCs w:val="17"/>
                <w:color w:val="auto"/>
              </w:rPr>
            </w:pPr>
          </w:p>
        </w:tc>
      </w:tr>
      <w:tr>
        <w:trPr>
          <w:trHeight w:val="206"/>
        </w:trPr>
        <w:tc>
          <w:tcPr>
            <w:tcW w:w="40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7"/>
                <w:szCs w:val="17"/>
                <w:color w:val="auto"/>
              </w:rPr>
            </w:pPr>
          </w:p>
        </w:tc>
        <w:tc>
          <w:tcPr>
            <w:tcW w:w="4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Leidos</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0.84 %</w:t>
            </w: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5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BXP’s Share of Annualized Rental Obligations</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28.73 %</w:t>
            </w: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 xml:space="preserve">BXP’s Share of Square Feet </w:t>
            </w:r>
            <w:r>
              <w:rPr>
                <w:rFonts w:ascii="Arial" w:cs="Arial" w:eastAsia="Arial" w:hAnsi="Arial"/>
                <w:sz w:val="9"/>
                <w:szCs w:val="9"/>
                <w:color w:val="auto"/>
              </w:rPr>
              <w:t>1</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21.99 %</w:t>
            </w: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Weighted Average Remaining Lease Term (years)</w:t>
            </w:r>
          </w:p>
        </w:tc>
        <w:tc>
          <w:tcPr>
            <w:tcW w:w="2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-4191000</wp:posOffset>
            </wp:positionV>
            <wp:extent cx="25717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NOTABLE SIGNED DEALS </w:t>
      </w:r>
      <w:r>
        <w:rPr>
          <w:rFonts w:ascii="Arial" w:cs="Arial" w:eastAsia="Arial" w:hAnsi="Arial"/>
          <w:sz w:val="9"/>
          <w:szCs w:val="9"/>
          <w:b w:val="1"/>
          <w:bCs w:val="1"/>
          <w:i w:val="1"/>
          <w:iCs w:val="1"/>
          <w:color w:val="auto"/>
        </w:rPr>
        <w:t>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Client</w:t>
            </w:r>
          </w:p>
        </w:tc>
        <w:tc>
          <w:tcPr>
            <w:tcW w:w="240" w:type="dxa"/>
            <w:vAlign w:val="bottom"/>
            <w:tcBorders>
              <w:top w:val="single" w:sz="8" w:color="auto"/>
            </w:tcBorders>
          </w:tcPr>
          <w:p>
            <w:pPr>
              <w:spacing w:after="0"/>
              <w:rPr>
                <w:sz w:val="19"/>
                <w:szCs w:val="19"/>
                <w:color w:val="auto"/>
              </w:rPr>
            </w:pPr>
          </w:p>
        </w:tc>
        <w:tc>
          <w:tcPr>
            <w:tcW w:w="30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Property</w:t>
            </w:r>
          </w:p>
        </w:tc>
        <w:tc>
          <w:tcPr>
            <w:tcW w:w="220" w:type="dxa"/>
            <w:vAlign w:val="bottom"/>
            <w:tcBorders>
              <w:top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Square Feet</w:t>
            </w: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AstraZeneca</w:t>
            </w:r>
          </w:p>
        </w:tc>
        <w:tc>
          <w:tcPr>
            <w:tcW w:w="280" w:type="dxa"/>
            <w:vAlign w:val="bottom"/>
          </w:tcPr>
          <w:p>
            <w:pPr>
              <w:ind w:left="20"/>
              <w:spacing w:after="0"/>
              <w:rPr>
                <w:sz w:val="20"/>
                <w:szCs w:val="20"/>
                <w:color w:val="auto"/>
              </w:rPr>
            </w:pPr>
            <w:r>
              <w:rPr>
                <w:rFonts w:ascii="Arial" w:cs="Arial" w:eastAsia="Arial" w:hAnsi="Arial"/>
                <w:sz w:val="14"/>
                <w:szCs w:val="14"/>
                <w:color w:val="auto"/>
              </w:rPr>
              <w:t>290</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Binney Street</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573,000</w:t>
            </w:r>
          </w:p>
        </w:tc>
      </w:tr>
      <w:tr>
        <w:trPr>
          <w:trHeight w:val="20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McDermott Will &amp; Schulte</w:t>
            </w:r>
          </w:p>
        </w:tc>
        <w:tc>
          <w:tcPr>
            <w:tcW w:w="280" w:type="dxa"/>
            <w:vAlign w:val="bottom"/>
          </w:tcPr>
          <w:p>
            <w:pPr>
              <w:ind w:left="20"/>
              <w:spacing w:after="0"/>
              <w:rPr>
                <w:sz w:val="20"/>
                <w:szCs w:val="20"/>
                <w:color w:val="auto"/>
              </w:rPr>
            </w:pPr>
            <w:r>
              <w:rPr>
                <w:rFonts w:ascii="Arial" w:cs="Arial" w:eastAsia="Arial" w:hAnsi="Arial"/>
                <w:sz w:val="14"/>
                <w:szCs w:val="14"/>
                <w:color w:val="auto"/>
              </w:rPr>
              <w:t>725</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12th Street, NW</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152,000</w:t>
            </w:r>
          </w:p>
        </w:tc>
      </w:tr>
      <w:tr>
        <w:trPr>
          <w:trHeight w:val="20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Cooley</w:t>
            </w:r>
          </w:p>
        </w:tc>
        <w:tc>
          <w:tcPr>
            <w:tcW w:w="280" w:type="dxa"/>
            <w:vAlign w:val="bottom"/>
          </w:tcPr>
          <w:p>
            <w:pPr>
              <w:ind w:left="20"/>
              <w:spacing w:after="0"/>
              <w:rPr>
                <w:sz w:val="20"/>
                <w:szCs w:val="20"/>
                <w:color w:val="auto"/>
              </w:rPr>
            </w:pPr>
            <w:r>
              <w:rPr>
                <w:rFonts w:ascii="Arial" w:cs="Arial" w:eastAsia="Arial" w:hAnsi="Arial"/>
                <w:sz w:val="14"/>
                <w:szCs w:val="14"/>
                <w:color w:val="auto"/>
              </w:rPr>
              <w:t>725</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12th Street, NW</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126,000</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CLIENT DIVERSIFICATION </w:t>
      </w:r>
      <w:r>
        <w:rPr>
          <w:rFonts w:ascii="Arial" w:cs="Arial" w:eastAsia="Arial" w:hAnsi="Arial"/>
          <w:sz w:val="18"/>
          <w:szCs w:val="18"/>
          <w:b w:val="1"/>
          <w:bCs w:val="1"/>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37910" cy="2237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37910" cy="223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Based on BXP’s Share of Annualized Rental Obligations.</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Represents leases signed with occupancy commencing in the future. The number of square feet is an estimate.</w:t>
      </w:r>
    </w:p>
    <w:p>
      <w:pPr>
        <w:sectPr>
          <w:pgSz w:w="11900" w:h="16838" w:orient="portrait"/>
          <w:cols w:equalWidth="0" w:num="1">
            <w:col w:w="11240"/>
          </w:cols>
          <w:pgMar w:left="320" w:top="265" w:right="339" w:bottom="1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265" w:right="339" w:bottom="1159" w:gutter="0" w:footer="0" w:header="0"/>
          <w:type w:val="continuous"/>
        </w:sectPr>
      </w:pPr>
    </w:p>
    <w:bookmarkStart w:id="33" w:name="page34"/>
    <w:bookmarkEnd w:id="33"/>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Occupancy by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TOTAL IN-SERVICE OFFICE PROPERTIES </w:t>
      </w:r>
      <w:r>
        <w:rPr>
          <w:rFonts w:ascii="Arial" w:cs="Arial" w:eastAsia="Arial" w:hAnsi="Arial"/>
          <w:sz w:val="18"/>
          <w:szCs w:val="18"/>
          <w:b w:val="1"/>
          <w:bCs w:val="1"/>
          <w:i w:val="1"/>
          <w:iCs w:val="1"/>
          <w:color w:val="auto"/>
          <w:vertAlign w:val="superscript"/>
        </w:rPr>
        <w:t>1</w:t>
      </w:r>
      <w:r>
        <w:rPr>
          <w:rFonts w:ascii="Arial" w:cs="Arial" w:eastAsia="Arial" w:hAnsi="Arial"/>
          <w:sz w:val="14"/>
          <w:szCs w:val="14"/>
          <w:b w:val="1"/>
          <w:bCs w:val="1"/>
          <w:i w:val="1"/>
          <w:iCs w:val="1"/>
          <w:color w:val="auto"/>
        </w:rPr>
        <w:t xml:space="preserve"> - Quarter-over-Quarter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CBD</w:t>
            </w:r>
          </w:p>
        </w:tc>
        <w:tc>
          <w:tcPr>
            <w:tcW w:w="10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Suburban</w:t>
            </w:r>
          </w:p>
        </w:tc>
        <w:tc>
          <w:tcPr>
            <w:tcW w:w="9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top w:val="single" w:sz="8" w:color="auto"/>
              <w:bottom w:val="single" w:sz="8" w:color="auto"/>
            </w:tcBorders>
          </w:tcPr>
          <w:p>
            <w:pPr>
              <w:spacing w:after="0"/>
              <w:rPr>
                <w:sz w:val="18"/>
                <w:szCs w:val="18"/>
                <w:color w:val="auto"/>
              </w:rPr>
            </w:pPr>
          </w:p>
        </w:tc>
      </w:tr>
      <w:tr>
        <w:trPr>
          <w:trHeight w:val="19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30-Jun-25</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30-Sep-25</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30-Jun-25</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30-Jun-25</w:t>
            </w:r>
          </w:p>
        </w:tc>
      </w:tr>
      <w:tr>
        <w:trPr>
          <w:trHeight w:val="189"/>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Boston</w:t>
            </w:r>
          </w:p>
        </w:tc>
        <w:tc>
          <w:tcPr>
            <w:tcW w:w="1240" w:type="dxa"/>
            <w:vAlign w:val="bottom"/>
          </w:tcPr>
          <w:p>
            <w:pPr>
              <w:jc w:val="right"/>
              <w:spacing w:after="0"/>
              <w:rPr>
                <w:sz w:val="20"/>
                <w:szCs w:val="20"/>
                <w:color w:val="auto"/>
              </w:rPr>
            </w:pPr>
            <w:r>
              <w:rPr>
                <w:rFonts w:ascii="Arial" w:cs="Arial" w:eastAsia="Arial" w:hAnsi="Arial"/>
                <w:sz w:val="14"/>
                <w:szCs w:val="14"/>
                <w:color w:val="auto"/>
              </w:rPr>
              <w:t>97.3 %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97.0 %</w:t>
            </w: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71.6 %</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71.6 %</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89.7 %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89.7 %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Los Angeles</w:t>
            </w:r>
          </w:p>
        </w:tc>
        <w:tc>
          <w:tcPr>
            <w:tcW w:w="1240" w:type="dxa"/>
            <w:vAlign w:val="bottom"/>
          </w:tcPr>
          <w:p>
            <w:pPr>
              <w:jc w:val="right"/>
              <w:spacing w:after="0"/>
              <w:rPr>
                <w:sz w:val="20"/>
                <w:szCs w:val="20"/>
                <w:color w:val="auto"/>
              </w:rPr>
            </w:pPr>
            <w:r>
              <w:rPr>
                <w:rFonts w:ascii="Arial" w:cs="Arial" w:eastAsia="Arial" w:hAnsi="Arial"/>
                <w:sz w:val="14"/>
                <w:szCs w:val="14"/>
                <w:color w:val="auto"/>
              </w:rPr>
              <w:t>86.7 %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86.3 %</w:t>
            </w:r>
          </w:p>
        </w:tc>
        <w:tc>
          <w:tcPr>
            <w:tcW w:w="280" w:type="dxa"/>
            <w:vAlign w:val="bottom"/>
          </w:tcPr>
          <w:p>
            <w:pPr>
              <w:spacing w:after="0"/>
              <w:rPr>
                <w:sz w:val="17"/>
                <w:szCs w:val="17"/>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 %</w:t>
            </w:r>
          </w:p>
        </w:tc>
        <w:tc>
          <w:tcPr>
            <w:tcW w:w="1260" w:type="dxa"/>
            <w:vAlign w:val="bottom"/>
          </w:tcPr>
          <w:p>
            <w:pPr>
              <w:jc w:val="right"/>
              <w:spacing w:after="0"/>
              <w:rPr>
                <w:sz w:val="20"/>
                <w:szCs w:val="20"/>
                <w:color w:val="auto"/>
              </w:rPr>
            </w:pPr>
            <w:r>
              <w:rPr>
                <w:rFonts w:ascii="Arial" w:cs="Arial" w:eastAsia="Arial" w:hAnsi="Arial"/>
                <w:sz w:val="14"/>
                <w:szCs w:val="14"/>
                <w:color w:val="auto"/>
              </w:rPr>
              <w:t>86.7 %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86.3 %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1240" w:type="dxa"/>
            <w:vAlign w:val="bottom"/>
          </w:tcPr>
          <w:p>
            <w:pPr>
              <w:jc w:val="right"/>
              <w:spacing w:after="0"/>
              <w:rPr>
                <w:sz w:val="20"/>
                <w:szCs w:val="20"/>
                <w:color w:val="auto"/>
              </w:rPr>
            </w:pPr>
            <w:r>
              <w:rPr>
                <w:rFonts w:ascii="Arial" w:cs="Arial" w:eastAsia="Arial" w:hAnsi="Arial"/>
                <w:sz w:val="14"/>
                <w:szCs w:val="14"/>
                <w:color w:val="auto"/>
              </w:rPr>
              <w:t>84.9 %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87.2 %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72.6 %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71.0 %</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82.8 %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84.4 %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San Francisco</w:t>
            </w:r>
          </w:p>
        </w:tc>
        <w:tc>
          <w:tcPr>
            <w:tcW w:w="1240" w:type="dxa"/>
            <w:vAlign w:val="bottom"/>
          </w:tcPr>
          <w:p>
            <w:pPr>
              <w:jc w:val="right"/>
              <w:spacing w:after="0"/>
              <w:rPr>
                <w:sz w:val="20"/>
                <w:szCs w:val="20"/>
                <w:color w:val="auto"/>
              </w:rPr>
            </w:pPr>
            <w:r>
              <w:rPr>
                <w:rFonts w:ascii="Arial" w:cs="Arial" w:eastAsia="Arial" w:hAnsi="Arial"/>
                <w:sz w:val="14"/>
                <w:szCs w:val="14"/>
                <w:color w:val="auto"/>
              </w:rPr>
              <w:t>80.7 %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81.8 %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69.2 %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69.6 %</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77.8 %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78.7 %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Seattle</w:t>
            </w:r>
          </w:p>
        </w:tc>
        <w:tc>
          <w:tcPr>
            <w:tcW w:w="1240" w:type="dxa"/>
            <w:vAlign w:val="bottom"/>
          </w:tcPr>
          <w:p>
            <w:pPr>
              <w:jc w:val="right"/>
              <w:spacing w:after="0"/>
              <w:rPr>
                <w:sz w:val="20"/>
                <w:szCs w:val="20"/>
                <w:color w:val="auto"/>
              </w:rPr>
            </w:pPr>
            <w:r>
              <w:rPr>
                <w:rFonts w:ascii="Arial" w:cs="Arial" w:eastAsia="Arial" w:hAnsi="Arial"/>
                <w:sz w:val="14"/>
                <w:szCs w:val="14"/>
                <w:color w:val="auto"/>
              </w:rPr>
              <w:t>82.6 %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84.6 %</w:t>
            </w:r>
          </w:p>
        </w:tc>
        <w:tc>
          <w:tcPr>
            <w:tcW w:w="280" w:type="dxa"/>
            <w:vAlign w:val="bottom"/>
          </w:tcPr>
          <w:p>
            <w:pPr>
              <w:spacing w:after="0"/>
              <w:rPr>
                <w:sz w:val="17"/>
                <w:szCs w:val="17"/>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 %</w:t>
            </w:r>
          </w:p>
        </w:tc>
        <w:tc>
          <w:tcPr>
            <w:tcW w:w="1260" w:type="dxa"/>
            <w:vAlign w:val="bottom"/>
          </w:tcPr>
          <w:p>
            <w:pPr>
              <w:jc w:val="right"/>
              <w:spacing w:after="0"/>
              <w:rPr>
                <w:sz w:val="20"/>
                <w:szCs w:val="20"/>
                <w:color w:val="auto"/>
              </w:rPr>
            </w:pPr>
            <w:r>
              <w:rPr>
                <w:rFonts w:ascii="Arial" w:cs="Arial" w:eastAsia="Arial" w:hAnsi="Arial"/>
                <w:sz w:val="14"/>
                <w:szCs w:val="14"/>
                <w:color w:val="auto"/>
              </w:rPr>
              <w:t>82.6 %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84.6 %</w:t>
            </w:r>
          </w:p>
        </w:tc>
      </w:tr>
      <w:tr>
        <w:trPr>
          <w:trHeight w:val="204"/>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91.1 %</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68.5 %</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68.4 %</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90.5 %</w:t>
            </w:r>
          </w:p>
        </w:tc>
      </w:tr>
      <w:tr>
        <w:trPr>
          <w:trHeight w:val="198"/>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Total Portfolio</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89.9 %</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71.2 %</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70.9 %</w:t>
            </w:r>
          </w:p>
        </w:tc>
        <w:tc>
          <w:tcPr>
            <w:tcW w:w="3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60325</wp:posOffset>
            </wp:positionV>
            <wp:extent cx="5709285" cy="18859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0928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SAME PROPERTY OFFICE PROPERTIES </w:t>
      </w:r>
      <w:r>
        <w:rPr>
          <w:rFonts w:ascii="Arial" w:cs="Arial" w:eastAsia="Arial" w:hAnsi="Arial"/>
          <w:sz w:val="9"/>
          <w:szCs w:val="9"/>
          <w:b w:val="1"/>
          <w:bCs w:val="1"/>
          <w:i w:val="1"/>
          <w:iCs w:val="1"/>
          <w:color w:val="auto"/>
        </w:rPr>
        <w:t>1, 2</w:t>
      </w:r>
      <w:r>
        <w:rPr>
          <w:rFonts w:ascii="Arial" w:cs="Arial" w:eastAsia="Arial" w:hAnsi="Arial"/>
          <w:sz w:val="14"/>
          <w:szCs w:val="14"/>
          <w:b w:val="1"/>
          <w:bCs w:val="1"/>
          <w:i w:val="1"/>
          <w:iCs w:val="1"/>
          <w:color w:val="auto"/>
        </w:rPr>
        <w:t xml:space="preserve"> - Year-over-Year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CBD</w:t>
            </w:r>
          </w:p>
        </w:tc>
        <w:tc>
          <w:tcPr>
            <w:tcW w:w="10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Suburban</w:t>
            </w:r>
          </w:p>
        </w:tc>
        <w:tc>
          <w:tcPr>
            <w:tcW w:w="9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Total</w:t>
            </w:r>
          </w:p>
        </w:tc>
        <w:tc>
          <w:tcPr>
            <w:tcW w:w="1100" w:type="dxa"/>
            <w:vAlign w:val="bottom"/>
            <w:tcBorders>
              <w:top w:val="single" w:sz="8" w:color="auto"/>
              <w:bottom w:val="single" w:sz="8" w:color="auto"/>
            </w:tcBorders>
          </w:tcPr>
          <w:p>
            <w:pPr>
              <w:spacing w:after="0"/>
              <w:rPr>
                <w:sz w:val="18"/>
                <w:szCs w:val="18"/>
                <w:color w:val="auto"/>
              </w:rPr>
            </w:pPr>
          </w:p>
        </w:tc>
      </w:tr>
      <w:tr>
        <w:trPr>
          <w:trHeight w:val="19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30-Sep-24</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30-Sep-25</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30-Sep-24</w:t>
            </w:r>
          </w:p>
        </w:tc>
        <w:tc>
          <w:tcPr>
            <w:tcW w:w="300" w:type="dxa"/>
            <w:vAlign w:val="bottom"/>
          </w:tcPr>
          <w:p>
            <w:pPr>
              <w:spacing w:after="0"/>
              <w:rPr>
                <w:sz w:val="17"/>
                <w:szCs w:val="17"/>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30-Sep-25</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30-Sep-24</w:t>
            </w:r>
          </w:p>
        </w:tc>
      </w:tr>
      <w:tr>
        <w:trPr>
          <w:trHeight w:val="189"/>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Boston</w:t>
            </w:r>
          </w:p>
        </w:tc>
        <w:tc>
          <w:tcPr>
            <w:tcW w:w="1240" w:type="dxa"/>
            <w:vAlign w:val="bottom"/>
          </w:tcPr>
          <w:p>
            <w:pPr>
              <w:jc w:val="right"/>
              <w:spacing w:after="0"/>
              <w:rPr>
                <w:sz w:val="20"/>
                <w:szCs w:val="20"/>
                <w:color w:val="auto"/>
              </w:rPr>
            </w:pPr>
            <w:r>
              <w:rPr>
                <w:rFonts w:ascii="Arial" w:cs="Arial" w:eastAsia="Arial" w:hAnsi="Arial"/>
                <w:sz w:val="14"/>
                <w:szCs w:val="14"/>
                <w:color w:val="auto"/>
              </w:rPr>
              <w:t>97.2 %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95.7 %</w:t>
            </w: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74.8 %</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82.0 %</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91.2 %</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92.0 %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Los Angeles</w:t>
            </w:r>
          </w:p>
        </w:tc>
        <w:tc>
          <w:tcPr>
            <w:tcW w:w="1240" w:type="dxa"/>
            <w:vAlign w:val="bottom"/>
          </w:tcPr>
          <w:p>
            <w:pPr>
              <w:jc w:val="right"/>
              <w:spacing w:after="0"/>
              <w:rPr>
                <w:sz w:val="20"/>
                <w:szCs w:val="20"/>
                <w:color w:val="auto"/>
              </w:rPr>
            </w:pPr>
            <w:r>
              <w:rPr>
                <w:rFonts w:ascii="Arial" w:cs="Arial" w:eastAsia="Arial" w:hAnsi="Arial"/>
                <w:sz w:val="14"/>
                <w:szCs w:val="14"/>
                <w:color w:val="auto"/>
              </w:rPr>
              <w:t>86.7 %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84.9 %</w:t>
            </w:r>
          </w:p>
        </w:tc>
        <w:tc>
          <w:tcPr>
            <w:tcW w:w="280" w:type="dxa"/>
            <w:vAlign w:val="bottom"/>
          </w:tcPr>
          <w:p>
            <w:pPr>
              <w:spacing w:after="0"/>
              <w:rPr>
                <w:sz w:val="17"/>
                <w:szCs w:val="17"/>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86.7 %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84.9 %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1240" w:type="dxa"/>
            <w:vAlign w:val="bottom"/>
          </w:tcPr>
          <w:p>
            <w:pPr>
              <w:jc w:val="right"/>
              <w:spacing w:after="0"/>
              <w:rPr>
                <w:sz w:val="20"/>
                <w:szCs w:val="20"/>
                <w:color w:val="auto"/>
              </w:rPr>
            </w:pPr>
            <w:r>
              <w:rPr>
                <w:rFonts w:ascii="Arial" w:cs="Arial" w:eastAsia="Arial" w:hAnsi="Arial"/>
                <w:sz w:val="14"/>
                <w:szCs w:val="14"/>
                <w:color w:val="auto"/>
              </w:rPr>
              <w:t>87.3 %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88.9 %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72.6 %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67.3 %</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84.8 %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85.1 %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San Francisco</w:t>
            </w:r>
          </w:p>
        </w:tc>
        <w:tc>
          <w:tcPr>
            <w:tcW w:w="1240" w:type="dxa"/>
            <w:vAlign w:val="bottom"/>
          </w:tcPr>
          <w:p>
            <w:pPr>
              <w:jc w:val="right"/>
              <w:spacing w:after="0"/>
              <w:rPr>
                <w:sz w:val="20"/>
                <w:szCs w:val="20"/>
                <w:color w:val="auto"/>
              </w:rPr>
            </w:pPr>
            <w:r>
              <w:rPr>
                <w:rFonts w:ascii="Arial" w:cs="Arial" w:eastAsia="Arial" w:hAnsi="Arial"/>
                <w:sz w:val="14"/>
                <w:szCs w:val="14"/>
                <w:color w:val="auto"/>
              </w:rPr>
              <w:t>80.7 %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84.2 %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69.2 %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71.2 %</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77.8 %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80.9 %</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Seattle</w:t>
            </w:r>
          </w:p>
        </w:tc>
        <w:tc>
          <w:tcPr>
            <w:tcW w:w="1240" w:type="dxa"/>
            <w:vAlign w:val="bottom"/>
          </w:tcPr>
          <w:p>
            <w:pPr>
              <w:jc w:val="right"/>
              <w:spacing w:after="0"/>
              <w:rPr>
                <w:sz w:val="20"/>
                <w:szCs w:val="20"/>
                <w:color w:val="auto"/>
              </w:rPr>
            </w:pPr>
            <w:r>
              <w:rPr>
                <w:rFonts w:ascii="Arial" w:cs="Arial" w:eastAsia="Arial" w:hAnsi="Arial"/>
                <w:sz w:val="14"/>
                <w:szCs w:val="14"/>
                <w:color w:val="auto"/>
              </w:rPr>
              <w:t>82.6 %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80.2 %</w:t>
            </w:r>
          </w:p>
        </w:tc>
        <w:tc>
          <w:tcPr>
            <w:tcW w:w="280" w:type="dxa"/>
            <w:vAlign w:val="bottom"/>
          </w:tcPr>
          <w:p>
            <w:pPr>
              <w:spacing w:after="0"/>
              <w:rPr>
                <w:sz w:val="17"/>
                <w:szCs w:val="17"/>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82.6 %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80.2 %</w:t>
            </w:r>
          </w:p>
        </w:tc>
      </w:tr>
      <w:tr>
        <w:trPr>
          <w:trHeight w:val="204"/>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91.2 %</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68.5 %</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82.6 %</w:t>
            </w:r>
          </w:p>
        </w:tc>
        <w:tc>
          <w:tcPr>
            <w:tcW w:w="3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92.2 %</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90.9 %</w:t>
            </w:r>
          </w:p>
        </w:tc>
      </w:tr>
      <w:tr>
        <w:trPr>
          <w:trHeight w:val="198"/>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Total Portfolio</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90.1 %</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90.0 %</w:t>
            </w:r>
          </w:p>
        </w:tc>
        <w:tc>
          <w:tcPr>
            <w:tcW w:w="2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72.7 %</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75.7 %</w:t>
            </w:r>
          </w:p>
        </w:tc>
        <w:tc>
          <w:tcPr>
            <w:tcW w:w="3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87.0 %</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60325</wp:posOffset>
            </wp:positionV>
            <wp:extent cx="5709285" cy="18859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0928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right="300" w:hanging="72"/>
        <w:spacing w:after="0" w:line="281" w:lineRule="auto"/>
        <w:tabs>
          <w:tab w:leader="none" w:pos="78" w:val="left"/>
        </w:tabs>
        <w:numPr>
          <w:ilvl w:val="0"/>
          <w:numId w:val="65"/>
        </w:numPr>
        <w:rPr>
          <w:rFonts w:ascii="Arial" w:cs="Arial" w:eastAsia="Arial" w:hAnsi="Arial"/>
          <w:sz w:val="9"/>
          <w:szCs w:val="9"/>
          <w:color w:val="auto"/>
        </w:rPr>
      </w:pPr>
      <w:r>
        <w:rPr>
          <w:rFonts w:ascii="Arial" w:cs="Arial" w:eastAsia="Arial" w:hAnsi="Arial"/>
          <w:sz w:val="14"/>
          <w:szCs w:val="14"/>
          <w:color w:val="auto"/>
        </w:rPr>
        <w:t>Represents signed leases for which revenue recognition has commenced in accordance with GAAP. Includes 100% of joint venture properties. Does not include residential units and hotel.</w:t>
      </w:r>
    </w:p>
    <w:p>
      <w:pPr>
        <w:spacing w:after="0" w:line="1" w:lineRule="exact"/>
        <w:rPr>
          <w:sz w:val="20"/>
          <w:szCs w:val="20"/>
          <w:color w:val="auto"/>
        </w:rPr>
      </w:pPr>
    </w:p>
    <w:p>
      <w:pPr>
        <w:ind w:left="80" w:hanging="72"/>
        <w:spacing w:after="0"/>
        <w:tabs>
          <w:tab w:leader="none" w:pos="80" w:val="left"/>
        </w:tabs>
        <w:numPr>
          <w:ilvl w:val="0"/>
          <w:numId w:val="66"/>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265"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Q3 2025</w:t>
            </w:r>
          </w:p>
        </w:tc>
        <w:tc>
          <w:tcPr>
            <w:tcW w:w="0" w:type="dxa"/>
            <w:vAlign w:val="bottom"/>
          </w:tcPr>
          <w:p>
            <w:pPr>
              <w:spacing w:after="0"/>
              <w:rPr>
                <w:sz w:val="1"/>
                <w:szCs w:val="1"/>
                <w:color w:val="auto"/>
              </w:rPr>
            </w:pPr>
          </w:p>
        </w:tc>
      </w:tr>
      <w:tr>
        <w:trPr>
          <w:trHeight w:val="245"/>
        </w:trPr>
        <w:tc>
          <w:tcPr>
            <w:tcW w:w="43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Capital structure</w:t>
            </w:r>
          </w:p>
        </w:tc>
        <w:tc>
          <w:tcPr>
            <w:tcW w:w="0" w:type="dxa"/>
            <w:vAlign w:val="bottom"/>
          </w:tcPr>
          <w:p>
            <w:pPr>
              <w:spacing w:after="0"/>
              <w:rPr>
                <w:sz w:val="1"/>
                <w:szCs w:val="1"/>
                <w:color w:val="auto"/>
              </w:rPr>
            </w:pPr>
          </w:p>
        </w:tc>
      </w:tr>
      <w:tr>
        <w:trPr>
          <w:trHeight w:val="815"/>
        </w:trPr>
        <w:tc>
          <w:tcPr>
            <w:tcW w:w="4620" w:type="dxa"/>
            <w:vAlign w:val="bottom"/>
            <w:gridSpan w:val="2"/>
          </w:tcPr>
          <w:p>
            <w:pPr>
              <w:spacing w:after="0"/>
              <w:rPr>
                <w:sz w:val="20"/>
                <w:szCs w:val="20"/>
                <w:color w:val="auto"/>
              </w:rPr>
            </w:pPr>
            <w:r>
              <w:rPr>
                <w:rFonts w:ascii="Arial" w:cs="Arial" w:eastAsia="Arial" w:hAnsi="Arial"/>
                <w:sz w:val="14"/>
                <w:szCs w:val="14"/>
                <w:color w:val="auto"/>
              </w:rPr>
              <w:t>(in thousands, except percentages)</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CONSOLIDATED DEBT</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9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Mortgage Notes Payable</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4,299,119</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Line of Credit</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Term Loans</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Commercial Paper</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at face value</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9,850,000</w:t>
            </w:r>
          </w:p>
        </w:tc>
        <w:tc>
          <w:tcPr>
            <w:tcW w:w="0" w:type="dxa"/>
            <w:vAlign w:val="bottom"/>
          </w:tcPr>
          <w:p>
            <w:pPr>
              <w:spacing w:after="0"/>
              <w:rPr>
                <w:sz w:val="1"/>
                <w:szCs w:val="1"/>
                <w:color w:val="auto"/>
              </w:rPr>
            </w:pPr>
          </w:p>
        </w:tc>
      </w:tr>
      <w:tr>
        <w:trPr>
          <w:trHeight w:val="204"/>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Exchangeable Senior Notes, at face value</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94"/>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Outstanding Principal</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16,699,119</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Discount on Unsecured Senior Notes</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(9,007)</w:t>
            </w:r>
          </w:p>
        </w:tc>
        <w:tc>
          <w:tcPr>
            <w:tcW w:w="0" w:type="dxa"/>
            <w:vAlign w:val="bottom"/>
          </w:tcPr>
          <w:p>
            <w:pPr>
              <w:spacing w:after="0"/>
              <w:rPr>
                <w:sz w:val="1"/>
                <w:szCs w:val="1"/>
                <w:color w:val="auto"/>
              </w:rPr>
            </w:pPr>
          </w:p>
        </w:tc>
      </w:tr>
      <w:tr>
        <w:trPr>
          <w:trHeight w:val="207"/>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Deferred Financing Costs, Net</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(85,416)</w:t>
            </w:r>
          </w:p>
        </w:tc>
        <w:tc>
          <w:tcPr>
            <w:tcW w:w="0" w:type="dxa"/>
            <w:vAlign w:val="bottom"/>
          </w:tcPr>
          <w:p>
            <w:pPr>
              <w:spacing w:after="0"/>
              <w:rPr>
                <w:sz w:val="1"/>
                <w:szCs w:val="1"/>
                <w:color w:val="auto"/>
              </w:rPr>
            </w:pPr>
          </w:p>
        </w:tc>
      </w:tr>
      <w:tr>
        <w:trPr>
          <w:trHeight w:val="200"/>
        </w:trPr>
        <w:tc>
          <w:tcPr>
            <w:tcW w:w="4620" w:type="dxa"/>
            <w:vAlign w:val="bottom"/>
            <w:gridSpan w:val="2"/>
          </w:tcPr>
          <w:p>
            <w:pPr>
              <w:ind w:left="360"/>
              <w:spacing w:after="0"/>
              <w:rPr>
                <w:sz w:val="20"/>
                <w:szCs w:val="20"/>
                <w:color w:val="auto"/>
              </w:rPr>
            </w:pPr>
            <w:r>
              <w:rPr>
                <w:rFonts w:ascii="Arial" w:cs="Arial" w:eastAsia="Arial" w:hAnsi="Arial"/>
                <w:sz w:val="14"/>
                <w:szCs w:val="14"/>
                <w:color w:val="auto"/>
              </w:rPr>
              <w:t>Consolidated Debt</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16,604,696</w:t>
            </w: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MORTGAGE NOTES PAYABLE</w:t>
            </w: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46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3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880"/>
              <w:spacing w:after="0"/>
              <w:rPr>
                <w:sz w:val="20"/>
                <w:szCs w:val="20"/>
                <w:color w:val="auto"/>
              </w:rPr>
            </w:pPr>
            <w:r>
              <w:rPr>
                <w:rFonts w:ascii="Arial" w:cs="Arial" w:eastAsia="Arial" w:hAnsi="Arial"/>
                <w:sz w:val="14"/>
                <w:szCs w:val="14"/>
                <w:b w:val="1"/>
                <w:bCs w:val="1"/>
                <w:color w:val="auto"/>
              </w:rPr>
              <w:t>Interest Rate</w:t>
            </w: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Property</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rPr>
              <w:t xml:space="preserve">GAAP </w:t>
            </w:r>
            <w:r>
              <w:rPr>
                <w:rFonts w:ascii="Arial" w:cs="Arial" w:eastAsia="Arial" w:hAnsi="Arial"/>
                <w:sz w:val="18"/>
                <w:szCs w:val="18"/>
                <w:b w:val="1"/>
                <w:bCs w:val="1"/>
                <w:color w:val="auto"/>
                <w:vertAlign w:val="superscript"/>
              </w:rPr>
              <w:t>1</w:t>
            </w:r>
          </w:p>
        </w:tc>
        <w:tc>
          <w:tcPr>
            <w:tcW w:w="260" w:type="dxa"/>
            <w:vAlign w:val="bottom"/>
            <w:gridSpan w:val="3"/>
          </w:tcPr>
          <w:p>
            <w:pPr>
              <w:spacing w:after="0"/>
              <w:rPr>
                <w:sz w:val="17"/>
                <w:szCs w:val="17"/>
                <w:color w:val="auto"/>
              </w:rPr>
            </w:pPr>
          </w:p>
        </w:tc>
        <w:tc>
          <w:tcPr>
            <w:tcW w:w="36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gridSpan w:val="2"/>
          </w:tcPr>
          <w:p>
            <w:pPr>
              <w:jc w:val="center"/>
              <w:ind w:right="360"/>
              <w:spacing w:after="0" w:line="198" w:lineRule="exact"/>
              <w:rPr>
                <w:sz w:val="20"/>
                <w:szCs w:val="20"/>
                <w:color w:val="auto"/>
              </w:rPr>
            </w:pPr>
            <w:r>
              <w:rPr>
                <w:rFonts w:ascii="Arial" w:cs="Arial" w:eastAsia="Arial" w:hAnsi="Arial"/>
                <w:sz w:val="14"/>
                <w:szCs w:val="14"/>
                <w:b w:val="1"/>
                <w:bCs w:val="1"/>
                <w:color w:val="auto"/>
              </w:rPr>
              <w:t xml:space="preserve">Stated </w:t>
            </w:r>
            <w:r>
              <w:rPr>
                <w:rFonts w:ascii="Arial" w:cs="Arial" w:eastAsia="Arial" w:hAnsi="Arial"/>
                <w:sz w:val="18"/>
                <w:szCs w:val="18"/>
                <w:b w:val="1"/>
                <w:bCs w:val="1"/>
                <w:color w:val="auto"/>
                <w:vertAlign w:val="superscript"/>
              </w:rPr>
              <w:t>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Outstanding Principal</w:t>
            </w:r>
          </w:p>
        </w:tc>
        <w:tc>
          <w:tcPr>
            <w:tcW w:w="0" w:type="dxa"/>
            <w:vAlign w:val="bottom"/>
          </w:tcPr>
          <w:p>
            <w:pPr>
              <w:spacing w:after="0"/>
              <w:rPr>
                <w:sz w:val="1"/>
                <w:szCs w:val="1"/>
                <w:color w:val="auto"/>
              </w:rPr>
            </w:pPr>
          </w:p>
        </w:tc>
      </w:tr>
      <w:tr>
        <w:trPr>
          <w:trHeight w:val="188"/>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767 Fifth Avenue (The GM Building) (60% ownership)</w:t>
            </w:r>
          </w:p>
        </w:tc>
        <w:tc>
          <w:tcPr>
            <w:tcW w:w="80" w:type="dxa"/>
            <w:vAlign w:val="bottom"/>
          </w:tcPr>
          <w:p>
            <w:pPr>
              <w:spacing w:after="0"/>
              <w:rPr>
                <w:sz w:val="16"/>
                <w:szCs w:val="16"/>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June 9, 2027</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3.64%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center"/>
              <w:ind w:right="268"/>
              <w:spacing w:after="0"/>
              <w:rPr>
                <w:sz w:val="20"/>
                <w:szCs w:val="20"/>
                <w:color w:val="auto"/>
              </w:rPr>
            </w:pPr>
            <w:r>
              <w:rPr>
                <w:rFonts w:ascii="Arial" w:cs="Arial" w:eastAsia="Arial" w:hAnsi="Arial"/>
                <w:sz w:val="14"/>
                <w:szCs w:val="14"/>
                <w:color w:val="auto"/>
              </w:rPr>
              <w:t>3.43%</w:t>
            </w:r>
          </w:p>
        </w:tc>
        <w:tc>
          <w:tcPr>
            <w:tcW w:w="20" w:type="dxa"/>
            <w:vAlign w:val="bottom"/>
          </w:tcPr>
          <w:p>
            <w:pPr>
              <w:spacing w:after="0"/>
              <w:rPr>
                <w:sz w:val="16"/>
                <w:szCs w:val="16"/>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2,300,000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Santa Monica Business Park</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October 8, 2028</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5.36%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268"/>
              <w:spacing w:after="0"/>
              <w:rPr>
                <w:sz w:val="20"/>
                <w:szCs w:val="20"/>
                <w:color w:val="auto"/>
              </w:rPr>
            </w:pPr>
            <w:r>
              <w:rPr>
                <w:rFonts w:ascii="Arial" w:cs="Arial" w:eastAsia="Arial" w:hAnsi="Arial"/>
                <w:sz w:val="14"/>
                <w:szCs w:val="14"/>
                <w:color w:val="auto"/>
              </w:rPr>
              <w:t>5.24%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57"/>
        </w:trPr>
        <w:tc>
          <w:tcPr>
            <w:tcW w:w="46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90 Broadway, 325 Main Street, 355 Main Street and Kendall Center</w:t>
            </w:r>
          </w:p>
        </w:tc>
        <w:tc>
          <w:tcPr>
            <w:tcW w:w="80" w:type="dxa"/>
            <w:vAlign w:val="bottom"/>
          </w:tcPr>
          <w:p>
            <w:pPr>
              <w:spacing w:after="0"/>
              <w:rPr>
                <w:sz w:val="13"/>
                <w:szCs w:val="13"/>
                <w:color w:val="auto"/>
              </w:rPr>
            </w:pPr>
          </w:p>
        </w:tc>
        <w:tc>
          <w:tcPr>
            <w:tcW w:w="170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October 26, 2028</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color w:val="auto"/>
              </w:rPr>
              <w:t>6.27%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vMerge w:val="restart"/>
          </w:tcPr>
          <w:p>
            <w:pPr>
              <w:jc w:val="center"/>
              <w:ind w:right="268"/>
              <w:spacing w:after="0"/>
              <w:rPr>
                <w:sz w:val="20"/>
                <w:szCs w:val="20"/>
                <w:color w:val="auto"/>
              </w:rPr>
            </w:pPr>
            <w:r>
              <w:rPr>
                <w:rFonts w:ascii="Arial" w:cs="Arial" w:eastAsia="Arial" w:hAnsi="Arial"/>
                <w:sz w:val="14"/>
                <w:szCs w:val="14"/>
                <w:color w:val="auto"/>
              </w:rPr>
              <w:t>6.04%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90"/>
        </w:trPr>
        <w:tc>
          <w:tcPr>
            <w:tcW w:w="4620" w:type="dxa"/>
            <w:vAlign w:val="bottom"/>
            <w:gridSpan w:val="2"/>
          </w:tcPr>
          <w:p>
            <w:pPr>
              <w:ind w:left="180"/>
              <w:spacing w:after="0"/>
              <w:rPr>
                <w:sz w:val="20"/>
                <w:szCs w:val="20"/>
                <w:color w:val="auto"/>
              </w:rPr>
            </w:pPr>
            <w:r>
              <w:rPr>
                <w:rFonts w:ascii="Arial" w:cs="Arial" w:eastAsia="Arial" w:hAnsi="Arial"/>
                <w:sz w:val="14"/>
                <w:szCs w:val="14"/>
                <w:color w:val="auto"/>
              </w:rPr>
              <w:t>Green Garage</w:t>
            </w:r>
          </w:p>
        </w:tc>
        <w:tc>
          <w:tcPr>
            <w:tcW w:w="8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901 New York Avenue</w:t>
            </w:r>
          </w:p>
        </w:tc>
        <w:tc>
          <w:tcPr>
            <w:tcW w:w="80" w:type="dxa"/>
            <w:vAlign w:val="bottom"/>
          </w:tcPr>
          <w:p>
            <w:pPr>
              <w:spacing w:after="0"/>
              <w:rPr>
                <w:sz w:val="16"/>
                <w:szCs w:val="16"/>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5, 2029</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5.06%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center"/>
              <w:ind w:right="268"/>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199,119</w:t>
            </w:r>
          </w:p>
        </w:tc>
        <w:tc>
          <w:tcPr>
            <w:tcW w:w="0" w:type="dxa"/>
            <w:vAlign w:val="bottom"/>
          </w:tcPr>
          <w:p>
            <w:pPr>
              <w:spacing w:after="0"/>
              <w:rPr>
                <w:sz w:val="1"/>
                <w:szCs w:val="1"/>
                <w:color w:val="auto"/>
              </w:rPr>
            </w:pPr>
          </w:p>
        </w:tc>
      </w:tr>
      <w:tr>
        <w:trPr>
          <w:trHeight w:val="20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601 Lexington Avenue (55% ownership)</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9, 2032</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2.93%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268"/>
              <w:spacing w:after="0"/>
              <w:rPr>
                <w:sz w:val="20"/>
                <w:szCs w:val="20"/>
                <w:color w:val="auto"/>
              </w:rPr>
            </w:pPr>
            <w:r>
              <w:rPr>
                <w:rFonts w:ascii="Arial" w:cs="Arial" w:eastAsia="Arial" w:hAnsi="Arial"/>
                <w:sz w:val="14"/>
                <w:szCs w:val="14"/>
                <w:color w:val="auto"/>
              </w:rPr>
              <w:t>2.79%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0"/>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4,299,119</w:t>
            </w:r>
          </w:p>
        </w:tc>
        <w:tc>
          <w:tcPr>
            <w:tcW w:w="0" w:type="dxa"/>
            <w:vAlign w:val="bottom"/>
          </w:tcPr>
          <w:p>
            <w:pPr>
              <w:spacing w:after="0"/>
              <w:rPr>
                <w:sz w:val="1"/>
                <w:szCs w:val="1"/>
                <w:color w:val="auto"/>
              </w:rPr>
            </w:pPr>
          </w:p>
        </w:tc>
      </w:tr>
      <w:tr>
        <w:trPr>
          <w:trHeight w:val="20"/>
        </w:trPr>
        <w:tc>
          <w:tcPr>
            <w:tcW w:w="6400" w:type="dxa"/>
            <w:vAlign w:val="bottom"/>
            <w:gridSpan w:val="6"/>
            <w:vMerge w:val="restart"/>
          </w:tcPr>
          <w:p>
            <w:pPr>
              <w:spacing w:after="0"/>
              <w:rPr>
                <w:sz w:val="20"/>
                <w:szCs w:val="20"/>
                <w:color w:val="auto"/>
              </w:rPr>
            </w:pPr>
            <w:r>
              <w:rPr>
                <w:rFonts w:ascii="Arial" w:cs="Arial" w:eastAsia="Arial" w:hAnsi="Arial"/>
                <w:sz w:val="14"/>
                <w:szCs w:val="14"/>
                <w:b w:val="1"/>
                <w:bCs w:val="1"/>
                <w:i w:val="1"/>
                <w:iCs w:val="1"/>
                <w:color w:val="auto"/>
              </w:rPr>
              <w:t xml:space="preserve">BOSTON PROPERTIES LIMITED PARTNERSHIP UNSECURED SENIOR NOTES </w:t>
            </w:r>
            <w:r>
              <w:rPr>
                <w:rFonts w:ascii="Arial" w:cs="Arial" w:eastAsia="Arial" w:hAnsi="Arial"/>
                <w:sz w:val="18"/>
                <w:szCs w:val="18"/>
                <w:b w:val="1"/>
                <w:bCs w:val="1"/>
                <w:i w:val="1"/>
                <w:iCs w:val="1"/>
                <w:color w:val="auto"/>
                <w:vertAlign w:val="superscript"/>
              </w:rPr>
              <w:t>3</w:t>
            </w: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6400" w:type="dxa"/>
            <w:vAlign w:val="bottom"/>
            <w:tcBorders>
              <w:bottom w:val="single" w:sz="8" w:color="auto"/>
            </w:tcBorders>
            <w:gridSpan w:val="6"/>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rPr>
              <w:t>Interest Rate</w:t>
            </w: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
              <w:spacing w:after="0" w:line="198" w:lineRule="exact"/>
              <w:rPr>
                <w:sz w:val="20"/>
                <w:szCs w:val="20"/>
                <w:color w:val="auto"/>
              </w:rPr>
            </w:pPr>
            <w:r>
              <w:rPr>
                <w:rFonts w:ascii="Arial" w:cs="Arial" w:eastAsia="Arial" w:hAnsi="Arial"/>
                <w:sz w:val="14"/>
                <w:szCs w:val="14"/>
                <w:b w:val="1"/>
                <w:bCs w:val="1"/>
                <w:color w:val="auto"/>
                <w:w w:val="97"/>
              </w:rPr>
              <w:t xml:space="preserve">GAAP </w:t>
            </w:r>
            <w:r>
              <w:rPr>
                <w:rFonts w:ascii="Arial" w:cs="Arial" w:eastAsia="Arial" w:hAnsi="Arial"/>
                <w:sz w:val="18"/>
                <w:szCs w:val="18"/>
                <w:b w:val="1"/>
                <w:bCs w:val="1"/>
                <w:color w:val="auto"/>
                <w:w w:val="97"/>
                <w:vertAlign w:val="superscript"/>
              </w:rPr>
              <w:t>1</w:t>
            </w:r>
          </w:p>
        </w:tc>
        <w:tc>
          <w:tcPr>
            <w:tcW w:w="240" w:type="dxa"/>
            <w:vAlign w:val="bottom"/>
            <w:gridSpan w:val="2"/>
          </w:tcPr>
          <w:p>
            <w:pPr>
              <w:spacing w:after="0"/>
              <w:rPr>
                <w:sz w:val="17"/>
                <w:szCs w:val="17"/>
                <w:color w:val="auto"/>
              </w:rPr>
            </w:pPr>
          </w:p>
        </w:tc>
        <w:tc>
          <w:tcPr>
            <w:tcW w:w="380" w:type="dxa"/>
            <w:vAlign w:val="bottom"/>
            <w:tcBorders>
              <w:bottom w:val="single" w:sz="8" w:color="auto"/>
            </w:tcBorders>
            <w:gridSpan w:val="3"/>
          </w:tcPr>
          <w:p>
            <w:pPr>
              <w:spacing w:after="0"/>
              <w:rPr>
                <w:sz w:val="17"/>
                <w:szCs w:val="17"/>
                <w:color w:val="auto"/>
              </w:rPr>
            </w:pPr>
          </w:p>
        </w:tc>
        <w:tc>
          <w:tcPr>
            <w:tcW w:w="88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rPr>
              <w:t>Stated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Outstanding Principal</w:t>
            </w:r>
          </w:p>
        </w:tc>
        <w:tc>
          <w:tcPr>
            <w:tcW w:w="0" w:type="dxa"/>
            <w:vAlign w:val="bottom"/>
          </w:tcPr>
          <w:p>
            <w:pPr>
              <w:spacing w:after="0"/>
              <w:rPr>
                <w:sz w:val="1"/>
                <w:szCs w:val="1"/>
                <w:color w:val="auto"/>
              </w:rPr>
            </w:pPr>
          </w:p>
        </w:tc>
      </w:tr>
      <w:tr>
        <w:trPr>
          <w:trHeight w:val="188"/>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6"/>
                <w:szCs w:val="16"/>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February 1, 2026</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3.77%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3.65%</w:t>
            </w:r>
          </w:p>
        </w:tc>
        <w:tc>
          <w:tcPr>
            <w:tcW w:w="20" w:type="dxa"/>
            <w:vAlign w:val="bottom"/>
          </w:tcPr>
          <w:p>
            <w:pPr>
              <w:spacing w:after="0"/>
              <w:rPr>
                <w:sz w:val="16"/>
                <w:szCs w:val="16"/>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October 1, 2026</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3.50%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2.75%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December 1, 2027</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6.92%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6.75%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December 1, 2028</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4.63%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4.50%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June 21, 2029</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3.51%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3.40%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March 15, 2030</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2.98%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2.90%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30, 2031</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3.34%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3.25%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1,250,000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April 1, 2032</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2.67%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2.55%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October 1, 2033</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2.52%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2.45%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15, 2034</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6.62%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6.50%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7"/>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15, 2035</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5.84%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5.75%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93"/>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9,850,000</w:t>
            </w:r>
          </w:p>
        </w:tc>
        <w:tc>
          <w:tcPr>
            <w:tcW w:w="0" w:type="dxa"/>
            <w:vAlign w:val="bottom"/>
          </w:tcPr>
          <w:p>
            <w:pPr>
              <w:spacing w:after="0"/>
              <w:rPr>
                <w:sz w:val="1"/>
                <w:szCs w:val="1"/>
                <w:color w:val="auto"/>
              </w:rPr>
            </w:pPr>
          </w:p>
        </w:tc>
      </w:tr>
      <w:tr>
        <w:trPr>
          <w:trHeight w:val="27"/>
        </w:trPr>
        <w:tc>
          <w:tcPr>
            <w:tcW w:w="8260" w:type="dxa"/>
            <w:vAlign w:val="bottom"/>
            <w:gridSpan w:val="13"/>
            <w:vMerge w:val="restart"/>
          </w:tcPr>
          <w:p>
            <w:pPr>
              <w:spacing w:after="0"/>
              <w:rPr>
                <w:sz w:val="20"/>
                <w:szCs w:val="20"/>
                <w:color w:val="auto"/>
              </w:rPr>
            </w:pPr>
            <w:r>
              <w:rPr>
                <w:rFonts w:ascii="Arial" w:cs="Arial" w:eastAsia="Arial" w:hAnsi="Arial"/>
                <w:sz w:val="14"/>
                <w:szCs w:val="14"/>
                <w:b w:val="1"/>
                <w:bCs w:val="1"/>
                <w:i w:val="1"/>
                <w:iCs w:val="1"/>
                <w:color w:val="auto"/>
              </w:rPr>
              <w:t xml:space="preserve">BOSTON PROPERTIES LIMITED PARTNERSHIP UNSECURED EXCHANGEABLE SENIOR NOTES </w:t>
            </w:r>
            <w:r>
              <w:rPr>
                <w:rFonts w:ascii="Arial" w:cs="Arial" w:eastAsia="Arial" w:hAnsi="Arial"/>
                <w:sz w:val="18"/>
                <w:szCs w:val="18"/>
                <w:b w:val="1"/>
                <w:bCs w:val="1"/>
                <w:i w:val="1"/>
                <w:iCs w:val="1"/>
                <w:color w:val="auto"/>
                <w:vertAlign w:val="superscript"/>
              </w:rPr>
              <w:t>3, 4</w:t>
            </w: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8260" w:type="dxa"/>
            <w:vAlign w:val="bottom"/>
            <w:tcBorders>
              <w:bottom w:val="single" w:sz="8" w:color="auto"/>
            </w:tcBorders>
            <w:gridSpan w:val="13"/>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Interest Rate</w:t>
            </w: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 xml:space="preserve">GAAP </w:t>
            </w:r>
            <w:r>
              <w:rPr>
                <w:rFonts w:ascii="Arial" w:cs="Arial" w:eastAsia="Arial" w:hAnsi="Arial"/>
                <w:sz w:val="9"/>
                <w:szCs w:val="9"/>
                <w:b w:val="1"/>
                <w:bCs w:val="1"/>
                <w:color w:val="auto"/>
              </w:rPr>
              <w:t>1</w:t>
            </w:r>
          </w:p>
        </w:tc>
        <w:tc>
          <w:tcPr>
            <w:tcW w:w="240" w:type="dxa"/>
            <w:vAlign w:val="bottom"/>
            <w:gridSpan w:val="3"/>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Stated</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Outstanding Principal</w:t>
            </w:r>
          </w:p>
        </w:tc>
        <w:tc>
          <w:tcPr>
            <w:tcW w:w="0" w:type="dxa"/>
            <w:vAlign w:val="bottom"/>
          </w:tcPr>
          <w:p>
            <w:pPr>
              <w:spacing w:after="0"/>
              <w:rPr>
                <w:sz w:val="1"/>
                <w:szCs w:val="1"/>
                <w:color w:val="auto"/>
              </w:rPr>
            </w:pPr>
          </w:p>
        </w:tc>
      </w:tr>
      <w:tr>
        <w:trPr>
          <w:trHeight w:val="194"/>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Exchangeable Senior Notes</w:t>
            </w:r>
          </w:p>
        </w:tc>
        <w:tc>
          <w:tcPr>
            <w:tcW w:w="80" w:type="dxa"/>
            <w:vAlign w:val="bottom"/>
          </w:tcPr>
          <w:p>
            <w:pPr>
              <w:spacing w:after="0"/>
              <w:rPr>
                <w:sz w:val="16"/>
                <w:szCs w:val="16"/>
                <w:color w:val="auto"/>
              </w:rPr>
            </w:pPr>
          </w:p>
        </w:tc>
        <w:tc>
          <w:tcPr>
            <w:tcW w:w="1700" w:type="dxa"/>
            <w:vAlign w:val="bottom"/>
            <w:gridSpan w:val="3"/>
          </w:tcPr>
          <w:p>
            <w:pPr>
              <w:ind w:left="480"/>
              <w:spacing w:after="0"/>
              <w:rPr>
                <w:sz w:val="20"/>
                <w:szCs w:val="20"/>
                <w:color w:val="auto"/>
              </w:rPr>
            </w:pPr>
            <w:r>
              <w:rPr>
                <w:rFonts w:ascii="Arial" w:cs="Arial" w:eastAsia="Arial" w:hAnsi="Arial"/>
                <w:sz w:val="14"/>
                <w:szCs w:val="14"/>
                <w:color w:val="auto"/>
              </w:rPr>
              <w:t>October 1, 2030</w:t>
            </w:r>
          </w:p>
        </w:tc>
        <w:tc>
          <w:tcPr>
            <w:tcW w:w="1240" w:type="dxa"/>
            <w:vAlign w:val="bottom"/>
            <w:gridSpan w:val="2"/>
          </w:tcPr>
          <w:p>
            <w:pPr>
              <w:jc w:val="right"/>
              <w:ind w:right="288"/>
              <w:spacing w:after="0"/>
              <w:rPr>
                <w:sz w:val="20"/>
                <w:szCs w:val="20"/>
                <w:color w:val="auto"/>
              </w:rPr>
            </w:pPr>
            <w:r>
              <w:rPr>
                <w:rFonts w:ascii="Arial" w:cs="Arial" w:eastAsia="Arial" w:hAnsi="Arial"/>
                <w:sz w:val="14"/>
                <w:szCs w:val="14"/>
                <w:color w:val="auto"/>
              </w:rPr>
              <w:t>2.50%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6"/>
                <w:szCs w:val="16"/>
                <w:color w:val="auto"/>
              </w:rPr>
            </w:pPr>
          </w:p>
        </w:tc>
        <w:tc>
          <w:tcPr>
            <w:tcW w:w="260" w:type="dxa"/>
            <w:vAlign w:val="bottom"/>
            <w:gridSpan w:val="4"/>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0"/>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-7572375</wp:posOffset>
            </wp:positionV>
            <wp:extent cx="257175"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Q3 2025</w:t>
            </w:r>
          </w:p>
        </w:tc>
      </w:tr>
      <w:tr>
        <w:trPr>
          <w:trHeight w:val="245"/>
        </w:trPr>
        <w:tc>
          <w:tcPr>
            <w:tcW w:w="6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00497F"/>
              </w:rPr>
              <w:t>Capital structure (continued)</w:t>
            </w:r>
          </w:p>
        </w:tc>
      </w:tr>
      <w:tr>
        <w:trPr>
          <w:trHeight w:val="727"/>
        </w:trPr>
        <w:tc>
          <w:tcPr>
            <w:tcW w:w="6240" w:type="dxa"/>
            <w:vAlign w:val="bottom"/>
          </w:tcPr>
          <w:p>
            <w:pPr>
              <w:spacing w:after="0"/>
              <w:rPr>
                <w:sz w:val="20"/>
                <w:szCs w:val="20"/>
                <w:color w:val="auto"/>
              </w:rPr>
            </w:pPr>
            <w:r>
              <w:rPr>
                <w:rFonts w:ascii="Arial" w:cs="Arial" w:eastAsia="Arial" w:hAnsi="Arial"/>
                <w:sz w:val="14"/>
                <w:szCs w:val="14"/>
                <w:b w:val="1"/>
                <w:bCs w:val="1"/>
                <w:i w:val="1"/>
                <w:iCs w:val="1"/>
                <w:color w:val="auto"/>
              </w:rPr>
              <w:t>CAPITALIZATION</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3"/>
        </w:trPr>
        <w:tc>
          <w:tcPr>
            <w:tcW w:w="62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200"/>
        </w:trPr>
        <w:tc>
          <w:tcPr>
            <w:tcW w:w="624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Shares/Units</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5"/>
        </w:trPr>
        <w:tc>
          <w:tcPr>
            <w:tcW w:w="6240" w:type="dxa"/>
            <w:vAlign w:val="bottom"/>
          </w:tcPr>
          <w:p>
            <w:pPr>
              <w:spacing w:after="0"/>
              <w:rPr>
                <w:sz w:val="17"/>
                <w:szCs w:val="17"/>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Equivalents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88"/>
              <w:spacing w:after="0" w:line="205" w:lineRule="exact"/>
              <w:rPr>
                <w:sz w:val="20"/>
                <w:szCs w:val="20"/>
                <w:color w:val="auto"/>
              </w:rPr>
            </w:pPr>
            <w:r>
              <w:rPr>
                <w:rFonts w:ascii="Arial" w:cs="Arial" w:eastAsia="Arial" w:hAnsi="Arial"/>
                <w:sz w:val="14"/>
                <w:szCs w:val="14"/>
                <w:b w:val="1"/>
                <w:bCs w:val="1"/>
                <w:color w:val="auto"/>
              </w:rPr>
              <w:t xml:space="preserve">Equivalent Value </w:t>
            </w:r>
            <w:r>
              <w:rPr>
                <w:rFonts w:ascii="Arial" w:cs="Arial" w:eastAsia="Arial" w:hAnsi="Arial"/>
                <w:sz w:val="18"/>
                <w:szCs w:val="18"/>
                <w:b w:val="1"/>
                <w:bCs w:val="1"/>
                <w:color w:val="auto"/>
                <w:vertAlign w:val="superscript"/>
              </w:rPr>
              <w:t>5</w:t>
            </w:r>
          </w:p>
        </w:tc>
      </w:tr>
      <w:tr>
        <w:trPr>
          <w:trHeight w:val="188"/>
        </w:trPr>
        <w:tc>
          <w:tcPr>
            <w:tcW w:w="624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158,400</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158,400</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11,775,456</w:t>
            </w:r>
          </w:p>
        </w:tc>
      </w:tr>
      <w:tr>
        <w:trPr>
          <w:trHeight w:val="204"/>
        </w:trPr>
        <w:tc>
          <w:tcPr>
            <w:tcW w:w="6240" w:type="dxa"/>
            <w:vAlign w:val="bottom"/>
          </w:tcPr>
          <w:p>
            <w:pPr>
              <w:ind w:left="20"/>
              <w:spacing w:after="0"/>
              <w:rPr>
                <w:sz w:val="20"/>
                <w:szCs w:val="20"/>
                <w:color w:val="auto"/>
              </w:rPr>
            </w:pPr>
            <w:r>
              <w:rPr>
                <w:rFonts w:ascii="Arial" w:cs="Arial" w:eastAsia="Arial" w:hAnsi="Arial"/>
                <w:sz w:val="14"/>
                <w:szCs w:val="14"/>
                <w:color w:val="auto"/>
              </w:rPr>
              <w:t>Common Operating Partnership Units</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18,399</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18,399</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1,367,782</w:t>
            </w:r>
          </w:p>
        </w:tc>
      </w:tr>
      <w:tr>
        <w:trPr>
          <w:trHeight w:val="194"/>
        </w:trPr>
        <w:tc>
          <w:tcPr>
            <w:tcW w:w="6240" w:type="dxa"/>
            <w:vAlign w:val="bottom"/>
          </w:tcPr>
          <w:p>
            <w:pPr>
              <w:ind w:left="220"/>
              <w:spacing w:after="0"/>
              <w:rPr>
                <w:sz w:val="20"/>
                <w:szCs w:val="20"/>
                <w:color w:val="auto"/>
              </w:rPr>
            </w:pPr>
            <w:r>
              <w:rPr>
                <w:rFonts w:ascii="Arial" w:cs="Arial" w:eastAsia="Arial" w:hAnsi="Arial"/>
                <w:sz w:val="14"/>
                <w:szCs w:val="14"/>
                <w:color w:val="auto"/>
              </w:rPr>
              <w:t>Total Equity</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176,799</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13,143,238</w:t>
            </w:r>
          </w:p>
        </w:tc>
      </w:tr>
      <w:tr>
        <w:trPr>
          <w:trHeight w:val="411"/>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Consolidated Debt </w:t>
            </w:r>
            <w:r>
              <w:rPr>
                <w:rFonts w:ascii="Arial" w:cs="Arial" w:eastAsia="Arial" w:hAnsi="Arial"/>
                <w:sz w:val="14"/>
                <w:szCs w:val="14"/>
                <w:b w:val="1"/>
                <w:bCs w:val="1"/>
                <w:color w:val="auto"/>
              </w:rPr>
              <w:t>(A)</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16,604,696</w:t>
            </w:r>
          </w:p>
        </w:tc>
      </w:tr>
      <w:tr>
        <w:trPr>
          <w:trHeight w:val="206"/>
        </w:trPr>
        <w:tc>
          <w:tcPr>
            <w:tcW w:w="6240" w:type="dxa"/>
            <w:vAlign w:val="bottom"/>
          </w:tcPr>
          <w:p>
            <w:pPr>
              <w:ind w:left="140"/>
              <w:spacing w:after="0"/>
              <w:rPr>
                <w:sz w:val="20"/>
                <w:szCs w:val="20"/>
                <w:color w:val="auto"/>
              </w:rPr>
            </w:pPr>
            <w:r>
              <w:rPr>
                <w:rFonts w:ascii="Arial" w:cs="Arial" w:eastAsia="Arial" w:hAnsi="Arial"/>
                <w:sz w:val="14"/>
                <w:szCs w:val="14"/>
                <w:color w:val="auto"/>
              </w:rPr>
              <w:t xml:space="preserve">Add: BXP’s share of unconsolidated joint venture debt </w:t>
            </w:r>
            <w:r>
              <w:rPr>
                <w:rFonts w:ascii="Arial" w:cs="Arial" w:eastAsia="Arial" w:hAnsi="Arial"/>
                <w:sz w:val="18"/>
                <w:szCs w:val="18"/>
                <w:color w:val="auto"/>
                <w:vertAlign w:val="superscript"/>
              </w:rPr>
              <w:t>6</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1,372,439</w:t>
            </w:r>
          </w:p>
        </w:tc>
      </w:tr>
      <w:tr>
        <w:trPr>
          <w:trHeight w:val="201"/>
        </w:trPr>
        <w:tc>
          <w:tcPr>
            <w:tcW w:w="6240" w:type="dxa"/>
            <w:vAlign w:val="bottom"/>
          </w:tcPr>
          <w:p>
            <w:pPr>
              <w:ind w:left="140"/>
              <w:spacing w:after="0" w:line="201" w:lineRule="exact"/>
              <w:rPr>
                <w:sz w:val="20"/>
                <w:szCs w:val="20"/>
                <w:color w:val="auto"/>
              </w:rPr>
            </w:pPr>
            <w:r>
              <w:rPr>
                <w:rFonts w:ascii="Arial" w:cs="Arial" w:eastAsia="Arial" w:hAnsi="Arial"/>
                <w:sz w:val="14"/>
                <w:szCs w:val="14"/>
                <w:color w:val="auto"/>
              </w:rPr>
              <w:t xml:space="preserve">Less: Partners’ share of consolidated debt </w:t>
            </w:r>
            <w:r>
              <w:rPr>
                <w:rFonts w:ascii="Arial" w:cs="Arial" w:eastAsia="Arial" w:hAnsi="Arial"/>
                <w:sz w:val="18"/>
                <w:szCs w:val="18"/>
                <w:color w:val="auto"/>
                <w:vertAlign w:val="superscript"/>
              </w:rPr>
              <w:t>7</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1,363,861</w:t>
            </w:r>
          </w:p>
        </w:tc>
      </w:tr>
      <w:tr>
        <w:trPr>
          <w:trHeight w:val="196"/>
        </w:trPr>
        <w:tc>
          <w:tcPr>
            <w:tcW w:w="6240" w:type="dxa"/>
            <w:vAlign w:val="bottom"/>
          </w:tcPr>
          <w:p>
            <w:pPr>
              <w:ind w:left="20"/>
              <w:spacing w:after="0" w:line="196" w:lineRule="exact"/>
              <w:rPr>
                <w:sz w:val="20"/>
                <w:szCs w:val="20"/>
                <w:color w:val="auto"/>
              </w:rPr>
            </w:pPr>
            <w:r>
              <w:rPr>
                <w:rFonts w:ascii="Arial" w:cs="Arial" w:eastAsia="Arial" w:hAnsi="Arial"/>
                <w:sz w:val="14"/>
                <w:szCs w:val="14"/>
                <w:color w:val="auto"/>
              </w:rPr>
              <w:t xml:space="preserve">BXP’s Share of Debt </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16,613,274</w:t>
            </w:r>
          </w:p>
        </w:tc>
      </w:tr>
      <w:tr>
        <w:trPr>
          <w:trHeight w:val="21"/>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369"/>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Consolidated Market Capitalization </w:t>
            </w:r>
            <w:r>
              <w:rPr>
                <w:rFonts w:ascii="Arial" w:cs="Arial" w:eastAsia="Arial" w:hAnsi="Arial"/>
                <w:sz w:val="14"/>
                <w:szCs w:val="14"/>
                <w:b w:val="1"/>
                <w:bCs w:val="1"/>
                <w:color w:val="auto"/>
              </w:rPr>
              <w:t>(C)</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29,747,934</w:t>
            </w:r>
          </w:p>
        </w:tc>
      </w:tr>
      <w:tr>
        <w:trPr>
          <w:trHeight w:val="198"/>
        </w:trPr>
        <w:tc>
          <w:tcPr>
            <w:tcW w:w="6240" w:type="dxa"/>
            <w:vAlign w:val="bottom"/>
          </w:tcPr>
          <w:p>
            <w:pPr>
              <w:ind w:left="20"/>
              <w:spacing w:after="0" w:line="198" w:lineRule="exact"/>
              <w:rPr>
                <w:sz w:val="20"/>
                <w:szCs w:val="20"/>
                <w:color w:val="auto"/>
              </w:rPr>
            </w:pPr>
            <w:r>
              <w:rPr>
                <w:rFonts w:ascii="Arial" w:cs="Arial" w:eastAsia="Arial" w:hAnsi="Arial"/>
                <w:sz w:val="14"/>
                <w:szCs w:val="14"/>
                <w:color w:val="auto"/>
              </w:rPr>
              <w:t xml:space="preserve">BXP’s Share of Market Capitalization </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w:t>
            </w:r>
            <w:r>
              <w:rPr>
                <w:rFonts w:ascii="Arial" w:cs="Arial" w:eastAsia="Arial" w:hAnsi="Arial"/>
                <w:sz w:val="14"/>
                <w:szCs w:val="14"/>
                <w:b w:val="1"/>
                <w:bCs w:val="1"/>
                <w:color w:val="auto"/>
              </w:rPr>
              <w:t>(D)</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29,756,512</w:t>
            </w:r>
          </w:p>
        </w:tc>
      </w:tr>
      <w:tr>
        <w:trPr>
          <w:trHeight w:val="194"/>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Consolidated Debt/Consolidated Market Capitalization </w:t>
            </w:r>
            <w:r>
              <w:rPr>
                <w:rFonts w:ascii="Arial" w:cs="Arial" w:eastAsia="Arial" w:hAnsi="Arial"/>
                <w:sz w:val="14"/>
                <w:szCs w:val="14"/>
                <w:b w:val="1"/>
                <w:bCs w:val="1"/>
                <w:color w:val="auto"/>
              </w:rPr>
              <w:t>(A÷C)</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55.82 %</w:t>
            </w:r>
          </w:p>
        </w:tc>
      </w:tr>
      <w:tr>
        <w:trPr>
          <w:trHeight w:val="198"/>
        </w:trPr>
        <w:tc>
          <w:tcPr>
            <w:tcW w:w="6240" w:type="dxa"/>
            <w:vAlign w:val="bottom"/>
          </w:tcPr>
          <w:p>
            <w:pPr>
              <w:ind w:left="20"/>
              <w:spacing w:after="0" w:line="198" w:lineRule="exact"/>
              <w:rPr>
                <w:sz w:val="20"/>
                <w:szCs w:val="20"/>
                <w:color w:val="auto"/>
              </w:rPr>
            </w:pPr>
            <w:r>
              <w:rPr>
                <w:rFonts w:ascii="Arial" w:cs="Arial" w:eastAsia="Arial" w:hAnsi="Arial"/>
                <w:sz w:val="14"/>
                <w:szCs w:val="14"/>
                <w:color w:val="auto"/>
              </w:rPr>
              <w:t xml:space="preserve">BXP’s Share of Debt/BXP’s Share of Market Capitalization </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w:t>
            </w:r>
            <w:r>
              <w:rPr>
                <w:rFonts w:ascii="Arial" w:cs="Arial" w:eastAsia="Arial" w:hAnsi="Arial"/>
                <w:sz w:val="14"/>
                <w:szCs w:val="14"/>
                <w:b w:val="1"/>
                <w:bCs w:val="1"/>
                <w:color w:val="auto"/>
              </w:rPr>
              <w:t>(B÷D)</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-2767965</wp:posOffset>
            </wp:positionV>
            <wp:extent cx="257175"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right="140" w:hanging="72"/>
        <w:spacing w:after="0" w:line="290" w:lineRule="auto"/>
        <w:tabs>
          <w:tab w:leader="none" w:pos="78" w:val="left"/>
        </w:tabs>
        <w:numPr>
          <w:ilvl w:val="0"/>
          <w:numId w:val="67"/>
        </w:numPr>
        <w:rPr>
          <w:rFonts w:ascii="Arial" w:cs="Arial" w:eastAsia="Arial" w:hAnsi="Arial"/>
          <w:sz w:val="9"/>
          <w:szCs w:val="9"/>
          <w:color w:val="auto"/>
        </w:rPr>
      </w:pPr>
      <w:r>
        <w:rPr>
          <w:rFonts w:ascii="Arial" w:cs="Arial" w:eastAsia="Arial" w:hAnsi="Arial"/>
          <w:sz w:val="14"/>
          <w:szCs w:val="14"/>
          <w:color w:val="auto"/>
        </w:rPr>
        <w:t>The GAAP interest rate differs from the stated interest rate due to the inclusion of the amortization of financing charges, the effects of hedging transactions (excluding capped calls classified as equity) and adjustments required to reflect loans and swaps at their fair values upon consolidation.</w:t>
      </w:r>
    </w:p>
    <w:p>
      <w:pPr>
        <w:ind w:left="80" w:hanging="72"/>
        <w:spacing w:after="0" w:line="211" w:lineRule="auto"/>
        <w:tabs>
          <w:tab w:leader="none" w:pos="8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The stated interest rate includes the effects of hedging transactions.</w:t>
      </w:r>
    </w:p>
    <w:p>
      <w:pPr>
        <w:ind w:left="80" w:hanging="72"/>
        <w:spacing w:after="0" w:line="223" w:lineRule="auto"/>
        <w:tabs>
          <w:tab w:leader="none" w:pos="8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All unsecured senior notes and unsecured exchangeable senior notes are rated BBB (negative), and Baa2 (stable) by S&amp;P and Moody’s, respectively.</w:t>
      </w:r>
    </w:p>
    <w:p>
      <w:pPr>
        <w:spacing w:after="0" w:line="26" w:lineRule="exact"/>
        <w:rPr>
          <w:sz w:val="20"/>
          <w:szCs w:val="20"/>
          <w:color w:val="auto"/>
        </w:rPr>
      </w:pPr>
    </w:p>
    <w:p>
      <w:pPr>
        <w:ind w:left="80" w:hanging="72"/>
        <w:spacing w:after="0" w:line="261" w:lineRule="auto"/>
        <w:tabs>
          <w:tab w:leader="none" w:pos="78" w:val="left"/>
        </w:tabs>
        <w:numPr>
          <w:ilvl w:val="0"/>
          <w:numId w:val="70"/>
        </w:numPr>
        <w:rPr>
          <w:rFonts w:ascii="Arial" w:cs="Arial" w:eastAsia="Arial" w:hAnsi="Arial"/>
          <w:sz w:val="9"/>
          <w:szCs w:val="9"/>
          <w:color w:val="auto"/>
        </w:rPr>
      </w:pPr>
      <w:r>
        <w:rPr>
          <w:rFonts w:ascii="Arial" w:cs="Arial" w:eastAsia="Arial" w:hAnsi="Arial"/>
          <w:sz w:val="14"/>
          <w:szCs w:val="14"/>
          <w:color w:val="auto"/>
        </w:rPr>
        <w:t>The GAAP interest rate excludes capped call transactions that are classified as equity. The initial exchange rate of the unsecured exchangeable senior notes is 10.8180 shares of BXP’s common stock per $1,000 principal amount of notes, which represents an initial exchange price of approximately $92.44 per share of BXP’s common stock. In conjunction with the issuance of the unsecured exchangeable senior notes, the Company entered into capped call transactions to cover, subject to customary adjustments, the number of shares of BXP’s common stock initially underlying the unsecured exchangeable senior notes. The capped call transactions are expected generally to reduce the potential dilution to BXP’s common stock upon any exchange of notes and/or offset any cash payments BPLP is required to make in excess of the principal amount of exchanged notes, as the case may be, with such reduction and/or offset subject to a cap. The cap price of the capped call transactions is initially $105.64 per share, which represents a premium of 40% over the last reported sale price of $75.46 per share of BXP’s common stock on September 24, 2025, and is subject to certain adjustments under the terms of the capped call transactions. The capped call transactions will expire upon the maturity of the unsecured exchangeable senior notes, if not earlier exercised or terminated, and the premiums associated with the purchase were classified as equity.</w:t>
      </w:r>
    </w:p>
    <w:p>
      <w:pPr>
        <w:spacing w:after="0" w:line="3" w:lineRule="exact"/>
        <w:rPr>
          <w:sz w:val="20"/>
          <w:szCs w:val="20"/>
          <w:color w:val="auto"/>
        </w:rPr>
      </w:pPr>
    </w:p>
    <w:p>
      <w:pPr>
        <w:ind w:left="80" w:hanging="72"/>
        <w:spacing w:after="0"/>
        <w:tabs>
          <w:tab w:leader="none" w:pos="80" w:val="left"/>
        </w:tabs>
        <w:numPr>
          <w:ilvl w:val="0"/>
          <w:numId w:val="71"/>
        </w:numPr>
        <w:rPr>
          <w:rFonts w:ascii="Arial" w:cs="Arial" w:eastAsia="Arial" w:hAnsi="Arial"/>
          <w:sz w:val="9"/>
          <w:szCs w:val="9"/>
          <w:color w:val="auto"/>
        </w:rPr>
      </w:pPr>
      <w:r>
        <w:rPr>
          <w:rFonts w:ascii="Arial" w:cs="Arial" w:eastAsia="Arial" w:hAnsi="Arial"/>
          <w:sz w:val="14"/>
          <w:szCs w:val="14"/>
          <w:color w:val="auto"/>
        </w:rPr>
        <w:t>Values are based on the September 30, 2025 closing price of $74.34 per share of BXP common stock.</w:t>
      </w:r>
    </w:p>
    <w:p>
      <w:pPr>
        <w:spacing w:after="0" w:line="27" w:lineRule="exact"/>
        <w:rPr>
          <w:sz w:val="20"/>
          <w:szCs w:val="20"/>
          <w:color w:val="auto"/>
        </w:rPr>
      </w:pPr>
    </w:p>
    <w:p>
      <w:pPr>
        <w:ind w:left="80" w:hanging="72"/>
        <w:spacing w:after="0"/>
        <w:tabs>
          <w:tab w:leader="none" w:pos="80" w:val="left"/>
        </w:tabs>
        <w:numPr>
          <w:ilvl w:val="0"/>
          <w:numId w:val="72"/>
        </w:numPr>
        <w:rPr>
          <w:rFonts w:ascii="Arial" w:cs="Arial" w:eastAsia="Arial" w:hAnsi="Arial"/>
          <w:sz w:val="19"/>
          <w:szCs w:val="19"/>
          <w:color w:val="auto"/>
          <w:vertAlign w:val="superscript"/>
        </w:rPr>
      </w:pPr>
      <w:r>
        <w:rPr>
          <w:rFonts w:ascii="Arial" w:cs="Arial" w:eastAsia="Arial" w:hAnsi="Arial"/>
          <w:sz w:val="14"/>
          <w:szCs w:val="14"/>
          <w:color w:val="auto"/>
        </w:rPr>
        <w:t>Amount is calculated based on the Company’s percentage ownership interest in the unconsolidated joint venture entities. For additional detail, see page 35.</w:t>
      </w:r>
    </w:p>
    <w:p>
      <w:pPr>
        <w:spacing w:after="0" w:line="26" w:lineRule="exact"/>
        <w:rPr>
          <w:sz w:val="20"/>
          <w:szCs w:val="20"/>
          <w:color w:val="auto"/>
        </w:rPr>
      </w:pPr>
    </w:p>
    <w:p>
      <w:pPr>
        <w:ind w:left="80" w:hanging="72"/>
        <w:spacing w:after="0"/>
        <w:tabs>
          <w:tab w:leader="none" w:pos="80" w:val="left"/>
        </w:tabs>
        <w:numPr>
          <w:ilvl w:val="0"/>
          <w:numId w:val="73"/>
        </w:numPr>
        <w:rPr>
          <w:rFonts w:ascii="Arial" w:cs="Arial" w:eastAsia="Arial" w:hAnsi="Arial"/>
          <w:sz w:val="9"/>
          <w:szCs w:val="9"/>
          <w:color w:val="auto"/>
        </w:rPr>
      </w:pPr>
      <w:r>
        <w:rPr>
          <w:rFonts w:ascii="Arial" w:cs="Arial" w:eastAsia="Arial" w:hAnsi="Arial"/>
          <w:sz w:val="14"/>
          <w:szCs w:val="14"/>
          <w:color w:val="auto"/>
        </w:rPr>
        <w:t>Amount is calculated based on the outside partners’ percentage ownership interest in the consolidated joint venture entities. For additional detail, see page 33.</w:t>
      </w:r>
    </w:p>
    <w:p>
      <w:pPr>
        <w:spacing w:after="0" w:line="38"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See the Definitions and Reconciliations sections of this Supplemental package starting on page 56.</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265" w:right="339" w:bottom="1440" w:gutter="0" w:footer="0" w:header="0"/>
        </w:sectPr>
      </w:pPr>
    </w:p>
    <w:bookmarkStart w:id="36" w:name="page37"/>
    <w:bookmarkEnd w:id="36"/>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Debt analysis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wp:posOffset>
            </wp:positionV>
            <wp:extent cx="6283325" cy="18859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8332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UNSECURED REVOLVING CREDIT FACILITY - MATURES MARCH 29, 2030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3"/>
                <w:szCs w:val="13"/>
                <w:b w:val="1"/>
                <w:bCs w:val="1"/>
                <w:color w:val="auto"/>
              </w:rPr>
              <w:t>Facility</w:t>
            </w: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3"/>
                <w:szCs w:val="13"/>
                <w:b w:val="1"/>
                <w:bCs w:val="1"/>
                <w:color w:val="auto"/>
              </w:rPr>
              <w:t>Outstanding at</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49"/>
              <w:spacing w:after="0"/>
              <w:rPr>
                <w:sz w:val="20"/>
                <w:szCs w:val="20"/>
                <w:color w:val="auto"/>
              </w:rPr>
            </w:pPr>
            <w:r>
              <w:rPr>
                <w:rFonts w:ascii="Arial" w:cs="Arial" w:eastAsia="Arial" w:hAnsi="Arial"/>
                <w:sz w:val="13"/>
                <w:szCs w:val="13"/>
                <w:b w:val="1"/>
                <w:bCs w:val="1"/>
                <w:color w:val="auto"/>
              </w:rPr>
              <w:t>Remaining Capacity at</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rPr>
              <w:t>September 30, 2025</w:t>
            </w:r>
          </w:p>
        </w:tc>
        <w:tc>
          <w:tcPr>
            <w:tcW w:w="2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rPr>
              <w:t>September 30, 2025</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Arial" w:cs="Arial" w:eastAsia="Arial" w:hAnsi="Arial"/>
                <w:sz w:val="14"/>
                <w:szCs w:val="14"/>
                <w:color w:val="auto"/>
              </w:rPr>
              <w:t>Unsecured Line of Credit</w:t>
            </w: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2,250,000</w:t>
            </w:r>
          </w:p>
        </w:tc>
        <w:tc>
          <w:tcPr>
            <w:tcW w:w="20" w:type="dxa"/>
            <w:vAlign w:val="bottom"/>
          </w:tcPr>
          <w:p>
            <w:pPr>
              <w:spacing w:after="0"/>
              <w:rPr>
                <w:sz w:val="16"/>
                <w:szCs w:val="16"/>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2,250,000</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4"/>
                <w:szCs w:val="14"/>
                <w:color w:val="auto"/>
              </w:rPr>
              <w:t>Less:</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40"/>
              <w:spacing w:after="0"/>
              <w:rPr>
                <w:sz w:val="20"/>
                <w:szCs w:val="20"/>
                <w:color w:val="auto"/>
              </w:rPr>
            </w:pPr>
            <w:r>
              <w:rPr>
                <w:rFonts w:ascii="Arial" w:cs="Arial" w:eastAsia="Arial" w:hAnsi="Arial"/>
                <w:sz w:val="14"/>
                <w:szCs w:val="14"/>
                <w:color w:val="auto"/>
              </w:rPr>
              <w:t xml:space="preserve">Unsecured Commercial Paper </w:t>
            </w:r>
            <w:r>
              <w:rPr>
                <w:rFonts w:ascii="Arial" w:cs="Arial" w:eastAsia="Arial" w:hAnsi="Arial"/>
                <w:sz w:val="18"/>
                <w:szCs w:val="18"/>
                <w:color w:val="auto"/>
                <w:vertAlign w:val="superscript"/>
              </w:rPr>
              <w:t>2</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94"/>
        </w:trPr>
        <w:tc>
          <w:tcPr>
            <w:tcW w:w="4120" w:type="dxa"/>
            <w:vAlign w:val="bottom"/>
          </w:tcPr>
          <w:p>
            <w:pPr>
              <w:ind w:left="240"/>
              <w:spacing w:after="0"/>
              <w:rPr>
                <w:sz w:val="20"/>
                <w:szCs w:val="20"/>
                <w:color w:val="auto"/>
              </w:rPr>
            </w:pPr>
            <w:r>
              <w:rPr>
                <w:rFonts w:ascii="Arial" w:cs="Arial" w:eastAsia="Arial" w:hAnsi="Arial"/>
                <w:sz w:val="14"/>
                <w:szCs w:val="14"/>
                <w:color w:val="auto"/>
              </w:rPr>
              <w:t>Letters of Credit</w:t>
            </w: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0" w:type="dxa"/>
            <w:vAlign w:val="bottom"/>
          </w:tcPr>
          <w:p>
            <w:pPr>
              <w:spacing w:after="0"/>
              <w:rPr>
                <w:sz w:val="1"/>
                <w:szCs w:val="1"/>
                <w:color w:val="auto"/>
              </w:rPr>
            </w:pPr>
          </w:p>
        </w:tc>
      </w:tr>
      <w:tr>
        <w:trPr>
          <w:trHeight w:val="200"/>
        </w:trPr>
        <w:tc>
          <w:tcPr>
            <w:tcW w:w="4120" w:type="dxa"/>
            <w:vAlign w:val="bottom"/>
          </w:tcPr>
          <w:p>
            <w:pPr>
              <w:ind w:left="20"/>
              <w:spacing w:after="0"/>
              <w:rPr>
                <w:sz w:val="20"/>
                <w:szCs w:val="20"/>
                <w:color w:val="auto"/>
              </w:rPr>
            </w:pPr>
            <w:r>
              <w:rPr>
                <w:rFonts w:ascii="Arial" w:cs="Arial" w:eastAsia="Arial" w:hAnsi="Arial"/>
                <w:sz w:val="14"/>
                <w:szCs w:val="14"/>
                <w:color w:val="auto"/>
              </w:rPr>
              <w:t>Total Remaining Capacity</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1,494,607</w:t>
            </w:r>
          </w:p>
        </w:tc>
        <w:tc>
          <w:tcPr>
            <w:tcW w:w="0" w:type="dxa"/>
            <w:vAlign w:val="bottom"/>
          </w:tcPr>
          <w:p>
            <w:pPr>
              <w:spacing w:after="0"/>
              <w:rPr>
                <w:sz w:val="1"/>
                <w:szCs w:val="1"/>
                <w:color w:val="auto"/>
              </w:rPr>
            </w:pPr>
          </w:p>
        </w:tc>
      </w:tr>
      <w:tr>
        <w:trPr>
          <w:trHeight w:val="21"/>
        </w:trPr>
        <w:tc>
          <w:tcPr>
            <w:tcW w:w="4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UNSECURED TERM LOANS</w:t>
            </w: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4120" w:type="dxa"/>
            <w:vAlign w:val="bottom"/>
            <w:tcBorders>
              <w:bottom w:val="single" w:sz="8" w:color="auto"/>
            </w:tcBorders>
            <w:vMerge w:val="continue"/>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Maturity Date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rPr>
              <w:t>Facility</w:t>
            </w:r>
          </w:p>
        </w:tc>
        <w:tc>
          <w:tcPr>
            <w:tcW w:w="260" w:type="dxa"/>
            <w:vAlign w:val="bottom"/>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rPr>
              <w:t>Outstanding Principal</w:t>
            </w:r>
          </w:p>
        </w:tc>
        <w:tc>
          <w:tcPr>
            <w:tcW w:w="0" w:type="dxa"/>
            <w:vAlign w:val="bottom"/>
          </w:tcPr>
          <w:p>
            <w:pPr>
              <w:spacing w:after="0"/>
              <w:rPr>
                <w:sz w:val="1"/>
                <w:szCs w:val="1"/>
                <w:color w:val="auto"/>
              </w:rPr>
            </w:pPr>
          </w:p>
        </w:tc>
      </w:tr>
      <w:tr>
        <w:trPr>
          <w:trHeight w:val="201"/>
        </w:trPr>
        <w:tc>
          <w:tcPr>
            <w:tcW w:w="412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2024 Unsecured Term Loan </w:t>
            </w:r>
            <w:r>
              <w:rPr>
                <w:rFonts w:ascii="Arial" w:cs="Arial" w:eastAsia="Arial" w:hAnsi="Arial"/>
                <w:sz w:val="18"/>
                <w:szCs w:val="18"/>
                <w:color w:val="auto"/>
                <w:vertAlign w:val="superscript"/>
              </w:rPr>
              <w:t>3</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September 26, 2026</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100,000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gridSpan w:val="3"/>
          </w:tcPr>
          <w:p>
            <w:pPr>
              <w:jc w:val="right"/>
              <w:ind w:right="6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01"/>
        </w:trPr>
        <w:tc>
          <w:tcPr>
            <w:tcW w:w="412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Unsecured Term Loan Facility </w:t>
            </w:r>
            <w:r>
              <w:rPr>
                <w:rFonts w:ascii="Arial" w:cs="Arial" w:eastAsia="Arial" w:hAnsi="Arial"/>
                <w:sz w:val="18"/>
                <w:szCs w:val="18"/>
                <w:color w:val="auto"/>
                <w:vertAlign w:val="superscript"/>
              </w:rPr>
              <w:t>4</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March 30, 2029</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700,000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UNSECURED AND SECURED DEBT ANALYSIS</w:t>
            </w: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4120" w:type="dxa"/>
            <w:vAlign w:val="bottom"/>
            <w:tcBorders>
              <w:bottom w:val="single" w:sz="8" w:color="auto"/>
            </w:tcBorders>
            <w:vMerge w:val="continue"/>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3"/>
                <w:szCs w:val="13"/>
                <w:b w:val="1"/>
                <w:bCs w:val="1"/>
                <w:color w:val="auto"/>
              </w:rPr>
              <w:t>Weighted Average</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1820" w:type="dxa"/>
            <w:vAlign w:val="bottom"/>
            <w:gridSpan w:val="3"/>
          </w:tcPr>
          <w:p>
            <w:pPr>
              <w:ind w:left="300"/>
              <w:spacing w:after="0"/>
              <w:rPr>
                <w:sz w:val="20"/>
                <w:szCs w:val="20"/>
                <w:color w:val="auto"/>
              </w:rPr>
            </w:pPr>
            <w:r>
              <w:rPr>
                <w:rFonts w:ascii="Arial" w:cs="Arial" w:eastAsia="Arial" w:hAnsi="Arial"/>
                <w:sz w:val="13"/>
                <w:szCs w:val="13"/>
                <w:b w:val="1"/>
                <w:bCs w:val="1"/>
                <w:color w:val="auto"/>
              </w:rPr>
              <w:t>% of Total Debt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Stated Rates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ind w:left="240"/>
              <w:spacing w:after="0" w:line="184" w:lineRule="exact"/>
              <w:rPr>
                <w:sz w:val="20"/>
                <w:szCs w:val="20"/>
                <w:color w:val="auto"/>
              </w:rPr>
            </w:pPr>
            <w:r>
              <w:rPr>
                <w:rFonts w:ascii="Arial" w:cs="Arial" w:eastAsia="Arial" w:hAnsi="Arial"/>
                <w:sz w:val="13"/>
                <w:szCs w:val="13"/>
                <w:b w:val="1"/>
                <w:bCs w:val="1"/>
                <w:color w:val="auto"/>
              </w:rPr>
              <w:t xml:space="preserve">GAAP Rates </w:t>
            </w:r>
            <w:r>
              <w:rPr>
                <w:rFonts w:ascii="Arial" w:cs="Arial" w:eastAsia="Arial" w:hAnsi="Arial"/>
                <w:sz w:val="17"/>
                <w:szCs w:val="17"/>
                <w:b w:val="1"/>
                <w:bCs w:val="1"/>
                <w:color w:val="auto"/>
                <w:vertAlign w:val="superscript"/>
              </w:rPr>
              <w:t>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jc w:val="right"/>
              <w:ind w:right="249"/>
              <w:spacing w:after="0"/>
              <w:rPr>
                <w:sz w:val="20"/>
                <w:szCs w:val="20"/>
                <w:color w:val="auto"/>
              </w:rPr>
            </w:pPr>
            <w:r>
              <w:rPr>
                <w:rFonts w:ascii="Arial" w:cs="Arial" w:eastAsia="Arial" w:hAnsi="Arial"/>
                <w:sz w:val="13"/>
                <w:szCs w:val="13"/>
                <w:b w:val="1"/>
                <w:bCs w:val="1"/>
                <w:color w:val="auto"/>
              </w:rPr>
              <w:t>Maturity (years)</w:t>
            </w:r>
          </w:p>
        </w:tc>
        <w:tc>
          <w:tcPr>
            <w:tcW w:w="0" w:type="dxa"/>
            <w:vAlign w:val="bottom"/>
          </w:tcPr>
          <w:p>
            <w:pPr>
              <w:spacing w:after="0"/>
              <w:rPr>
                <w:sz w:val="1"/>
                <w:szCs w:val="1"/>
                <w:color w:val="auto"/>
              </w:rPr>
            </w:pPr>
          </w:p>
        </w:tc>
      </w:tr>
      <w:tr>
        <w:trPr>
          <w:trHeight w:val="188"/>
        </w:trPr>
        <w:tc>
          <w:tcPr>
            <w:tcW w:w="4120" w:type="dxa"/>
            <w:vAlign w:val="bottom"/>
          </w:tcPr>
          <w:p>
            <w:pPr>
              <w:ind w:left="20"/>
              <w:spacing w:after="0"/>
              <w:rPr>
                <w:sz w:val="20"/>
                <w:szCs w:val="20"/>
                <w:color w:val="auto"/>
              </w:rPr>
            </w:pPr>
            <w:r>
              <w:rPr>
                <w:rFonts w:ascii="Arial" w:cs="Arial" w:eastAsia="Arial" w:hAnsi="Arial"/>
                <w:sz w:val="14"/>
                <w:szCs w:val="14"/>
                <w:color w:val="auto"/>
              </w:rPr>
              <w:t>Unsecured Debt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74.23 %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3.99 %</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4.11 %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4"/>
        </w:trPr>
        <w:tc>
          <w:tcPr>
            <w:tcW w:w="4120" w:type="dxa"/>
            <w:vAlign w:val="bottom"/>
          </w:tcPr>
          <w:p>
            <w:pPr>
              <w:ind w:left="20"/>
              <w:spacing w:after="0"/>
              <w:rPr>
                <w:sz w:val="20"/>
                <w:szCs w:val="20"/>
                <w:color w:val="auto"/>
              </w:rPr>
            </w:pPr>
            <w:r>
              <w:rPr>
                <w:rFonts w:ascii="Arial" w:cs="Arial" w:eastAsia="Arial" w:hAnsi="Arial"/>
                <w:sz w:val="14"/>
                <w:szCs w:val="14"/>
                <w:color w:val="auto"/>
              </w:rPr>
              <w:t>Secured Debt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25.77 %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3.80 %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3.99 %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4"/>
        </w:trPr>
        <w:tc>
          <w:tcPr>
            <w:tcW w:w="412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1560" w:type="dxa"/>
            <w:vAlign w:val="bottom"/>
          </w:tcPr>
          <w:p>
            <w:pPr>
              <w:jc w:val="right"/>
              <w:spacing w:after="0"/>
              <w:rPr>
                <w:sz w:val="20"/>
                <w:szCs w:val="20"/>
                <w:color w:val="auto"/>
              </w:rPr>
            </w:pPr>
            <w:r>
              <w:rPr>
                <w:rFonts w:ascii="Arial" w:cs="Arial" w:eastAsia="Arial" w:hAnsi="Arial"/>
                <w:sz w:val="14"/>
                <w:szCs w:val="14"/>
                <w:color w:val="auto"/>
              </w:rPr>
              <w:t>100.00 %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3.94 %</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4"/>
                <w:szCs w:val="14"/>
                <w:color w:val="auto"/>
              </w:rPr>
              <w:t>4.07 %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533"/>
        </w:trPr>
        <w:tc>
          <w:tcPr>
            <w:tcW w:w="4120" w:type="dxa"/>
            <w:vAlign w:val="bottom"/>
          </w:tcPr>
          <w:p>
            <w:pPr>
              <w:spacing w:after="0"/>
              <w:rPr>
                <w:sz w:val="20"/>
                <w:szCs w:val="20"/>
                <w:color w:val="auto"/>
              </w:rPr>
            </w:pPr>
            <w:r>
              <w:rPr>
                <w:rFonts w:ascii="Arial" w:cs="Arial" w:eastAsia="Arial" w:hAnsi="Arial"/>
                <w:sz w:val="14"/>
                <w:szCs w:val="14"/>
                <w:b w:val="1"/>
                <w:bCs w:val="1"/>
                <w:i w:val="1"/>
                <w:iCs w:val="1"/>
                <w:color w:val="auto"/>
              </w:rPr>
              <w:t>FLOATING AND FIXED RATE DEBT ANALYSIS</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1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4"/>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3"/>
                <w:szCs w:val="13"/>
                <w:b w:val="1"/>
                <w:bCs w:val="1"/>
                <w:color w:val="auto"/>
              </w:rPr>
              <w:t>Weighted Average</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1820" w:type="dxa"/>
            <w:vAlign w:val="bottom"/>
            <w:gridSpan w:val="3"/>
          </w:tcPr>
          <w:p>
            <w:pPr>
              <w:ind w:left="300"/>
              <w:spacing w:after="0"/>
              <w:rPr>
                <w:sz w:val="20"/>
                <w:szCs w:val="20"/>
                <w:color w:val="auto"/>
              </w:rPr>
            </w:pPr>
            <w:r>
              <w:rPr>
                <w:rFonts w:ascii="Arial" w:cs="Arial" w:eastAsia="Arial" w:hAnsi="Arial"/>
                <w:sz w:val="13"/>
                <w:szCs w:val="13"/>
                <w:b w:val="1"/>
                <w:bCs w:val="1"/>
                <w:color w:val="auto"/>
              </w:rPr>
              <w:t>% of Total Debt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Stated Rates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ind w:left="240"/>
              <w:spacing w:after="0" w:line="184" w:lineRule="exact"/>
              <w:rPr>
                <w:sz w:val="20"/>
                <w:szCs w:val="20"/>
                <w:color w:val="auto"/>
              </w:rPr>
            </w:pPr>
            <w:r>
              <w:rPr>
                <w:rFonts w:ascii="Arial" w:cs="Arial" w:eastAsia="Arial" w:hAnsi="Arial"/>
                <w:sz w:val="13"/>
                <w:szCs w:val="13"/>
                <w:b w:val="1"/>
                <w:bCs w:val="1"/>
                <w:color w:val="auto"/>
              </w:rPr>
              <w:t xml:space="preserve">GAAP Rates </w:t>
            </w:r>
            <w:r>
              <w:rPr>
                <w:rFonts w:ascii="Arial" w:cs="Arial" w:eastAsia="Arial" w:hAnsi="Arial"/>
                <w:sz w:val="17"/>
                <w:szCs w:val="17"/>
                <w:b w:val="1"/>
                <w:bCs w:val="1"/>
                <w:color w:val="auto"/>
                <w:vertAlign w:val="superscript"/>
              </w:rPr>
              <w:t>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jc w:val="right"/>
              <w:ind w:right="249"/>
              <w:spacing w:after="0"/>
              <w:rPr>
                <w:sz w:val="20"/>
                <w:szCs w:val="20"/>
                <w:color w:val="auto"/>
              </w:rPr>
            </w:pPr>
            <w:r>
              <w:rPr>
                <w:rFonts w:ascii="Arial" w:cs="Arial" w:eastAsia="Arial" w:hAnsi="Arial"/>
                <w:sz w:val="13"/>
                <w:szCs w:val="13"/>
                <w:b w:val="1"/>
                <w:bCs w:val="1"/>
                <w:color w:val="auto"/>
              </w:rPr>
              <w:t>Maturity (years)</w:t>
            </w:r>
          </w:p>
        </w:tc>
        <w:tc>
          <w:tcPr>
            <w:tcW w:w="0" w:type="dxa"/>
            <w:vAlign w:val="bottom"/>
          </w:tcPr>
          <w:p>
            <w:pPr>
              <w:spacing w:after="0"/>
              <w:rPr>
                <w:sz w:val="1"/>
                <w:szCs w:val="1"/>
                <w:color w:val="auto"/>
              </w:rPr>
            </w:pPr>
          </w:p>
        </w:tc>
      </w:tr>
      <w:tr>
        <w:trPr>
          <w:trHeight w:val="198"/>
        </w:trPr>
        <w:tc>
          <w:tcPr>
            <w:tcW w:w="4120" w:type="dxa"/>
            <w:vAlign w:val="bottom"/>
          </w:tcPr>
          <w:p>
            <w:pPr>
              <w:ind w:left="20"/>
              <w:spacing w:after="0" w:line="198" w:lineRule="exact"/>
              <w:rPr>
                <w:sz w:val="20"/>
                <w:szCs w:val="20"/>
                <w:color w:val="auto"/>
              </w:rPr>
            </w:pPr>
            <w:r>
              <w:rPr>
                <w:rFonts w:ascii="Arial" w:cs="Arial" w:eastAsia="Arial" w:hAnsi="Arial"/>
                <w:sz w:val="14"/>
                <w:szCs w:val="14"/>
                <w:color w:val="auto"/>
              </w:rPr>
              <w:t xml:space="preserve">Floating Rate Debt </w:t>
            </w:r>
            <w:r>
              <w:rPr>
                <w:rFonts w:ascii="Arial" w:cs="Arial" w:eastAsia="Arial" w:hAnsi="Arial"/>
                <w:sz w:val="18"/>
                <w:szCs w:val="18"/>
                <w:color w:val="auto"/>
                <w:vertAlign w:val="superscript"/>
              </w:rPr>
              <w:t>2</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8.71 %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4.92 %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4.98 %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1"/>
        </w:trPr>
        <w:tc>
          <w:tcPr>
            <w:tcW w:w="412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Fixed Rate Debt </w:t>
            </w:r>
            <w:r>
              <w:rPr>
                <w:rFonts w:ascii="Arial" w:cs="Arial" w:eastAsia="Arial" w:hAnsi="Arial"/>
                <w:sz w:val="18"/>
                <w:szCs w:val="18"/>
                <w:color w:val="auto"/>
                <w:vertAlign w:val="superscript"/>
              </w:rPr>
              <w:t>3, 6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91.29 %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3.85 %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3.99 %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8"/>
        </w:trPr>
        <w:tc>
          <w:tcPr>
            <w:tcW w:w="412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1560" w:type="dxa"/>
            <w:vAlign w:val="bottom"/>
          </w:tcPr>
          <w:p>
            <w:pPr>
              <w:jc w:val="right"/>
              <w:spacing w:after="0"/>
              <w:rPr>
                <w:sz w:val="20"/>
                <w:szCs w:val="20"/>
                <w:color w:val="auto"/>
              </w:rPr>
            </w:pPr>
            <w:r>
              <w:rPr>
                <w:rFonts w:ascii="Arial" w:cs="Arial" w:eastAsia="Arial" w:hAnsi="Arial"/>
                <w:sz w:val="14"/>
                <w:szCs w:val="14"/>
                <w:color w:val="auto"/>
              </w:rPr>
              <w:t>100.00 %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3.94 %</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4"/>
                <w:szCs w:val="14"/>
                <w:color w:val="auto"/>
              </w:rPr>
              <w:t>4.07 %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74"/>
        </w:numPr>
        <w:rPr>
          <w:rFonts w:ascii="Arial" w:cs="Arial" w:eastAsia="Arial" w:hAnsi="Arial"/>
          <w:sz w:val="9"/>
          <w:szCs w:val="9"/>
          <w:color w:val="auto"/>
        </w:rPr>
      </w:pPr>
      <w:r>
        <w:rPr>
          <w:rFonts w:ascii="Arial" w:cs="Arial" w:eastAsia="Arial" w:hAnsi="Arial"/>
          <w:sz w:val="14"/>
          <w:szCs w:val="14"/>
          <w:color w:val="auto"/>
        </w:rPr>
        <w:t>Excludes unconsolidated joint ventures. For information on BXP’s share of unconsolidated joint venture debt, see page 35.</w:t>
      </w:r>
    </w:p>
    <w:p>
      <w:pPr>
        <w:spacing w:after="0" w:line="55" w:lineRule="exact"/>
        <w:rPr>
          <w:sz w:val="20"/>
          <w:szCs w:val="20"/>
          <w:color w:val="auto"/>
        </w:rPr>
      </w:pPr>
    </w:p>
    <w:p>
      <w:pPr>
        <w:ind w:left="80" w:right="140" w:hanging="72"/>
        <w:spacing w:after="0" w:line="249" w:lineRule="auto"/>
        <w:tabs>
          <w:tab w:leader="none" w:pos="78"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The unsecured commercial paper program is backstopped by available capacity under the unsecured line of credit. As such, the Company intends to maintain, at a minimum, availability under its unsecured line of credit in an amount equal to the amount of commercial paper notes outstanding. The term of the notes issued under the unsecured commercial paper program vary but may not exceed one year from the date of issuance. The commercial paper notes are included in the Company’s floating rate debt statistics. At September 30, 2025, the weighted average interest rate of the commercial paper notes outstanding was approximately 4.51% per annum and had a weighted-average maturity of 43 days from the date of issuance.</w:t>
      </w:r>
    </w:p>
    <w:p>
      <w:pPr>
        <w:spacing w:after="0" w:line="8" w:lineRule="exact"/>
        <w:rPr>
          <w:sz w:val="20"/>
          <w:szCs w:val="20"/>
          <w:color w:val="auto"/>
        </w:rPr>
      </w:pPr>
    </w:p>
    <w:p>
      <w:pPr>
        <w:ind w:left="80" w:right="40" w:hanging="72"/>
        <w:spacing w:after="0" w:line="275" w:lineRule="auto"/>
        <w:tabs>
          <w:tab w:leader="none" w:pos="78" w:val="left"/>
        </w:tabs>
        <w:numPr>
          <w:ilvl w:val="0"/>
          <w:numId w:val="76"/>
        </w:numPr>
        <w:rPr>
          <w:rFonts w:ascii="Arial" w:cs="Arial" w:eastAsia="Arial" w:hAnsi="Arial"/>
          <w:sz w:val="9"/>
          <w:szCs w:val="9"/>
          <w:color w:val="auto"/>
        </w:rPr>
      </w:pPr>
      <w:r>
        <w:rPr>
          <w:rFonts w:ascii="Arial" w:cs="Arial" w:eastAsia="Arial" w:hAnsi="Arial"/>
          <w:sz w:val="14"/>
          <w:szCs w:val="14"/>
          <w:color w:val="auto"/>
        </w:rPr>
        <w:t>The $100.0 million 2024 Unsecured Term Loan is subject to an interest rate swap contract that effectively fixes Daily Simple SOFR, the reference rate for the 2024 Unsecured Term Loan, at a fixed interest rate of 3.6775% per annum for the period commencing on April 7, 2025 and ending on April 6, 2026. The $100.0 million unsecured term loan has two one-year extension options (subject to customary conditions).</w:t>
      </w:r>
    </w:p>
    <w:p>
      <w:pPr>
        <w:ind w:left="80" w:hanging="72"/>
        <w:spacing w:after="0"/>
        <w:tabs>
          <w:tab w:leader="none" w:pos="80" w:val="left"/>
        </w:tabs>
        <w:numPr>
          <w:ilvl w:val="0"/>
          <w:numId w:val="77"/>
        </w:numPr>
        <w:rPr>
          <w:rFonts w:ascii="Arial" w:cs="Arial" w:eastAsia="Arial" w:hAnsi="Arial"/>
          <w:sz w:val="9"/>
          <w:szCs w:val="9"/>
          <w:color w:val="auto"/>
        </w:rPr>
      </w:pPr>
      <w:r>
        <w:rPr>
          <w:rFonts w:ascii="Arial" w:cs="Arial" w:eastAsia="Arial" w:hAnsi="Arial"/>
          <w:sz w:val="14"/>
          <w:szCs w:val="14"/>
          <w:color w:val="auto"/>
        </w:rPr>
        <w:t>The Unsecured Term Loan Facility has two six-month extension options, each subject to customary conditions.</w:t>
      </w:r>
    </w:p>
    <w:p>
      <w:pPr>
        <w:spacing w:after="0" w:line="55" w:lineRule="exact"/>
        <w:rPr>
          <w:sz w:val="20"/>
          <w:szCs w:val="20"/>
          <w:color w:val="auto"/>
        </w:rPr>
      </w:pPr>
    </w:p>
    <w:p>
      <w:pPr>
        <w:ind w:left="80" w:right="140" w:hanging="72"/>
        <w:spacing w:after="0" w:line="238" w:lineRule="auto"/>
        <w:tabs>
          <w:tab w:leader="none" w:pos="78"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The GAAP interest rate differs from the stated interest rate due to the inclusion of the amortization of financing charges, the effects of hedging transactions (excluding capped calls classified as equity) and adjustments required to reflect loans and swaps at their fair values upon consolidation.</w:t>
      </w:r>
    </w:p>
    <w:p>
      <w:pPr>
        <w:ind w:left="80" w:hanging="72"/>
        <w:spacing w:after="0" w:line="223" w:lineRule="auto"/>
        <w:tabs>
          <w:tab w:leader="none" w:pos="80"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The Fixed Rate Debt includes the effects of hedging transactions, excluding capped calls treated as equity.</w:t>
      </w:r>
    </w:p>
    <w:p>
      <w:pPr>
        <w:sectPr>
          <w:pgSz w:w="11900" w:h="16838" w:orient="portrait"/>
          <w:cols w:equalWidth="0" w:num="1">
            <w:col w:w="11240"/>
          </w:cols>
          <w:pgMar w:left="320" w:top="265" w:right="339" w:bottom="1440" w:gutter="0" w:footer="0" w:header="0"/>
        </w:sectPr>
      </w:pPr>
    </w:p>
    <w:p>
      <w:pPr>
        <w:spacing w:after="0" w:line="13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265" w:right="339" w:bottom="1440" w:gutter="0" w:footer="0" w:header="0"/>
          <w:type w:val="continuous"/>
        </w:sectPr>
      </w:pPr>
    </w:p>
    <w:bookmarkStart w:id="37" w:name="page38"/>
    <w:bookmarkEnd w:id="37"/>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Senior unsecured debt covenant compliance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 the fourth quarter of 2002, the Company’s Operating Partnership (Boston Properties Limited Partnership) received investment grade ratings on its senior unsecured debt securities and thereafter issued unsecured notes. The notes were issued under an indenture, dated as of December 13, 2002, by and between Boston Properties Limited Partnership and The Bank of New York Mellon Trust Company, N.A., as trustee, as supplemented from time to time (the “Indenture”), which, among other things, requires us to comply with the following limitations on incurrence of debt: Limitation on Outstanding Debt; Limitation on Secured Debt; Ratio of Annualized Consolidated EBITDA to Annualized Interest Expense; and Maintenance of Unencumbered Assets. Compliance with these restrictive covenants requires us to apply specialized terms the meanings of which are described in detail in our filings with the SEC, and to calculate ratios in the manner prescribed by the Indenture.</w:t>
      </w:r>
    </w:p>
    <w:p>
      <w:pPr>
        <w:spacing w:after="0" w:line="160"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This section presents such ratios as of September 30, 2025 to show that the Company’s Operating Partnership was in compliance with the terms of the Indenture, which has been filed with the SEC. Management is not presenting these ratios for any other purpose or for any other period, and is not intending for these measures to otherwise provide information to investors about the Company’s financial condition or results of operations. Investors should not rely on these measures other than for purposes of testing our compliance with the Indenture.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COVENANT RATIOS AND RELATED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jc w:val="center"/>
              <w:ind w:right="48"/>
              <w:spacing w:after="0"/>
              <w:rPr>
                <w:sz w:val="20"/>
                <w:szCs w:val="20"/>
                <w:color w:val="auto"/>
              </w:rPr>
            </w:pPr>
            <w:r>
              <w:rPr>
                <w:rFonts w:ascii="Arial" w:cs="Arial" w:eastAsia="Arial" w:hAnsi="Arial"/>
                <w:sz w:val="14"/>
                <w:szCs w:val="14"/>
                <w:b w:val="1"/>
                <w:bCs w:val="1"/>
                <w:color w:val="auto"/>
              </w:rPr>
              <w:t>Senior Notes Issued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Senior Notes Issued</w:t>
            </w:r>
          </w:p>
        </w:tc>
      </w:tr>
      <w:tr>
        <w:trPr>
          <w:trHeight w:val="139"/>
        </w:trPr>
        <w:tc>
          <w:tcPr>
            <w:tcW w:w="6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Prior to December 4,</w:t>
            </w:r>
          </w:p>
        </w:tc>
        <w:tc>
          <w:tcPr>
            <w:tcW w:w="17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On or After December</w:t>
            </w:r>
          </w:p>
        </w:tc>
      </w:tr>
      <w:tr>
        <w:trPr>
          <w:trHeight w:val="197"/>
        </w:trPr>
        <w:tc>
          <w:tcPr>
            <w:tcW w:w="608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2017</w:t>
            </w:r>
          </w:p>
        </w:tc>
        <w:tc>
          <w:tcPr>
            <w:tcW w:w="17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4, 2017</w:t>
            </w:r>
          </w:p>
        </w:tc>
      </w:tr>
      <w:tr>
        <w:trPr>
          <w:trHeight w:val="195"/>
        </w:trPr>
        <w:tc>
          <w:tcPr>
            <w:tcW w:w="6080" w:type="dxa"/>
            <w:vAlign w:val="bottom"/>
          </w:tcPr>
          <w:p>
            <w:pPr>
              <w:spacing w:after="0"/>
              <w:rPr>
                <w:sz w:val="16"/>
                <w:szCs w:val="16"/>
                <w:color w:val="auto"/>
              </w:rPr>
            </w:pP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Test</w:t>
            </w:r>
          </w:p>
        </w:tc>
        <w:tc>
          <w:tcPr>
            <w:tcW w:w="160" w:type="dxa"/>
            <w:vAlign w:val="bottom"/>
          </w:tcPr>
          <w:p>
            <w:pPr>
              <w:spacing w:after="0"/>
              <w:rPr>
                <w:sz w:val="16"/>
                <w:szCs w:val="16"/>
                <w:color w:val="auto"/>
              </w:rPr>
            </w:pPr>
          </w:p>
        </w:tc>
        <w:tc>
          <w:tcPr>
            <w:tcW w:w="3480" w:type="dxa"/>
            <w:vAlign w:val="bottom"/>
            <w:tcBorders>
              <w:bottom w:val="single" w:sz="8" w:color="auto"/>
            </w:tcBorders>
            <w:gridSpan w:val="2"/>
          </w:tcPr>
          <w:p>
            <w:pPr>
              <w:jc w:val="right"/>
              <w:ind w:right="1448"/>
              <w:spacing w:after="0"/>
              <w:rPr>
                <w:sz w:val="20"/>
                <w:szCs w:val="20"/>
                <w:color w:val="auto"/>
              </w:rPr>
            </w:pPr>
            <w:r>
              <w:rPr>
                <w:rFonts w:ascii="Arial" w:cs="Arial" w:eastAsia="Arial" w:hAnsi="Arial"/>
                <w:sz w:val="14"/>
                <w:szCs w:val="14"/>
                <w:b w:val="1"/>
                <w:bCs w:val="1"/>
                <w:color w:val="auto"/>
              </w:rPr>
              <w:t>Actual</w:t>
            </w:r>
          </w:p>
        </w:tc>
      </w:tr>
      <w:tr>
        <w:trPr>
          <w:trHeight w:val="202"/>
        </w:trPr>
        <w:tc>
          <w:tcPr>
            <w:tcW w:w="6080" w:type="dxa"/>
            <w:vAlign w:val="bottom"/>
          </w:tcPr>
          <w:p>
            <w:pPr>
              <w:spacing w:after="0" w:line="202" w:lineRule="exact"/>
              <w:rPr>
                <w:sz w:val="20"/>
                <w:szCs w:val="20"/>
                <w:color w:val="auto"/>
              </w:rPr>
            </w:pPr>
            <w:r>
              <w:rPr>
                <w:rFonts w:ascii="Arial" w:cs="Arial" w:eastAsia="Arial" w:hAnsi="Arial"/>
                <w:sz w:val="14"/>
                <w:szCs w:val="14"/>
                <w:color w:val="auto"/>
              </w:rPr>
              <w:t xml:space="preserve">Total Outstanding Debt/Total Assets </w:t>
            </w:r>
            <w:r>
              <w:rPr>
                <w:rFonts w:ascii="Arial" w:cs="Arial" w:eastAsia="Arial" w:hAnsi="Arial"/>
                <w:sz w:val="18"/>
                <w:szCs w:val="18"/>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Less than 60%</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49.3 %</w:t>
            </w:r>
          </w:p>
        </w:tc>
        <w:tc>
          <w:tcPr>
            <w:tcW w:w="1720" w:type="dxa"/>
            <w:vAlign w:val="bottom"/>
          </w:tcPr>
          <w:p>
            <w:pPr>
              <w:jc w:val="right"/>
              <w:spacing w:after="0"/>
              <w:rPr>
                <w:sz w:val="20"/>
                <w:szCs w:val="20"/>
                <w:color w:val="auto"/>
              </w:rPr>
            </w:pPr>
            <w:r>
              <w:rPr>
                <w:rFonts w:ascii="Arial" w:cs="Arial" w:eastAsia="Arial" w:hAnsi="Arial"/>
                <w:sz w:val="14"/>
                <w:szCs w:val="14"/>
                <w:color w:val="auto"/>
              </w:rPr>
              <w:t>46.3 %</w:t>
            </w:r>
          </w:p>
        </w:tc>
      </w:tr>
      <w:tr>
        <w:trPr>
          <w:trHeight w:val="190"/>
        </w:trPr>
        <w:tc>
          <w:tcPr>
            <w:tcW w:w="6080" w:type="dxa"/>
            <w:vAlign w:val="bottom"/>
          </w:tcPr>
          <w:p>
            <w:pPr>
              <w:spacing w:after="0"/>
              <w:rPr>
                <w:sz w:val="20"/>
                <w:szCs w:val="20"/>
                <w:color w:val="auto"/>
              </w:rPr>
            </w:pPr>
            <w:r>
              <w:rPr>
                <w:rFonts w:ascii="Arial" w:cs="Arial" w:eastAsia="Arial" w:hAnsi="Arial"/>
                <w:sz w:val="14"/>
                <w:szCs w:val="14"/>
                <w:color w:val="auto"/>
              </w:rPr>
              <w:t>Secured Debt/Total Assets</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Less than 50%</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15.8 %</w:t>
            </w:r>
          </w:p>
        </w:tc>
        <w:tc>
          <w:tcPr>
            <w:tcW w:w="1720" w:type="dxa"/>
            <w:vAlign w:val="bottom"/>
          </w:tcPr>
          <w:p>
            <w:pPr>
              <w:jc w:val="right"/>
              <w:spacing w:after="0"/>
              <w:rPr>
                <w:sz w:val="20"/>
                <w:szCs w:val="20"/>
                <w:color w:val="auto"/>
              </w:rPr>
            </w:pPr>
            <w:r>
              <w:rPr>
                <w:rFonts w:ascii="Arial" w:cs="Arial" w:eastAsia="Arial" w:hAnsi="Arial"/>
                <w:sz w:val="14"/>
                <w:szCs w:val="14"/>
                <w:color w:val="auto"/>
              </w:rPr>
              <w:t>14.8 %</w:t>
            </w:r>
          </w:p>
        </w:tc>
      </w:tr>
      <w:tr>
        <w:trPr>
          <w:trHeight w:val="203"/>
        </w:trPr>
        <w:tc>
          <w:tcPr>
            <w:tcW w:w="6080" w:type="dxa"/>
            <w:vAlign w:val="bottom"/>
          </w:tcPr>
          <w:p>
            <w:pPr>
              <w:spacing w:after="0"/>
              <w:rPr>
                <w:sz w:val="20"/>
                <w:szCs w:val="20"/>
                <w:color w:val="auto"/>
              </w:rPr>
            </w:pPr>
            <w:r>
              <w:rPr>
                <w:rFonts w:ascii="Arial" w:cs="Arial" w:eastAsia="Arial" w:hAnsi="Arial"/>
                <w:sz w:val="14"/>
                <w:szCs w:val="14"/>
                <w:color w:val="auto"/>
              </w:rPr>
              <w:t>Interest Coverage (Annualized Consolidated EBITDA to Annualized Interest Expense)</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Greater than 1.50x</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2.94</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2.94</w:t>
            </w:r>
          </w:p>
        </w:tc>
      </w:tr>
      <w:tr>
        <w:trPr>
          <w:trHeight w:val="203"/>
        </w:trPr>
        <w:tc>
          <w:tcPr>
            <w:tcW w:w="6080" w:type="dxa"/>
            <w:vAlign w:val="bottom"/>
          </w:tcPr>
          <w:p>
            <w:pPr>
              <w:spacing w:after="0"/>
              <w:rPr>
                <w:sz w:val="20"/>
                <w:szCs w:val="20"/>
                <w:color w:val="auto"/>
              </w:rPr>
            </w:pPr>
            <w:r>
              <w:rPr>
                <w:rFonts w:ascii="Arial" w:cs="Arial" w:eastAsia="Arial" w:hAnsi="Arial"/>
                <w:sz w:val="14"/>
                <w:szCs w:val="14"/>
                <w:color w:val="auto"/>
              </w:rPr>
              <w:t>Unencumbered Assets/ Unsecured Debt</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Greater than 150%</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222.0 %</w:t>
            </w:r>
          </w:p>
        </w:tc>
        <w:tc>
          <w:tcPr>
            <w:tcW w:w="1720" w:type="dxa"/>
            <w:vAlign w:val="bottom"/>
          </w:tcPr>
          <w:p>
            <w:pPr>
              <w:jc w:val="right"/>
              <w:spacing w:after="0"/>
              <w:rPr>
                <w:sz w:val="20"/>
                <w:szCs w:val="20"/>
                <w:color w:val="auto"/>
              </w:rPr>
            </w:pPr>
            <w:r>
              <w:rPr>
                <w:rFonts w:ascii="Arial" w:cs="Arial" w:eastAsia="Arial" w:hAnsi="Arial"/>
                <w:sz w:val="14"/>
                <w:szCs w:val="14"/>
                <w:color w:val="auto"/>
              </w:rPr>
              <w:t>238.4 %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spacing w:after="0" w:line="40" w:lineRule="exact"/>
        <w:rPr>
          <w:sz w:val="20"/>
          <w:szCs w:val="20"/>
          <w:color w:val="auto"/>
        </w:rPr>
      </w:pPr>
    </w:p>
    <w:p>
      <w:pPr>
        <w:ind w:left="80" w:hanging="72"/>
        <w:spacing w:after="0"/>
        <w:tabs>
          <w:tab w:leader="none" w:pos="80" w:val="left"/>
        </w:tabs>
        <w:numPr>
          <w:ilvl w:val="0"/>
          <w:numId w:val="80"/>
        </w:numPr>
        <w:rPr>
          <w:rFonts w:ascii="Arial" w:cs="Arial" w:eastAsia="Arial" w:hAnsi="Arial"/>
          <w:sz w:val="9"/>
          <w:szCs w:val="9"/>
          <w:color w:val="auto"/>
        </w:rPr>
      </w:pPr>
      <w:r>
        <w:rPr>
          <w:rFonts w:ascii="Arial" w:cs="Arial" w:eastAsia="Arial" w:hAnsi="Arial"/>
          <w:sz w:val="14"/>
          <w:szCs w:val="14"/>
          <w:color w:val="auto"/>
        </w:rPr>
        <w:t>Capitalized Property Value for senior notes issued prior to December 4, 2017 is determined for each property and is the greater of (A) annualized EBITDA capitalized at an</w:t>
      </w:r>
    </w:p>
    <w:p>
      <w:pPr>
        <w:spacing w:after="0" w:line="28" w:lineRule="exact"/>
        <w:rPr>
          <w:rFonts w:ascii="Arial" w:cs="Arial" w:eastAsia="Arial" w:hAnsi="Arial"/>
          <w:sz w:val="9"/>
          <w:szCs w:val="9"/>
          <w:color w:val="auto"/>
        </w:rPr>
      </w:pPr>
    </w:p>
    <w:p>
      <w:pPr>
        <w:ind w:left="80" w:right="80"/>
        <w:spacing w:after="0" w:line="272" w:lineRule="auto"/>
        <w:rPr>
          <w:rFonts w:ascii="Arial" w:cs="Arial" w:eastAsia="Arial" w:hAnsi="Arial"/>
          <w:sz w:val="9"/>
          <w:szCs w:val="9"/>
          <w:color w:val="auto"/>
        </w:rPr>
      </w:pPr>
      <w:r>
        <w:rPr>
          <w:rFonts w:ascii="Arial" w:cs="Arial" w:eastAsia="Arial" w:hAnsi="Arial"/>
          <w:sz w:val="14"/>
          <w:szCs w:val="14"/>
          <w:color w:val="auto"/>
        </w:rPr>
        <w:t>8.0% rate for CBD properties and a 9.0% rate for non-CBD properties, and (B) the undepreciated book value as determined under GAAP. Capitalized property value for senior notes issued on or after December 4, 2017 is determined for each property and is the greater of (x) annualized EBITDA capitalized at 7.0% and (y) the undepreciated book value as determined under GAAP.</w:t>
      </w:r>
    </w:p>
    <w:p>
      <w:pPr>
        <w:sectPr>
          <w:pgSz w:w="11900" w:h="16838" w:orient="portrait"/>
          <w:cols w:equalWidth="0" w:num="1">
            <w:col w:w="11240"/>
          </w:cols>
          <w:pgMar w:left="320" w:top="265" w:right="339" w:bottom="916" w:gutter="0" w:footer="0" w:header="0"/>
        </w:sectPr>
      </w:pPr>
    </w:p>
    <w:p>
      <w:pPr>
        <w:spacing w:after="0" w:line="200" w:lineRule="exact"/>
        <w:rPr>
          <w:sz w:val="20"/>
          <w:szCs w:val="20"/>
          <w:color w:val="auto"/>
        </w:rPr>
      </w:pPr>
    </w:p>
    <w:p>
      <w:pPr>
        <w:spacing w:after="0" w:line="29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265" w:right="339" w:bottom="916"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Q3 2025</w:t>
            </w:r>
          </w:p>
        </w:tc>
        <w:tc>
          <w:tcPr>
            <w:tcW w:w="0" w:type="dxa"/>
            <w:vAlign w:val="bottom"/>
          </w:tcPr>
          <w:p>
            <w:pPr>
              <w:spacing w:after="0"/>
              <w:rPr>
                <w:sz w:val="1"/>
                <w:szCs w:val="1"/>
                <w:color w:val="auto"/>
              </w:rPr>
            </w:pPr>
          </w:p>
        </w:tc>
      </w:tr>
      <w:tr>
        <w:trPr>
          <w:trHeight w:val="231"/>
        </w:trPr>
        <w:tc>
          <w:tcPr>
            <w:tcW w:w="8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00497F"/>
              </w:rPr>
              <w:t>Net Debt to EBITDA</w:t>
            </w:r>
            <w:r>
              <w:rPr>
                <w:rFonts w:ascii="Arial" w:cs="Arial" w:eastAsia="Arial" w:hAnsi="Arial"/>
                <w:sz w:val="14"/>
                <w:szCs w:val="14"/>
                <w:b w:val="1"/>
                <w:bCs w:val="1"/>
                <w:i w:val="1"/>
                <w:iCs w:val="1"/>
                <w:color w:val="00497F"/>
              </w:rPr>
              <w:t>re</w:t>
            </w:r>
          </w:p>
        </w:tc>
        <w:tc>
          <w:tcPr>
            <w:tcW w:w="0" w:type="dxa"/>
            <w:vAlign w:val="bottom"/>
          </w:tcPr>
          <w:p>
            <w:pPr>
              <w:spacing w:after="0"/>
              <w:rPr>
                <w:sz w:val="1"/>
                <w:szCs w:val="1"/>
                <w:color w:val="auto"/>
              </w:rPr>
            </w:pPr>
          </w:p>
        </w:tc>
      </w:tr>
      <w:tr>
        <w:trPr>
          <w:trHeight w:val="613"/>
        </w:trPr>
        <w:tc>
          <w:tcPr>
            <w:tcW w:w="8480" w:type="dxa"/>
            <w:vAlign w:val="bottom"/>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 xml:space="preserve">Reconciliation of BXP’s Share of EBITDAre and BXP’s Share of EBITDAre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cash </w:t>
            </w:r>
            <w:r>
              <w:rPr>
                <w:rFonts w:ascii="Arial" w:cs="Arial" w:eastAsia="Arial" w:hAnsi="Arial"/>
                <w:sz w:val="18"/>
                <w:szCs w:val="18"/>
                <w:b w:val="1"/>
                <w:bCs w:val="1"/>
                <w:i w:val="1"/>
                <w:iCs w:val="1"/>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30-Sep-25</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(121,712)</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88,977</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(12,981)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04"/>
        </w:trPr>
        <w:tc>
          <w:tcPr>
            <w:tcW w:w="8480" w:type="dxa"/>
            <w:vAlign w:val="bottom"/>
          </w:tcPr>
          <w:p>
            <w:pPr>
              <w:ind w:left="220"/>
              <w:spacing w:after="0"/>
              <w:rPr>
                <w:sz w:val="20"/>
                <w:szCs w:val="20"/>
                <w:color w:val="auto"/>
              </w:rPr>
            </w:pPr>
            <w:r>
              <w:rPr>
                <w:rFonts w:ascii="Arial" w:cs="Arial" w:eastAsia="Arial" w:hAnsi="Arial"/>
                <w:sz w:val="14"/>
                <w:szCs w:val="14"/>
                <w:color w:val="auto"/>
              </w:rPr>
              <w:t>Noncontrolling interest in property partnerships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17,853</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20,100</w:t>
            </w:r>
          </w:p>
        </w:tc>
        <w:tc>
          <w:tcPr>
            <w:tcW w:w="0" w:type="dxa"/>
            <w:vAlign w:val="bottom"/>
          </w:tcPr>
          <w:p>
            <w:pPr>
              <w:spacing w:after="0"/>
              <w:rPr>
                <w:sz w:val="1"/>
                <w:szCs w:val="1"/>
                <w:color w:val="auto"/>
              </w:rPr>
            </w:pPr>
          </w:p>
        </w:tc>
      </w:tr>
      <w:tr>
        <w:trPr>
          <w:trHeight w:val="195"/>
        </w:trPr>
        <w:tc>
          <w:tcPr>
            <w:tcW w:w="8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(116,840)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119,141</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164,299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162,783</w:t>
            </w: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236,147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223,819</w:t>
            </w: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Impairment losses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68,901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Gains on sales of real estate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18,390</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Loss from unconsolidated joint ventures </w:t>
            </w:r>
            <w:r>
              <w:rPr>
                <w:rFonts w:ascii="Arial" w:cs="Arial" w:eastAsia="Arial" w:hAnsi="Arial"/>
                <w:sz w:val="18"/>
                <w:szCs w:val="18"/>
                <w:color w:val="auto"/>
                <w:vertAlign w:val="superscript"/>
              </w:rPr>
              <w:t>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(148,329)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80" w:type="dxa"/>
            <w:vAlign w:val="bottom"/>
          </w:tcPr>
          <w:p>
            <w:pPr>
              <w:ind w:left="2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unconsolidated joint ventures </w:t>
            </w:r>
            <w:r>
              <w:rPr>
                <w:rFonts w:ascii="Arial" w:cs="Arial" w:eastAsia="Arial" w:hAnsi="Arial"/>
                <w:sz w:val="18"/>
                <w:szCs w:val="18"/>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32,054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32,222</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line="201" w:lineRule="exact"/>
              <w:rPr>
                <w:sz w:val="20"/>
                <w:szCs w:val="20"/>
                <w:color w:val="auto"/>
              </w:rPr>
            </w:pPr>
            <w:r>
              <w:rPr>
                <w:rFonts w:ascii="Arial" w:cs="Arial" w:eastAsia="Arial" w:hAnsi="Arial"/>
                <w:sz w:val="14"/>
                <w:szCs w:val="14"/>
                <w:color w:val="auto"/>
              </w:rPr>
              <w:t>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530,958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522,899</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80" w:type="dxa"/>
            <w:vAlign w:val="bottom"/>
          </w:tcPr>
          <w:p>
            <w:pPr>
              <w:ind w:left="220"/>
              <w:spacing w:after="0"/>
              <w:rPr>
                <w:sz w:val="20"/>
                <w:szCs w:val="20"/>
                <w:color w:val="auto"/>
              </w:rPr>
            </w:pPr>
            <w:r>
              <w:rPr>
                <w:rFonts w:ascii="Arial" w:cs="Arial" w:eastAsia="Arial" w:hAnsi="Arial"/>
                <w:sz w:val="14"/>
                <w:szCs w:val="14"/>
                <w:color w:val="auto"/>
              </w:rPr>
              <w:t>Partners’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consolidated joint ventures </w:t>
            </w:r>
            <w:r>
              <w:rPr>
                <w:rFonts w:ascii="Arial" w:cs="Arial" w:eastAsia="Arial" w:hAnsi="Arial"/>
                <w:sz w:val="18"/>
                <w:szCs w:val="18"/>
                <w:color w:val="auto"/>
                <w:vertAlign w:val="superscript"/>
              </w:rPr>
              <w:t>4</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52,484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52,937</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line="201" w:lineRule="exact"/>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t>
            </w:r>
            <w:r>
              <w:rPr>
                <w:rFonts w:ascii="Arial" w:cs="Arial" w:eastAsia="Arial" w:hAnsi="Arial"/>
                <w:sz w:val="14"/>
                <w:szCs w:val="14"/>
                <w:b w:val="1"/>
                <w:bCs w:val="1"/>
                <w:color w:val="auto"/>
              </w:rPr>
              <w:t>(A)</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478,474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469,962</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4,404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11,612</w:t>
            </w:r>
          </w:p>
        </w:tc>
        <w:tc>
          <w:tcPr>
            <w:tcW w:w="0" w:type="dxa"/>
            <w:vAlign w:val="bottom"/>
          </w:tcPr>
          <w:p>
            <w:pPr>
              <w:spacing w:after="0"/>
              <w:rPr>
                <w:sz w:val="1"/>
                <w:szCs w:val="1"/>
                <w:color w:val="auto"/>
              </w:rPr>
            </w:pPr>
          </w:p>
        </w:tc>
      </w:tr>
      <w:tr>
        <w:trPr>
          <w:trHeight w:val="212"/>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straight-line ground rent expense adjustment </w:t>
            </w:r>
            <w:r>
              <w:rPr>
                <w:rFonts w:ascii="Arial" w:cs="Arial" w:eastAsia="Arial" w:hAnsi="Arial"/>
                <w:sz w:val="18"/>
                <w:szCs w:val="18"/>
                <w:color w:val="auto"/>
                <w:vertAlign w:val="superscript"/>
              </w:rPr>
              <w:t>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05"/>
        </w:trPr>
        <w:tc>
          <w:tcPr>
            <w:tcW w:w="8480" w:type="dxa"/>
            <w:vAlign w:val="bottom"/>
          </w:tcPr>
          <w:p>
            <w:pPr>
              <w:ind w:left="220"/>
              <w:spacing w:after="0" w:line="205" w:lineRule="exact"/>
              <w:rPr>
                <w:sz w:val="20"/>
                <w:szCs w:val="20"/>
                <w:color w:val="auto"/>
              </w:rPr>
            </w:pPr>
            <w:r>
              <w:rPr>
                <w:rFonts w:ascii="Arial" w:cs="Arial" w:eastAsia="Arial" w:hAnsi="Arial"/>
                <w:sz w:val="14"/>
                <w:szCs w:val="14"/>
                <w:color w:val="auto"/>
              </w:rPr>
              <w:t xml:space="preserve">BXP’s Share of lease transaction costs that qualify as rent inducements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4,999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3,482</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straight-line rent </w:t>
            </w:r>
            <w:r>
              <w:rPr>
                <w:rFonts w:ascii="Arial" w:cs="Arial" w:eastAsia="Arial" w:hAnsi="Arial"/>
                <w:sz w:val="18"/>
                <w:szCs w:val="18"/>
                <w:color w:val="auto"/>
                <w:vertAlign w:val="superscript"/>
              </w:rPr>
              <w:t>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20,535</w:t>
            </w: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3,019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205"/>
        </w:trPr>
        <w:tc>
          <w:tcPr>
            <w:tcW w:w="8480" w:type="dxa"/>
            <w:vAlign w:val="bottom"/>
          </w:tcPr>
          <w:p>
            <w:pPr>
              <w:ind w:left="220"/>
              <w:spacing w:after="0" w:line="205" w:lineRule="exact"/>
              <w:rPr>
                <w:sz w:val="20"/>
                <w:szCs w:val="20"/>
                <w:color w:val="auto"/>
              </w:rPr>
            </w:pPr>
            <w:r>
              <w:rPr>
                <w:rFonts w:ascii="Arial" w:cs="Arial" w:eastAsia="Arial" w:hAnsi="Arial"/>
                <w:sz w:val="14"/>
                <w:szCs w:val="14"/>
                <w:color w:val="auto"/>
              </w:rPr>
              <w:t xml:space="preserve">BXP’s Share of amortization and accretion related to sales type lease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94"/>
        </w:trPr>
        <w:tc>
          <w:tcPr>
            <w:tcW w:w="8480" w:type="dxa"/>
            <w:vAlign w:val="bottom"/>
          </w:tcPr>
          <w:p>
            <w:pPr>
              <w:ind w:left="220"/>
              <w:spacing w:after="0"/>
              <w:rPr>
                <w:sz w:val="20"/>
                <w:szCs w:val="20"/>
                <w:color w:val="auto"/>
              </w:rPr>
            </w:pPr>
            <w:r>
              <w:rPr>
                <w:rFonts w:ascii="Arial" w:cs="Arial" w:eastAsia="Arial" w:hAnsi="Arial"/>
                <w:sz w:val="14"/>
                <w:szCs w:val="14"/>
                <w:color w:val="auto"/>
              </w:rPr>
              <w:t>Non-cash loss from early extinguishments of debt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line="200" w:lineRule="exact"/>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2"/>
                <w:szCs w:val="12"/>
                <w:color w:val="auto"/>
              </w:rPr>
              <w:t>–</w:t>
            </w:r>
            <w:r>
              <w:rPr>
                <w:rFonts w:ascii="Arial" w:cs="Arial" w:eastAsia="Arial" w:hAnsi="Arial"/>
                <w:sz w:val="14"/>
                <w:szCs w:val="14"/>
                <w:color w:val="auto"/>
              </w:rPr>
              <w:t xml:space="preserve"> cash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460,327</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461,815</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(Annualized) </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w:t>
            </w:r>
            <w:r>
              <w:rPr>
                <w:rFonts w:ascii="Arial" w:cs="Arial" w:eastAsia="Arial" w:hAnsi="Arial"/>
                <w:sz w:val="14"/>
                <w:szCs w:val="14"/>
                <w:b w:val="1"/>
                <w:bCs w:val="1"/>
                <w:color w:val="auto"/>
              </w:rPr>
              <w:t>(A x 4)</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480" w:type="dxa"/>
            <w:vAlign w:val="bottom"/>
            <w:vMerge w:val="continue"/>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1,913,896</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1,879,848</w:t>
            </w:r>
          </w:p>
        </w:tc>
        <w:tc>
          <w:tcPr>
            <w:tcW w:w="0" w:type="dxa"/>
            <w:vAlign w:val="bottom"/>
          </w:tcPr>
          <w:p>
            <w:pPr>
              <w:spacing w:after="0"/>
              <w:rPr>
                <w:sz w:val="1"/>
                <w:szCs w:val="1"/>
                <w:color w:val="auto"/>
              </w:rPr>
            </w:pPr>
          </w:p>
        </w:tc>
      </w:tr>
      <w:tr>
        <w:trPr>
          <w:trHeight w:val="730"/>
        </w:trPr>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 xml:space="preserve">Reconciliation of BXP’s Share of Net Debt </w:t>
            </w:r>
            <w:r>
              <w:rPr>
                <w:rFonts w:ascii="Arial" w:cs="Arial" w:eastAsia="Arial" w:hAnsi="Arial"/>
                <w:sz w:val="18"/>
                <w:szCs w:val="18"/>
                <w:b w:val="1"/>
                <w:bCs w:val="1"/>
                <w:i w:val="1"/>
                <w:iCs w:val="1"/>
                <w:color w:val="auto"/>
                <w:vertAlign w:val="superscript"/>
              </w:rPr>
              <w:t>1</w:t>
            </w: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30-Sep-25</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16,604,696</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15,811,005</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861,066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446,953</w:t>
            </w:r>
          </w:p>
        </w:tc>
        <w:tc>
          <w:tcPr>
            <w:tcW w:w="0" w:type="dxa"/>
            <w:vAlign w:val="bottom"/>
          </w:tcPr>
          <w:p>
            <w:pPr>
              <w:spacing w:after="0"/>
              <w:rPr>
                <w:sz w:val="1"/>
                <w:szCs w:val="1"/>
                <w:color w:val="auto"/>
              </w:rPr>
            </w:pPr>
          </w:p>
        </w:tc>
      </w:tr>
      <w:tr>
        <w:trPr>
          <w:trHeight w:val="204"/>
        </w:trPr>
        <w:tc>
          <w:tcPr>
            <w:tcW w:w="8480" w:type="dxa"/>
            <w:vAlign w:val="bottom"/>
          </w:tcPr>
          <w:p>
            <w:pPr>
              <w:ind w:left="220"/>
              <w:spacing w:after="0"/>
              <w:rPr>
                <w:sz w:val="20"/>
                <w:szCs w:val="20"/>
                <w:color w:val="auto"/>
              </w:rPr>
            </w:pPr>
            <w:r>
              <w:rPr>
                <w:rFonts w:ascii="Arial" w:cs="Arial" w:eastAsia="Arial" w:hAnsi="Arial"/>
                <w:sz w:val="14"/>
                <w:szCs w:val="14"/>
                <w:color w:val="auto"/>
              </w:rPr>
              <w:t>Cash held in escrow for 1031 exchange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480" w:type="dxa"/>
            <w:vAlign w:val="bottom"/>
          </w:tcPr>
          <w:p>
            <w:pPr>
              <w:ind w:left="20"/>
              <w:spacing w:after="0"/>
              <w:rPr>
                <w:sz w:val="20"/>
                <w:szCs w:val="20"/>
                <w:color w:val="auto"/>
              </w:rPr>
            </w:pPr>
            <w:r>
              <w:rPr>
                <w:rFonts w:ascii="Arial" w:cs="Arial" w:eastAsia="Arial" w:hAnsi="Arial"/>
                <w:sz w:val="14"/>
                <w:szCs w:val="14"/>
                <w:color w:val="auto"/>
              </w:rPr>
              <w:t xml:space="preserve">Net debt </w:t>
            </w:r>
            <w:r>
              <w:rPr>
                <w:rFonts w:ascii="Arial" w:cs="Arial" w:eastAsia="Arial" w:hAnsi="Arial"/>
                <w:sz w:val="18"/>
                <w:szCs w:val="18"/>
                <w:color w:val="auto"/>
                <w:vertAlign w:val="superscript"/>
              </w:rPr>
              <w:t>1</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15,743,630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15,364,052</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unconsolidated joint venture debt </w:t>
            </w:r>
            <w:r>
              <w:rPr>
                <w:rFonts w:ascii="Arial" w:cs="Arial" w:eastAsia="Arial" w:hAnsi="Arial"/>
                <w:sz w:val="18"/>
                <w:szCs w:val="18"/>
                <w:color w:val="auto"/>
                <w:vertAlign w:val="superscript"/>
              </w:rPr>
              <w:t>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1,372,439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1,386,046</w:t>
            </w:r>
          </w:p>
        </w:tc>
        <w:tc>
          <w:tcPr>
            <w:tcW w:w="0" w:type="dxa"/>
            <w:vAlign w:val="bottom"/>
          </w:tcPr>
          <w:p>
            <w:pPr>
              <w:spacing w:after="0"/>
              <w:rPr>
                <w:sz w:val="1"/>
                <w:szCs w:val="1"/>
                <w:color w:val="auto"/>
              </w:rPr>
            </w:pPr>
          </w:p>
        </w:tc>
      </w:tr>
      <w:tr>
        <w:trPr>
          <w:trHeight w:val="190"/>
        </w:trPr>
        <w:tc>
          <w:tcPr>
            <w:tcW w:w="8480" w:type="dxa"/>
            <w:vAlign w:val="bottom"/>
          </w:tcPr>
          <w:p>
            <w:pPr>
              <w:ind w:left="220"/>
              <w:spacing w:after="0"/>
              <w:rPr>
                <w:sz w:val="20"/>
                <w:szCs w:val="20"/>
                <w:color w:val="auto"/>
              </w:rPr>
            </w:pPr>
            <w:r>
              <w:rPr>
                <w:rFonts w:ascii="Arial" w:cs="Arial" w:eastAsia="Arial" w:hAnsi="Arial"/>
                <w:sz w:val="14"/>
                <w:szCs w:val="14"/>
                <w:color w:val="auto"/>
              </w:rPr>
              <w:t>Partners’ share of cash and cash equivalents from consolidated joint ventures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88,172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143,319</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Arial" w:cs="Arial" w:eastAsia="Arial" w:hAnsi="Arial"/>
                <w:sz w:val="14"/>
                <w:szCs w:val="14"/>
                <w:color w:val="auto"/>
              </w:rPr>
              <w:t>BXP’s share of cash and cash equivalents from unconsolidated joint ventures</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98,449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115,199</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Partners’ share of consolidated joint venture debt </w:t>
            </w:r>
            <w:r>
              <w:rPr>
                <w:rFonts w:ascii="Arial" w:cs="Arial" w:eastAsia="Arial" w:hAnsi="Arial"/>
                <w:sz w:val="18"/>
                <w:szCs w:val="18"/>
                <w:color w:val="auto"/>
                <w:vertAlign w:val="superscript"/>
              </w:rPr>
              <w:t>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1,363,861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1,363,364</w:t>
            </w:r>
          </w:p>
        </w:tc>
        <w:tc>
          <w:tcPr>
            <w:tcW w:w="0" w:type="dxa"/>
            <w:vAlign w:val="bottom"/>
          </w:tcPr>
          <w:p>
            <w:pPr>
              <w:spacing w:after="0"/>
              <w:rPr>
                <w:sz w:val="1"/>
                <w:szCs w:val="1"/>
                <w:color w:val="auto"/>
              </w:rPr>
            </w:pPr>
          </w:p>
        </w:tc>
      </w:tr>
      <w:tr>
        <w:trPr>
          <w:trHeight w:val="194"/>
        </w:trPr>
        <w:tc>
          <w:tcPr>
            <w:tcW w:w="8480" w:type="dxa"/>
            <w:vAlign w:val="bottom"/>
          </w:tcPr>
          <w:p>
            <w:pPr>
              <w:ind w:left="220"/>
              <w:spacing w:after="0"/>
              <w:rPr>
                <w:sz w:val="20"/>
                <w:szCs w:val="20"/>
                <w:color w:val="auto"/>
              </w:rPr>
            </w:pPr>
            <w:r>
              <w:rPr>
                <w:rFonts w:ascii="Arial" w:cs="Arial" w:eastAsia="Arial" w:hAnsi="Arial"/>
                <w:sz w:val="14"/>
                <w:szCs w:val="14"/>
                <w:color w:val="auto"/>
              </w:rPr>
              <w:t>BXP’s share of related party note receivables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30,500</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30,500</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line="200" w:lineRule="exact"/>
              <w:rPr>
                <w:sz w:val="20"/>
                <w:szCs w:val="20"/>
                <w:color w:val="auto"/>
              </w:rPr>
            </w:pPr>
            <w:r>
              <w:rPr>
                <w:rFonts w:ascii="Arial" w:cs="Arial" w:eastAsia="Arial" w:hAnsi="Arial"/>
                <w:sz w:val="14"/>
                <w:szCs w:val="14"/>
                <w:color w:val="auto"/>
              </w:rPr>
              <w:t xml:space="preserve">BXP’s Share of Net Debt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15,711,431</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15,384,354</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0"/>
        </w:trPr>
        <w:tc>
          <w:tcPr>
            <w:tcW w:w="8480" w:type="dxa"/>
            <w:vAlign w:val="bottom"/>
          </w:tcPr>
          <w:p>
            <w:pPr>
              <w:ind w:left="20"/>
              <w:spacing w:after="0"/>
              <w:rPr>
                <w:sz w:val="20"/>
                <w:szCs w:val="20"/>
                <w:color w:val="auto"/>
              </w:rPr>
            </w:pPr>
            <w:r>
              <w:rPr>
                <w:rFonts w:ascii="Arial" w:cs="Arial" w:eastAsia="Arial" w:hAnsi="Arial"/>
                <w:sz w:val="14"/>
                <w:szCs w:val="14"/>
                <w:color w:val="auto"/>
              </w:rPr>
              <w:t>BXP’s Share of Net Debt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(Annualized) </w:t>
            </w:r>
            <w:r>
              <w:rPr>
                <w:rFonts w:ascii="Arial" w:cs="Arial" w:eastAsia="Arial" w:hAnsi="Arial"/>
                <w:sz w:val="14"/>
                <w:szCs w:val="14"/>
                <w:b w:val="1"/>
                <w:bCs w:val="1"/>
                <w:color w:val="auto"/>
              </w:rPr>
              <w:t>[B ÷ (A x 4)]</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365"/>
        </w:trPr>
        <w:tc>
          <w:tcPr>
            <w:tcW w:w="8480" w:type="dxa"/>
            <w:vAlign w:val="bottom"/>
          </w:tcPr>
          <w:p>
            <w:pPr>
              <w:spacing w:after="0"/>
              <w:rPr>
                <w:sz w:val="20"/>
                <w:szCs w:val="20"/>
                <w:color w:val="auto"/>
              </w:rPr>
            </w:pPr>
            <w:r>
              <w:rPr>
                <w:rFonts w:ascii="Arial" w:cs="Arial" w:eastAsia="Arial" w:hAnsi="Arial"/>
                <w:sz w:val="14"/>
                <w:szCs w:val="14"/>
                <w:color w:val="auto"/>
              </w:rPr>
              <w:t>_____________</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-7966710</wp:posOffset>
            </wp:positionV>
            <wp:extent cx="257175"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ind w:left="80" w:hanging="72"/>
        <w:spacing w:after="0" w:line="222" w:lineRule="auto"/>
        <w:tabs>
          <w:tab w:leader="none" w:pos="80" w:val="left"/>
        </w:tabs>
        <w:numPr>
          <w:ilvl w:val="0"/>
          <w:numId w:val="81"/>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ind w:left="80" w:hanging="72"/>
        <w:spacing w:after="0" w:line="208" w:lineRule="auto"/>
        <w:tabs>
          <w:tab w:leader="none" w:pos="8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2025, includes a non-cash impairment charge of approximately $145.1 million, see page 37.</w:t>
      </w:r>
    </w:p>
    <w:p>
      <w:pPr>
        <w:spacing w:after="0" w:line="13" w:lineRule="exact"/>
        <w:rPr>
          <w:sz w:val="20"/>
          <w:szCs w:val="20"/>
          <w:color w:val="auto"/>
        </w:rPr>
      </w:pPr>
    </w:p>
    <w:p>
      <w:pPr>
        <w:ind w:left="80" w:hanging="72"/>
        <w:spacing w:after="0"/>
        <w:tabs>
          <w:tab w:leader="none" w:pos="80" w:val="left"/>
        </w:tabs>
        <w:numPr>
          <w:ilvl w:val="0"/>
          <w:numId w:val="83"/>
        </w:numPr>
        <w:rPr>
          <w:rFonts w:ascii="Arial" w:cs="Arial" w:eastAsia="Arial" w:hAnsi="Arial"/>
          <w:sz w:val="9"/>
          <w:szCs w:val="9"/>
          <w:color w:val="auto"/>
        </w:rPr>
      </w:pPr>
      <w:r>
        <w:rPr>
          <w:rFonts w:ascii="Arial" w:cs="Arial" w:eastAsia="Arial" w:hAnsi="Arial"/>
          <w:sz w:val="14"/>
          <w:szCs w:val="14"/>
          <w:color w:val="auto"/>
        </w:rPr>
        <w:t>For disclosures related to the calculation of BXP’s share from unconsolidated joint ventures for the three months ended September 30, 2025, see pages 35 and 64.</w:t>
      </w:r>
    </w:p>
    <w:p>
      <w:pPr>
        <w:spacing w:after="0" w:line="15" w:lineRule="exact"/>
        <w:rPr>
          <w:rFonts w:ascii="Arial" w:cs="Arial" w:eastAsia="Arial" w:hAnsi="Arial"/>
          <w:sz w:val="9"/>
          <w:szCs w:val="9"/>
          <w:color w:val="auto"/>
        </w:rPr>
      </w:pPr>
    </w:p>
    <w:p>
      <w:pPr>
        <w:ind w:right="760"/>
        <w:spacing w:after="0" w:line="323"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4"/>
          <w:szCs w:val="14"/>
          <w:color w:val="auto"/>
        </w:rPr>
        <w:t>For disclosures related to the calculation of Partners’ share from consolidated joint ventures for the three months ended September 30, 2025, see pages 33 and 62.</w:t>
      </w:r>
      <w:r>
        <w:rPr>
          <w:rFonts w:ascii="Arial" w:cs="Arial" w:eastAsia="Arial" w:hAnsi="Arial"/>
          <w:sz w:val="9"/>
          <w:szCs w:val="9"/>
          <w:color w:val="auto"/>
        </w:rPr>
        <w:t xml:space="preserve"> 5 </w:t>
      </w: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9"/>
          <w:szCs w:val="9"/>
          <w:color w:val="auto"/>
        </w:rPr>
        <w:t xml:space="preserve"> </w:t>
      </w:r>
      <w:r>
        <w:rPr>
          <w:rFonts w:ascii="Arial" w:cs="Arial" w:eastAsia="Arial" w:hAnsi="Arial"/>
          <w:sz w:val="14"/>
          <w:szCs w:val="14"/>
          <w:color w:val="auto"/>
        </w:rPr>
        <w:t>(Annualized) is calculated as the product of such amount for the quarter multiplied by four (4).</w:t>
      </w:r>
    </w:p>
    <w:p>
      <w:pPr>
        <w:sectPr>
          <w:pgSz w:w="11900" w:h="16838" w:orient="portrait"/>
          <w:cols w:equalWidth="0" w:num="1">
            <w:col w:w="11240"/>
          </w:cols>
          <w:pgMar w:left="320" w:top="265" w:right="339" w:bottom="1440" w:gutter="0" w:footer="0" w:header="0"/>
        </w:sectPr>
      </w:pPr>
    </w:p>
    <w:p>
      <w:pPr>
        <w:spacing w:after="0" w:line="2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265"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Q3 2025</w:t>
            </w:r>
          </w:p>
        </w:tc>
        <w:tc>
          <w:tcPr>
            <w:tcW w:w="0" w:type="dxa"/>
            <w:vAlign w:val="bottom"/>
          </w:tcPr>
          <w:p>
            <w:pPr>
              <w:spacing w:after="0"/>
              <w:rPr>
                <w:sz w:val="1"/>
                <w:szCs w:val="1"/>
                <w:color w:val="auto"/>
              </w:rPr>
            </w:pPr>
          </w:p>
        </w:tc>
      </w:tr>
      <w:tr>
        <w:trPr>
          <w:trHeight w:val="245"/>
        </w:trPr>
        <w:tc>
          <w:tcPr>
            <w:tcW w:w="7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Debt ratios</w:t>
            </w:r>
          </w:p>
        </w:tc>
        <w:tc>
          <w:tcPr>
            <w:tcW w:w="0" w:type="dxa"/>
            <w:vAlign w:val="bottom"/>
          </w:tcPr>
          <w:p>
            <w:pPr>
              <w:spacing w:after="0"/>
              <w:rPr>
                <w:sz w:val="1"/>
                <w:szCs w:val="1"/>
                <w:color w:val="auto"/>
              </w:rPr>
            </w:pPr>
          </w:p>
        </w:tc>
      </w:tr>
      <w:tr>
        <w:trPr>
          <w:trHeight w:val="599"/>
        </w:trPr>
        <w:tc>
          <w:tcPr>
            <w:tcW w:w="7580" w:type="dxa"/>
            <w:vAlign w:val="bottom"/>
          </w:tcPr>
          <w:p>
            <w:pPr>
              <w:spacing w:after="0"/>
              <w:rPr>
                <w:sz w:val="20"/>
                <w:szCs w:val="20"/>
                <w:color w:val="auto"/>
              </w:rPr>
            </w:pPr>
            <w:r>
              <w:rPr>
                <w:rFonts w:ascii="Arial" w:cs="Arial" w:eastAsia="Arial" w:hAnsi="Arial"/>
                <w:sz w:val="14"/>
                <w:szCs w:val="14"/>
                <w:color w:val="auto"/>
              </w:rPr>
              <w:t>(in thousands, except for ratio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758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INTEREST COVERAGE RATIO </w:t>
            </w:r>
            <w:r>
              <w:rPr>
                <w:rFonts w:ascii="Arial" w:cs="Arial" w:eastAsia="Arial" w:hAnsi="Arial"/>
                <w:sz w:val="18"/>
                <w:szCs w:val="18"/>
                <w:color w:val="auto"/>
                <w:vertAlign w:val="superscript"/>
              </w:rPr>
              <w:t>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7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7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30-Sep-25</w:t>
            </w:r>
          </w:p>
        </w:tc>
        <w:tc>
          <w:tcPr>
            <w:tcW w:w="300" w:type="dxa"/>
            <w:vAlign w:val="bottom"/>
          </w:tcPr>
          <w:p>
            <w:pPr>
              <w:spacing w:after="0"/>
              <w:rPr>
                <w:sz w:val="16"/>
                <w:szCs w:val="16"/>
                <w:color w:val="auto"/>
              </w:rPr>
            </w:pP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202"/>
        </w:trPr>
        <w:tc>
          <w:tcPr>
            <w:tcW w:w="75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BXP’s Share of interest expense </w:t>
            </w:r>
            <w:r>
              <w:rPr>
                <w:rFonts w:ascii="Arial" w:cs="Arial" w:eastAsia="Arial" w:hAnsi="Arial"/>
                <w:sz w:val="18"/>
                <w:szCs w:val="18"/>
                <w:color w:val="auto"/>
                <w:vertAlign w:val="superscript"/>
              </w:rPr>
              <w:t>1</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172,497</w:t>
            </w:r>
          </w:p>
        </w:tc>
        <w:tc>
          <w:tcPr>
            <w:tcW w:w="26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169,763</w:t>
            </w:r>
          </w:p>
        </w:tc>
        <w:tc>
          <w:tcPr>
            <w:tcW w:w="0" w:type="dxa"/>
            <w:vAlign w:val="bottom"/>
          </w:tcPr>
          <w:p>
            <w:pPr>
              <w:spacing w:after="0"/>
              <w:rPr>
                <w:sz w:val="1"/>
                <w:szCs w:val="1"/>
                <w:color w:val="auto"/>
              </w:rPr>
            </w:pPr>
          </w:p>
        </w:tc>
      </w:tr>
      <w:tr>
        <w:trPr>
          <w:trHeight w:val="190"/>
        </w:trPr>
        <w:tc>
          <w:tcPr>
            <w:tcW w:w="7580" w:type="dxa"/>
            <w:vAlign w:val="bottom"/>
          </w:tcPr>
          <w:p>
            <w:pPr>
              <w:ind w:left="20"/>
              <w:spacing w:after="0"/>
              <w:rPr>
                <w:sz w:val="20"/>
                <w:szCs w:val="20"/>
                <w:color w:val="auto"/>
              </w:rPr>
            </w:pPr>
            <w:r>
              <w:rPr>
                <w:rFonts w:ascii="Arial" w:cs="Arial" w:eastAsia="Arial" w:hAnsi="Arial"/>
                <w:sz w:val="14"/>
                <w:szCs w:val="14"/>
                <w:color w:val="auto"/>
              </w:rPr>
              <w:t>Less: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580" w:type="dxa"/>
            <w:vAlign w:val="bottom"/>
          </w:tcPr>
          <w:p>
            <w:pPr>
              <w:ind w:left="220"/>
              <w:spacing w:after="0"/>
              <w:rPr>
                <w:sz w:val="20"/>
                <w:szCs w:val="20"/>
                <w:color w:val="auto"/>
              </w:rPr>
            </w:pPr>
            <w:r>
              <w:rPr>
                <w:rFonts w:ascii="Arial" w:cs="Arial" w:eastAsia="Arial" w:hAnsi="Arial"/>
                <w:sz w:val="14"/>
                <w:szCs w:val="14"/>
                <w:color w:val="auto"/>
              </w:rPr>
              <w:t xml:space="preserve">BXP’s Share of hedge amortization, net of costs </w:t>
            </w:r>
            <w:r>
              <w:rPr>
                <w:rFonts w:ascii="Arial" w:cs="Arial" w:eastAsia="Arial" w:hAnsi="Arial"/>
                <w:sz w:val="18"/>
                <w:szCs w:val="18"/>
                <w:color w:val="auto"/>
                <w:vertAlign w:val="superscript"/>
              </w:rPr>
              <w:t>1</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1,781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1,808</w:t>
            </w:r>
          </w:p>
        </w:tc>
        <w:tc>
          <w:tcPr>
            <w:tcW w:w="0" w:type="dxa"/>
            <w:vAlign w:val="bottom"/>
          </w:tcPr>
          <w:p>
            <w:pPr>
              <w:spacing w:after="0"/>
              <w:rPr>
                <w:sz w:val="1"/>
                <w:szCs w:val="1"/>
                <w:color w:val="auto"/>
              </w:rPr>
            </w:pPr>
          </w:p>
        </w:tc>
      </w:tr>
      <w:tr>
        <w:trPr>
          <w:trHeight w:val="203"/>
        </w:trPr>
        <w:tc>
          <w:tcPr>
            <w:tcW w:w="75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BXP’s share of fair value interest adjustment </w:t>
            </w:r>
            <w:r>
              <w:rPr>
                <w:rFonts w:ascii="Arial" w:cs="Arial" w:eastAsia="Arial" w:hAnsi="Arial"/>
                <w:sz w:val="18"/>
                <w:szCs w:val="18"/>
                <w:color w:val="auto"/>
                <w:vertAlign w:val="superscript"/>
              </w:rPr>
              <w:t>1</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201"/>
        </w:trPr>
        <w:tc>
          <w:tcPr>
            <w:tcW w:w="7580" w:type="dxa"/>
            <w:vAlign w:val="bottom"/>
          </w:tcPr>
          <w:p>
            <w:pPr>
              <w:ind w:left="220"/>
              <w:spacing w:after="0" w:line="201" w:lineRule="exact"/>
              <w:rPr>
                <w:sz w:val="20"/>
                <w:szCs w:val="20"/>
                <w:color w:val="auto"/>
              </w:rPr>
            </w:pPr>
            <w:r>
              <w:rPr>
                <w:rFonts w:ascii="Arial" w:cs="Arial" w:eastAsia="Arial" w:hAnsi="Arial"/>
                <w:sz w:val="14"/>
                <w:szCs w:val="14"/>
                <w:color w:val="auto"/>
              </w:rPr>
              <w:t xml:space="preserve">BXP’s Share of amortization of financing costs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4,700</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4,665</w:t>
            </w:r>
          </w:p>
        </w:tc>
        <w:tc>
          <w:tcPr>
            <w:tcW w:w="0" w:type="dxa"/>
            <w:vAlign w:val="bottom"/>
          </w:tcPr>
          <w:p>
            <w:pPr>
              <w:spacing w:after="0"/>
              <w:rPr>
                <w:sz w:val="1"/>
                <w:szCs w:val="1"/>
                <w:color w:val="auto"/>
              </w:rPr>
            </w:pPr>
          </w:p>
        </w:tc>
      </w:tr>
      <w:tr>
        <w:trPr>
          <w:trHeight w:val="194"/>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Adjusted interest expense excluding capitalized interest </w:t>
            </w:r>
            <w:r>
              <w:rPr>
                <w:rFonts w:ascii="Arial" w:cs="Arial" w:eastAsia="Arial" w:hAnsi="Arial"/>
                <w:sz w:val="14"/>
                <w:szCs w:val="14"/>
                <w:b w:val="1"/>
                <w:bCs w:val="1"/>
                <w:color w:val="auto"/>
              </w:rPr>
              <w:t>(A)</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165,378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162,073</w:t>
            </w:r>
          </w:p>
        </w:tc>
        <w:tc>
          <w:tcPr>
            <w:tcW w:w="0" w:type="dxa"/>
            <w:vAlign w:val="bottom"/>
          </w:tcPr>
          <w:p>
            <w:pPr>
              <w:spacing w:after="0"/>
              <w:rPr>
                <w:sz w:val="1"/>
                <w:szCs w:val="1"/>
                <w:color w:val="auto"/>
              </w:rPr>
            </w:pPr>
          </w:p>
        </w:tc>
      </w:tr>
      <w:tr>
        <w:trPr>
          <w:trHeight w:val="197"/>
        </w:trPr>
        <w:tc>
          <w:tcPr>
            <w:tcW w:w="7580" w:type="dxa"/>
            <w:vAlign w:val="bottom"/>
          </w:tcPr>
          <w:p>
            <w:pPr>
              <w:ind w:left="20"/>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220"/>
              <w:spacing w:after="0"/>
              <w:rPr>
                <w:sz w:val="20"/>
                <w:szCs w:val="20"/>
                <w:color w:val="auto"/>
              </w:rPr>
            </w:pPr>
            <w:r>
              <w:rPr>
                <w:rFonts w:ascii="Arial" w:cs="Arial" w:eastAsia="Arial" w:hAnsi="Arial"/>
                <w:sz w:val="14"/>
                <w:szCs w:val="14"/>
                <w:color w:val="auto"/>
              </w:rPr>
              <w:t xml:space="preserve">BXP’s Share of capitalized interest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14,239</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14,016</w:t>
            </w:r>
          </w:p>
        </w:tc>
        <w:tc>
          <w:tcPr>
            <w:tcW w:w="0" w:type="dxa"/>
            <w:vAlign w:val="bottom"/>
          </w:tcPr>
          <w:p>
            <w:pPr>
              <w:spacing w:after="0"/>
              <w:rPr>
                <w:sz w:val="1"/>
                <w:szCs w:val="1"/>
                <w:color w:val="auto"/>
              </w:rPr>
            </w:pPr>
          </w:p>
        </w:tc>
      </w:tr>
      <w:tr>
        <w:trPr>
          <w:trHeight w:val="196"/>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Adjusted interest expense including capitalized interest </w:t>
            </w:r>
            <w:r>
              <w:rPr>
                <w:rFonts w:ascii="Arial" w:cs="Arial" w:eastAsia="Arial" w:hAnsi="Arial"/>
                <w:sz w:val="14"/>
                <w:szCs w:val="14"/>
                <w:b w:val="1"/>
                <w:bCs w:val="1"/>
                <w:color w:val="auto"/>
              </w:rPr>
              <w:t>(B)</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179,617</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176,089</w:t>
            </w:r>
          </w:p>
        </w:tc>
        <w:tc>
          <w:tcPr>
            <w:tcW w:w="0" w:type="dxa"/>
            <w:vAlign w:val="bottom"/>
          </w:tcPr>
          <w:p>
            <w:pPr>
              <w:spacing w:after="0"/>
              <w:rPr>
                <w:sz w:val="1"/>
                <w:szCs w:val="1"/>
                <w:color w:val="auto"/>
              </w:rPr>
            </w:pPr>
          </w:p>
        </w:tc>
      </w:tr>
      <w:tr>
        <w:trPr>
          <w:trHeight w:val="21"/>
        </w:trPr>
        <w:tc>
          <w:tcPr>
            <w:tcW w:w="7580" w:type="dxa"/>
            <w:vAlign w:val="bottom"/>
            <w:vMerge w:val="restart"/>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2"/>
                <w:szCs w:val="12"/>
                <w:color w:val="auto"/>
              </w:rPr>
              <w:t>–</w:t>
            </w:r>
            <w:r>
              <w:rPr>
                <w:rFonts w:ascii="Arial" w:cs="Arial" w:eastAsia="Arial" w:hAnsi="Arial"/>
                <w:sz w:val="14"/>
                <w:szCs w:val="14"/>
                <w:color w:val="auto"/>
              </w:rPr>
              <w:t xml:space="preserve"> cash </w:t>
            </w:r>
            <w:r>
              <w:rPr>
                <w:rFonts w:ascii="Arial" w:cs="Arial" w:eastAsia="Arial" w:hAnsi="Arial"/>
                <w:sz w:val="18"/>
                <w:szCs w:val="18"/>
                <w:color w:val="auto"/>
                <w:vertAlign w:val="superscript"/>
              </w:rPr>
              <w:t>1, 2</w:t>
            </w:r>
            <w:r>
              <w:rPr>
                <w:rFonts w:ascii="Arial" w:cs="Arial" w:eastAsia="Arial" w:hAnsi="Arial"/>
                <w:sz w:val="14"/>
                <w:szCs w:val="14"/>
                <w:color w:val="auto"/>
              </w:rPr>
              <w:t xml:space="preserve"> </w:t>
            </w:r>
            <w:r>
              <w:rPr>
                <w:rFonts w:ascii="Arial" w:cs="Arial" w:eastAsia="Arial" w:hAnsi="Arial"/>
                <w:sz w:val="14"/>
                <w:szCs w:val="14"/>
                <w:b w:val="1"/>
                <w:bCs w:val="1"/>
                <w:color w:val="auto"/>
              </w:rPr>
              <w:t>(C)</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758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460,327</w:t>
            </w:r>
          </w:p>
        </w:tc>
        <w:tc>
          <w:tcPr>
            <w:tcW w:w="26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461,815</w:t>
            </w:r>
          </w:p>
        </w:tc>
        <w:tc>
          <w:tcPr>
            <w:tcW w:w="0" w:type="dxa"/>
            <w:vAlign w:val="bottom"/>
          </w:tcPr>
          <w:p>
            <w:pPr>
              <w:spacing w:after="0"/>
              <w:rPr>
                <w:sz w:val="1"/>
                <w:szCs w:val="1"/>
                <w:color w:val="auto"/>
              </w:rPr>
            </w:pPr>
          </w:p>
        </w:tc>
      </w:tr>
      <w:tr>
        <w:trPr>
          <w:trHeight w:val="383"/>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Interest Coverage Ratio (excluding capitalized interest) </w:t>
            </w:r>
            <w:r>
              <w:rPr>
                <w:rFonts w:ascii="Arial" w:cs="Arial" w:eastAsia="Arial" w:hAnsi="Arial"/>
                <w:sz w:val="14"/>
                <w:szCs w:val="14"/>
                <w:b w:val="1"/>
                <w:bCs w:val="1"/>
                <w:color w:val="auto"/>
              </w:rPr>
              <w:t>(C÷A)</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96"/>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Interest Coverage Ratio (including capitalized interest) </w:t>
            </w:r>
            <w:r>
              <w:rPr>
                <w:rFonts w:ascii="Arial" w:cs="Arial" w:eastAsia="Arial" w:hAnsi="Arial"/>
                <w:sz w:val="14"/>
                <w:szCs w:val="14"/>
                <w:b w:val="1"/>
                <w:bCs w:val="1"/>
                <w:color w:val="auto"/>
              </w:rPr>
              <w:t>(C÷B)</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818"/>
        </w:trPr>
        <w:tc>
          <w:tcPr>
            <w:tcW w:w="758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FIXED CHARGE COVERAGE RATIO </w:t>
            </w:r>
            <w:r>
              <w:rPr>
                <w:rFonts w:ascii="Arial" w:cs="Arial" w:eastAsia="Arial" w:hAnsi="Arial"/>
                <w:sz w:val="18"/>
                <w:szCs w:val="18"/>
                <w:b w:val="1"/>
                <w:bCs w:val="1"/>
                <w:color w:val="auto"/>
                <w:vertAlign w:val="superscript"/>
              </w:rPr>
              <w:t>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7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30-Sep-25</w:t>
            </w:r>
          </w:p>
        </w:tc>
        <w:tc>
          <w:tcPr>
            <w:tcW w:w="300" w:type="dxa"/>
            <w:vAlign w:val="bottom"/>
          </w:tcPr>
          <w:p>
            <w:pPr>
              <w:spacing w:after="0"/>
              <w:rPr>
                <w:sz w:val="16"/>
                <w:szCs w:val="16"/>
                <w:color w:val="auto"/>
              </w:rPr>
            </w:pP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202"/>
        </w:trPr>
        <w:tc>
          <w:tcPr>
            <w:tcW w:w="75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BXP’s Share of interest expense </w:t>
            </w:r>
            <w:r>
              <w:rPr>
                <w:rFonts w:ascii="Arial" w:cs="Arial" w:eastAsia="Arial" w:hAnsi="Arial"/>
                <w:sz w:val="18"/>
                <w:szCs w:val="18"/>
                <w:color w:val="auto"/>
                <w:vertAlign w:val="superscript"/>
              </w:rPr>
              <w:t>1</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172,497</w:t>
            </w:r>
          </w:p>
        </w:tc>
        <w:tc>
          <w:tcPr>
            <w:tcW w:w="26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169,763</w:t>
            </w:r>
          </w:p>
        </w:tc>
        <w:tc>
          <w:tcPr>
            <w:tcW w:w="0" w:type="dxa"/>
            <w:vAlign w:val="bottom"/>
          </w:tcPr>
          <w:p>
            <w:pPr>
              <w:spacing w:after="0"/>
              <w:rPr>
                <w:sz w:val="1"/>
                <w:szCs w:val="1"/>
                <w:color w:val="auto"/>
              </w:rPr>
            </w:pPr>
          </w:p>
        </w:tc>
      </w:tr>
      <w:tr>
        <w:trPr>
          <w:trHeight w:val="190"/>
        </w:trPr>
        <w:tc>
          <w:tcPr>
            <w:tcW w:w="7580" w:type="dxa"/>
            <w:vAlign w:val="bottom"/>
          </w:tcPr>
          <w:p>
            <w:pPr>
              <w:ind w:left="20"/>
              <w:spacing w:after="0"/>
              <w:rPr>
                <w:sz w:val="20"/>
                <w:szCs w:val="20"/>
                <w:color w:val="auto"/>
              </w:rPr>
            </w:pPr>
            <w:r>
              <w:rPr>
                <w:rFonts w:ascii="Arial" w:cs="Arial" w:eastAsia="Arial" w:hAnsi="Arial"/>
                <w:sz w:val="14"/>
                <w:szCs w:val="14"/>
                <w:color w:val="auto"/>
              </w:rPr>
              <w:t>Less: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580" w:type="dxa"/>
            <w:vAlign w:val="bottom"/>
          </w:tcPr>
          <w:p>
            <w:pPr>
              <w:ind w:left="220"/>
              <w:spacing w:after="0"/>
              <w:rPr>
                <w:sz w:val="20"/>
                <w:szCs w:val="20"/>
                <w:color w:val="auto"/>
              </w:rPr>
            </w:pPr>
            <w:r>
              <w:rPr>
                <w:rFonts w:ascii="Arial" w:cs="Arial" w:eastAsia="Arial" w:hAnsi="Arial"/>
                <w:sz w:val="14"/>
                <w:szCs w:val="14"/>
                <w:color w:val="auto"/>
              </w:rPr>
              <w:t xml:space="preserve">BXP’s Share of hedge amortization, net of costs </w:t>
            </w:r>
            <w:r>
              <w:rPr>
                <w:rFonts w:ascii="Arial" w:cs="Arial" w:eastAsia="Arial" w:hAnsi="Arial"/>
                <w:sz w:val="18"/>
                <w:szCs w:val="18"/>
                <w:color w:val="auto"/>
                <w:vertAlign w:val="superscript"/>
              </w:rPr>
              <w:t>1</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1,781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1,808</w:t>
            </w:r>
          </w:p>
        </w:tc>
        <w:tc>
          <w:tcPr>
            <w:tcW w:w="0" w:type="dxa"/>
            <w:vAlign w:val="bottom"/>
          </w:tcPr>
          <w:p>
            <w:pPr>
              <w:spacing w:after="0"/>
              <w:rPr>
                <w:sz w:val="1"/>
                <w:szCs w:val="1"/>
                <w:color w:val="auto"/>
              </w:rPr>
            </w:pPr>
          </w:p>
        </w:tc>
      </w:tr>
      <w:tr>
        <w:trPr>
          <w:trHeight w:val="203"/>
        </w:trPr>
        <w:tc>
          <w:tcPr>
            <w:tcW w:w="75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BXP’s Share of fair value interest adjustment </w:t>
            </w:r>
            <w:r>
              <w:rPr>
                <w:rFonts w:ascii="Arial" w:cs="Arial" w:eastAsia="Arial" w:hAnsi="Arial"/>
                <w:sz w:val="18"/>
                <w:szCs w:val="18"/>
                <w:color w:val="auto"/>
                <w:vertAlign w:val="superscript"/>
              </w:rPr>
              <w:t>1</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205"/>
        </w:trPr>
        <w:tc>
          <w:tcPr>
            <w:tcW w:w="7580" w:type="dxa"/>
            <w:vAlign w:val="bottom"/>
          </w:tcPr>
          <w:p>
            <w:pPr>
              <w:ind w:left="220"/>
              <w:spacing w:after="0" w:line="205" w:lineRule="exact"/>
              <w:rPr>
                <w:sz w:val="20"/>
                <w:szCs w:val="20"/>
                <w:color w:val="auto"/>
              </w:rPr>
            </w:pPr>
            <w:r>
              <w:rPr>
                <w:rFonts w:ascii="Arial" w:cs="Arial" w:eastAsia="Arial" w:hAnsi="Arial"/>
                <w:sz w:val="14"/>
                <w:szCs w:val="14"/>
                <w:color w:val="auto"/>
              </w:rPr>
              <w:t xml:space="preserve">BXP’s Share of amortization of financing costs </w:t>
            </w:r>
            <w:r>
              <w:rPr>
                <w:rFonts w:ascii="Arial" w:cs="Arial" w:eastAsia="Arial" w:hAnsi="Arial"/>
                <w:sz w:val="18"/>
                <w:szCs w:val="18"/>
                <w:color w:val="auto"/>
                <w:vertAlign w:val="superscript"/>
              </w:rPr>
              <w:t>1</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4,665</w:t>
            </w:r>
          </w:p>
        </w:tc>
        <w:tc>
          <w:tcPr>
            <w:tcW w:w="0" w:type="dxa"/>
            <w:vAlign w:val="bottom"/>
          </w:tcPr>
          <w:p>
            <w:pPr>
              <w:spacing w:after="0"/>
              <w:rPr>
                <w:sz w:val="1"/>
                <w:szCs w:val="1"/>
                <w:color w:val="auto"/>
              </w:rPr>
            </w:pPr>
          </w:p>
        </w:tc>
      </w:tr>
      <w:tr>
        <w:trPr>
          <w:trHeight w:val="190"/>
        </w:trPr>
        <w:tc>
          <w:tcPr>
            <w:tcW w:w="7580" w:type="dxa"/>
            <w:vAlign w:val="bottom"/>
          </w:tcPr>
          <w:p>
            <w:pPr>
              <w:ind w:left="20"/>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580" w:type="dxa"/>
            <w:vAlign w:val="bottom"/>
          </w:tcPr>
          <w:p>
            <w:pPr>
              <w:ind w:left="220"/>
              <w:spacing w:after="0"/>
              <w:rPr>
                <w:sz w:val="20"/>
                <w:szCs w:val="20"/>
                <w:color w:val="auto"/>
              </w:rPr>
            </w:pPr>
            <w:r>
              <w:rPr>
                <w:rFonts w:ascii="Arial" w:cs="Arial" w:eastAsia="Arial" w:hAnsi="Arial"/>
                <w:sz w:val="14"/>
                <w:szCs w:val="14"/>
                <w:color w:val="auto"/>
              </w:rPr>
              <w:t xml:space="preserve">BXP’s Share of capitalized interest </w:t>
            </w:r>
            <w:r>
              <w:rPr>
                <w:rFonts w:ascii="Arial" w:cs="Arial" w:eastAsia="Arial" w:hAnsi="Arial"/>
                <w:sz w:val="18"/>
                <w:szCs w:val="18"/>
                <w:color w:val="auto"/>
                <w:vertAlign w:val="superscript"/>
              </w:rPr>
              <w:t>1</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14,239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14,016</w:t>
            </w:r>
          </w:p>
        </w:tc>
        <w:tc>
          <w:tcPr>
            <w:tcW w:w="0" w:type="dxa"/>
            <w:vAlign w:val="bottom"/>
          </w:tcPr>
          <w:p>
            <w:pPr>
              <w:spacing w:after="0"/>
              <w:rPr>
                <w:sz w:val="1"/>
                <w:szCs w:val="1"/>
                <w:color w:val="auto"/>
              </w:rPr>
            </w:pPr>
          </w:p>
        </w:tc>
      </w:tr>
      <w:tr>
        <w:trPr>
          <w:trHeight w:val="205"/>
        </w:trPr>
        <w:tc>
          <w:tcPr>
            <w:tcW w:w="7580" w:type="dxa"/>
            <w:vAlign w:val="bottom"/>
          </w:tcPr>
          <w:p>
            <w:pPr>
              <w:ind w:left="220"/>
              <w:spacing w:after="0" w:line="205" w:lineRule="exact"/>
              <w:rPr>
                <w:sz w:val="20"/>
                <w:szCs w:val="20"/>
                <w:color w:val="auto"/>
              </w:rPr>
            </w:pPr>
            <w:r>
              <w:rPr>
                <w:rFonts w:ascii="Arial" w:cs="Arial" w:eastAsia="Arial" w:hAnsi="Arial"/>
                <w:sz w:val="14"/>
                <w:szCs w:val="14"/>
                <w:color w:val="auto"/>
              </w:rPr>
              <w:t xml:space="preserve">BXP’s Share of maintenance capital expenditures </w:t>
            </w:r>
            <w:r>
              <w:rPr>
                <w:rFonts w:ascii="Arial" w:cs="Arial" w:eastAsia="Arial" w:hAnsi="Arial"/>
                <w:sz w:val="18"/>
                <w:szCs w:val="18"/>
                <w:color w:val="auto"/>
                <w:vertAlign w:val="superscript"/>
              </w:rPr>
              <w:t>1</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23,341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30,211</w:t>
            </w:r>
          </w:p>
        </w:tc>
        <w:tc>
          <w:tcPr>
            <w:tcW w:w="0" w:type="dxa"/>
            <w:vAlign w:val="bottom"/>
          </w:tcPr>
          <w:p>
            <w:pPr>
              <w:spacing w:after="0"/>
              <w:rPr>
                <w:sz w:val="1"/>
                <w:szCs w:val="1"/>
                <w:color w:val="auto"/>
              </w:rPr>
            </w:pPr>
          </w:p>
        </w:tc>
      </w:tr>
      <w:tr>
        <w:trPr>
          <w:trHeight w:val="194"/>
        </w:trPr>
        <w:tc>
          <w:tcPr>
            <w:tcW w:w="7580" w:type="dxa"/>
            <w:vAlign w:val="bottom"/>
          </w:tcPr>
          <w:p>
            <w:pPr>
              <w:ind w:left="220"/>
              <w:spacing w:after="0"/>
              <w:rPr>
                <w:sz w:val="20"/>
                <w:szCs w:val="20"/>
                <w:color w:val="auto"/>
              </w:rPr>
            </w:pPr>
            <w:r>
              <w:rPr>
                <w:rFonts w:ascii="Arial" w:cs="Arial" w:eastAsia="Arial" w:hAnsi="Arial"/>
                <w:sz w:val="14"/>
                <w:szCs w:val="14"/>
                <w:color w:val="auto"/>
              </w:rPr>
              <w:t>Hotel improvements, equipment upgrades and replacements</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00"/>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Total Fixed Charges </w:t>
            </w:r>
            <w:r>
              <w:rPr>
                <w:rFonts w:ascii="Arial" w:cs="Arial" w:eastAsia="Arial" w:hAnsi="Arial"/>
                <w:sz w:val="14"/>
                <w:szCs w:val="14"/>
                <w:b w:val="1"/>
                <w:bCs w:val="1"/>
                <w:color w:val="auto"/>
              </w:rPr>
              <w:t>(A)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204,139</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207,159</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2"/>
                <w:szCs w:val="12"/>
                <w:color w:val="auto"/>
              </w:rPr>
              <w:t>–</w:t>
            </w:r>
            <w:r>
              <w:rPr>
                <w:rFonts w:ascii="Arial" w:cs="Arial" w:eastAsia="Arial" w:hAnsi="Arial"/>
                <w:sz w:val="14"/>
                <w:szCs w:val="14"/>
                <w:color w:val="auto"/>
              </w:rPr>
              <w:t xml:space="preserve"> cash </w:t>
            </w:r>
            <w:r>
              <w:rPr>
                <w:rFonts w:ascii="Arial" w:cs="Arial" w:eastAsia="Arial" w:hAnsi="Arial"/>
                <w:sz w:val="18"/>
                <w:szCs w:val="18"/>
                <w:color w:val="auto"/>
                <w:vertAlign w:val="superscript"/>
              </w:rPr>
              <w:t>1, 2</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58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460,327</w:t>
            </w:r>
          </w:p>
        </w:tc>
        <w:tc>
          <w:tcPr>
            <w:tcW w:w="26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461,815</w:t>
            </w:r>
          </w:p>
        </w:tc>
        <w:tc>
          <w:tcPr>
            <w:tcW w:w="0" w:type="dxa"/>
            <w:vAlign w:val="bottom"/>
          </w:tcPr>
          <w:p>
            <w:pPr>
              <w:spacing w:after="0"/>
              <w:rPr>
                <w:sz w:val="1"/>
                <w:szCs w:val="1"/>
                <w:color w:val="auto"/>
              </w:rPr>
            </w:pPr>
          </w:p>
        </w:tc>
      </w:tr>
      <w:tr>
        <w:trPr>
          <w:trHeight w:val="195"/>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Fixed Charge Coverage Ratio </w:t>
            </w:r>
            <w:r>
              <w:rPr>
                <w:rFonts w:ascii="Arial" w:cs="Arial" w:eastAsia="Arial" w:hAnsi="Arial"/>
                <w:sz w:val="14"/>
                <w:szCs w:val="14"/>
                <w:b w:val="1"/>
                <w:bCs w:val="1"/>
                <w:color w:val="auto"/>
              </w:rPr>
              <w:t>(B÷A)</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-5811520</wp:posOffset>
            </wp:positionV>
            <wp:extent cx="257175"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160" w:hanging="71"/>
        <w:spacing w:after="0"/>
        <w:tabs>
          <w:tab w:leader="none" w:pos="160" w:val="left"/>
        </w:tabs>
        <w:numPr>
          <w:ilvl w:val="0"/>
          <w:numId w:val="84"/>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pacing w:after="0" w:line="52" w:lineRule="exact"/>
        <w:rPr>
          <w:rFonts w:ascii="Arial" w:cs="Arial" w:eastAsia="Arial" w:hAnsi="Arial"/>
          <w:sz w:val="9"/>
          <w:szCs w:val="9"/>
          <w:color w:val="auto"/>
        </w:rPr>
      </w:pPr>
    </w:p>
    <w:p>
      <w:pPr>
        <w:ind w:left="80"/>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For a quantitative reconciliation of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 cash, see page 31.</w:t>
      </w:r>
    </w:p>
    <w:p>
      <w:pPr>
        <w:sectPr>
          <w:pgSz w:w="11900" w:h="16838" w:orient="portrait"/>
          <w:cols w:equalWidth="0" w:num="1">
            <w:col w:w="11240"/>
          </w:cols>
          <w:pgMar w:left="320" w:top="265" w:right="339" w:bottom="417" w:gutter="0" w:footer="0" w:header="0"/>
        </w:sectPr>
      </w:pPr>
    </w:p>
    <w:p>
      <w:pPr>
        <w:spacing w:after="0" w:line="200" w:lineRule="exact"/>
        <w:rPr>
          <w:sz w:val="20"/>
          <w:szCs w:val="20"/>
          <w:color w:val="auto"/>
        </w:rPr>
      </w:pPr>
    </w:p>
    <w:p>
      <w:pPr>
        <w:spacing w:after="0" w:line="2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265" w:right="339" w:bottom="417" w:gutter="0" w:footer="0" w:header="0"/>
          <w:type w:val="continuous"/>
        </w:sectPr>
      </w:pPr>
    </w:p>
    <w:bookmarkStart w:id="40" w:name="page41"/>
    <w:bookmarkEnd w:id="40"/>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jc w:val="center"/>
              <w:ind w:right="208"/>
              <w:spacing w:after="0"/>
              <w:rPr>
                <w:sz w:val="20"/>
                <w:szCs w:val="20"/>
                <w:color w:val="auto"/>
              </w:rPr>
            </w:pPr>
            <w:r>
              <w:rPr>
                <w:rFonts w:ascii="Arial" w:cs="Arial" w:eastAsia="Arial" w:hAnsi="Arial"/>
                <w:sz w:val="14"/>
                <w:szCs w:val="14"/>
                <w:b w:val="1"/>
                <w:bCs w:val="1"/>
                <w:color w:val="auto"/>
              </w:rPr>
              <w:t>767 Fifth Avenue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 Consolidated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 xml:space="preserve">(The GM Building) </w:t>
            </w:r>
            <w:r>
              <w:rPr>
                <w:rFonts w:ascii="Arial" w:cs="Arial" w:eastAsia="Arial" w:hAnsi="Arial"/>
                <w:sz w:val="9"/>
                <w:szCs w:val="9"/>
                <w:b w:val="1"/>
                <w:bCs w:val="1"/>
                <w:color w:val="auto"/>
              </w:rPr>
              <w:t>1</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xml:space="preserve">Norges Joint Ventures </w:t>
            </w:r>
            <w:r>
              <w:rPr>
                <w:rFonts w:ascii="Arial" w:cs="Arial" w:eastAsia="Arial" w:hAnsi="Arial"/>
                <w:sz w:val="9"/>
                <w:szCs w:val="9"/>
                <w:b w:val="1"/>
                <w:bCs w:val="1"/>
                <w:color w:val="auto"/>
              </w:rPr>
              <w:t>1, 2</w:t>
            </w: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Joint Ventures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3880" w:type="dxa"/>
            <w:vAlign w:val="bottom"/>
          </w:tcPr>
          <w:p>
            <w:pPr>
              <w:ind w:left="20"/>
              <w:spacing w:after="0"/>
              <w:rPr>
                <w:sz w:val="20"/>
                <w:szCs w:val="20"/>
                <w:color w:val="auto"/>
              </w:rPr>
            </w:pPr>
            <w:r>
              <w:rPr>
                <w:rFonts w:ascii="Arial" w:cs="Arial" w:eastAsia="Arial" w:hAnsi="Arial"/>
                <w:sz w:val="14"/>
                <w:szCs w:val="14"/>
                <w:color w:val="auto"/>
              </w:rPr>
              <w:t>Real estate,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3,166,283</w:t>
            </w:r>
          </w:p>
        </w:tc>
        <w:tc>
          <w:tcPr>
            <w:tcW w:w="26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3,145,343</w:t>
            </w:r>
          </w:p>
        </w:tc>
        <w:tc>
          <w:tcPr>
            <w:tcW w:w="26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6,311,626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61,712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141,082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202,794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339,543</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508,092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847,635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76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3,567,538</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3,794,517</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7,362,055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0"/>
        </w:trPr>
        <w:tc>
          <w:tcPr>
            <w:tcW w:w="38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4"/>
                <w:szCs w:val="14"/>
                <w:color w:val="auto"/>
              </w:rPr>
              <w:t>Mortgage notes payable,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2,294,109</w:t>
            </w:r>
          </w:p>
        </w:tc>
        <w:tc>
          <w:tcPr>
            <w:tcW w:w="26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991,541</w:t>
            </w:r>
          </w:p>
        </w:tc>
        <w:tc>
          <w:tcPr>
            <w:tcW w:w="26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3,285,650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80" w:type="dxa"/>
            <w:vAlign w:val="bottom"/>
          </w:tcPr>
          <w:p>
            <w:pPr>
              <w:ind w:left="22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72,808</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163,078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4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2,366,917</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1,154,619</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3,521,536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880" w:type="dxa"/>
            <w:vAlign w:val="bottom"/>
          </w:tcPr>
          <w:p>
            <w:pPr>
              <w:ind w:left="20"/>
              <w:spacing w:after="0"/>
              <w:rPr>
                <w:sz w:val="20"/>
                <w:szCs w:val="20"/>
                <w:color w:val="auto"/>
              </w:rPr>
            </w:pPr>
            <w:r>
              <w:rPr>
                <w:rFonts w:ascii="Arial" w:cs="Arial" w:eastAsia="Arial" w:hAnsi="Arial"/>
                <w:sz w:val="14"/>
                <w:szCs w:val="14"/>
                <w:color w:val="auto"/>
              </w:rPr>
              <w:t>Equity:</w:t>
            </w: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40"/>
              <w:spacing w:after="0"/>
              <w:rPr>
                <w:sz w:val="20"/>
                <w:szCs w:val="20"/>
                <w:color w:val="auto"/>
              </w:rPr>
            </w:pPr>
            <w:r>
              <w:rPr>
                <w:rFonts w:ascii="Arial" w:cs="Arial" w:eastAsia="Arial" w:hAnsi="Arial"/>
                <w:sz w:val="14"/>
                <w:szCs w:val="14"/>
                <w:color w:val="auto"/>
              </w:rPr>
              <w:t>BXP, Inc.</w:t>
            </w:r>
          </w:p>
        </w:tc>
        <w:tc>
          <w:tcPr>
            <w:tcW w:w="2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721,855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right"/>
              <w:ind w:right="8"/>
              <w:spacing w:after="0"/>
              <w:rPr>
                <w:sz w:val="20"/>
                <w:szCs w:val="20"/>
                <w:color w:val="auto"/>
              </w:rPr>
            </w:pPr>
            <w:r>
              <w:rPr>
                <w:rFonts w:ascii="Arial" w:cs="Arial" w:eastAsia="Arial" w:hAnsi="Arial"/>
                <w:sz w:val="14"/>
                <w:szCs w:val="14"/>
                <w:color w:val="auto"/>
              </w:rPr>
              <w:t>1,163,767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1,885,622</w:t>
            </w:r>
          </w:p>
        </w:tc>
        <w:tc>
          <w:tcPr>
            <w:tcW w:w="60" w:type="dxa"/>
            <w:vAlign w:val="bottom"/>
            <w:vMerge w:val="restart"/>
          </w:tcPr>
          <w:p>
            <w:pPr>
              <w:jc w:val="right"/>
              <w:spacing w:after="0"/>
              <w:rPr>
                <w:sz w:val="20"/>
                <w:szCs w:val="20"/>
                <w:color w:val="auto"/>
              </w:rPr>
            </w:pPr>
            <w:r>
              <w:rPr>
                <w:rFonts w:ascii="Arial" w:cs="Arial" w:eastAsia="Arial" w:hAnsi="Arial"/>
                <w:sz w:val="9"/>
                <w:szCs w:val="9"/>
                <w:color w:val="auto"/>
                <w:w w:val="78"/>
              </w:rPr>
              <w:t>3</w:t>
            </w:r>
          </w:p>
        </w:tc>
        <w:tc>
          <w:tcPr>
            <w:tcW w:w="0" w:type="dxa"/>
            <w:vAlign w:val="bottom"/>
          </w:tcPr>
          <w:p>
            <w:pPr>
              <w:spacing w:after="0"/>
              <w:rPr>
                <w:sz w:val="1"/>
                <w:szCs w:val="1"/>
                <w:color w:val="auto"/>
              </w:rPr>
            </w:pPr>
          </w:p>
        </w:tc>
      </w:tr>
      <w:tr>
        <w:trPr>
          <w:trHeight w:val="204"/>
        </w:trPr>
        <w:tc>
          <w:tcPr>
            <w:tcW w:w="388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478,766</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1,476,131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1,954,897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480"/>
              <w:spacing w:after="0"/>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1,200,621</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2,639,898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3,840,519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760"/>
              <w:spacing w:after="0"/>
              <w:rPr>
                <w:sz w:val="20"/>
                <w:szCs w:val="20"/>
                <w:color w:val="auto"/>
              </w:rPr>
            </w:pPr>
            <w:r>
              <w:rPr>
                <w:rFonts w:ascii="Arial" w:cs="Arial" w:eastAsia="Arial" w:hAnsi="Arial"/>
                <w:sz w:val="14"/>
                <w:szCs w:val="14"/>
                <w:b w:val="1"/>
                <w:bCs w:val="1"/>
                <w:color w:val="auto"/>
              </w:rPr>
              <w:t>Total liabilities and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3,567,538</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3,794,517</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7,362,055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1"/>
        </w:trPr>
        <w:tc>
          <w:tcPr>
            <w:tcW w:w="3880" w:type="dxa"/>
            <w:vAlign w:val="bottom"/>
          </w:tcPr>
          <w:p>
            <w:pPr>
              <w:ind w:left="20"/>
              <w:spacing w:after="0"/>
              <w:rPr>
                <w:sz w:val="20"/>
                <w:szCs w:val="20"/>
                <w:color w:val="auto"/>
              </w:rPr>
            </w:pPr>
            <w:r>
              <w:rPr>
                <w:rFonts w:ascii="Arial" w:cs="Arial" w:eastAsia="Arial" w:hAnsi="Arial"/>
                <w:sz w:val="14"/>
                <w:szCs w:val="14"/>
                <w:color w:val="auto"/>
              </w:rPr>
              <w:t>BXP’s nominal ownership percentage</w:t>
            </w: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880" w:type="dxa"/>
            <w:vAlign w:val="bottom"/>
          </w:tcPr>
          <w:p>
            <w:pPr>
              <w:ind w:left="20"/>
              <w:spacing w:after="0"/>
              <w:rPr>
                <w:sz w:val="20"/>
                <w:szCs w:val="20"/>
                <w:color w:val="auto"/>
              </w:rPr>
            </w:pPr>
            <w:r>
              <w:rPr>
                <w:rFonts w:ascii="Arial" w:cs="Arial" w:eastAsia="Arial" w:hAnsi="Arial"/>
                <w:sz w:val="14"/>
                <w:szCs w:val="14"/>
                <w:color w:val="auto"/>
              </w:rPr>
              <w:t xml:space="preserve">Partners’ share of cash and cash equivalents </w:t>
            </w:r>
            <w:r>
              <w:rPr>
                <w:rFonts w:ascii="Arial" w:cs="Arial" w:eastAsia="Arial" w:hAnsi="Arial"/>
                <w:sz w:val="9"/>
                <w:szCs w:val="9"/>
                <w:color w:val="auto"/>
              </w:rPr>
              <w:t>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24,685</w:t>
            </w:r>
          </w:p>
        </w:tc>
        <w:tc>
          <w:tcPr>
            <w:tcW w:w="26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63,487</w:t>
            </w:r>
          </w:p>
        </w:tc>
        <w:tc>
          <w:tcPr>
            <w:tcW w:w="260" w:type="dxa"/>
            <w:vAlign w:val="bottom"/>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880" w:type="dxa"/>
            <w:vAlign w:val="bottom"/>
          </w:tcPr>
          <w:p>
            <w:pPr>
              <w:ind w:left="20"/>
              <w:spacing w:after="0"/>
              <w:rPr>
                <w:sz w:val="20"/>
                <w:szCs w:val="20"/>
                <w:color w:val="auto"/>
              </w:rPr>
            </w:pPr>
            <w:r>
              <w:rPr>
                <w:rFonts w:ascii="Arial" w:cs="Arial" w:eastAsia="Arial" w:hAnsi="Arial"/>
                <w:sz w:val="14"/>
                <w:szCs w:val="14"/>
                <w:color w:val="auto"/>
              </w:rPr>
              <w:t xml:space="preserve">Partners’ share of consolidated debt </w:t>
            </w:r>
            <w:r>
              <w:rPr>
                <w:rFonts w:ascii="Arial" w:cs="Arial" w:eastAsia="Arial" w:hAnsi="Arial"/>
                <w:sz w:val="9"/>
                <w:szCs w:val="9"/>
                <w:color w:val="auto"/>
              </w:rPr>
              <w:t>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917,668</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446,193</w:t>
            </w:r>
          </w:p>
        </w:tc>
        <w:tc>
          <w:tcPr>
            <w:tcW w:w="260" w:type="dxa"/>
            <w:vAlign w:val="bottom"/>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1,363,861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85"/>
        </w:numPr>
        <w:rPr>
          <w:rFonts w:ascii="Arial" w:cs="Arial" w:eastAsia="Arial" w:hAnsi="Arial"/>
          <w:sz w:val="19"/>
          <w:szCs w:val="19"/>
          <w:color w:val="auto"/>
          <w:vertAlign w:val="superscript"/>
        </w:rPr>
      </w:pPr>
      <w:r>
        <w:rPr>
          <w:rFonts w:ascii="Arial" w:cs="Arial" w:eastAsia="Arial" w:hAnsi="Arial"/>
          <w:sz w:val="14"/>
          <w:szCs w:val="14"/>
          <w:color w:val="auto"/>
        </w:rPr>
        <w:t>Certain balances contain amounts that eliminate in consolidation.</w:t>
      </w:r>
    </w:p>
    <w:p>
      <w:pPr>
        <w:spacing w:after="0" w:line="26" w:lineRule="exact"/>
        <w:rPr>
          <w:sz w:val="20"/>
          <w:szCs w:val="20"/>
          <w:color w:val="auto"/>
        </w:rPr>
      </w:pPr>
    </w:p>
    <w:p>
      <w:pPr>
        <w:ind w:left="80" w:right="380" w:hanging="72"/>
        <w:spacing w:after="0" w:line="279" w:lineRule="auto"/>
        <w:tabs>
          <w:tab w:leader="none" w:pos="78" w:val="left"/>
        </w:tabs>
        <w:numPr>
          <w:ilvl w:val="0"/>
          <w:numId w:val="86"/>
        </w:numPr>
        <w:rPr>
          <w:rFonts w:ascii="Arial" w:cs="Arial" w:eastAsia="Arial" w:hAnsi="Arial"/>
          <w:sz w:val="9"/>
          <w:szCs w:val="9"/>
          <w:color w:val="auto"/>
        </w:rPr>
      </w:pPr>
      <w:r>
        <w:rPr>
          <w:rFonts w:ascii="Arial" w:cs="Arial" w:eastAsia="Arial" w:hAnsi="Arial"/>
          <w:sz w:val="14"/>
          <w:szCs w:val="14"/>
          <w:color w:val="auto"/>
        </w:rPr>
        <w:t>Norges Joint Ventures include 7 Times Square (formerly Times Square Tower), 601 Lexington Avenue/One Five Nine East 53rd Street, 100 Federal Street, Atlantic Wharf Office, 300 Binney Street, and 290 Binney Street.</w:t>
      </w:r>
    </w:p>
    <w:p>
      <w:pPr>
        <w:ind w:left="80" w:hanging="72"/>
        <w:spacing w:after="0" w:line="212" w:lineRule="auto"/>
        <w:tabs>
          <w:tab w:leader="none" w:pos="8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Amount excludes preferred shareholders’ capital.</w:t>
      </w:r>
    </w:p>
    <w:p>
      <w:pPr>
        <w:ind w:left="80" w:hanging="72"/>
        <w:spacing w:after="0" w:line="222" w:lineRule="auto"/>
        <w:tabs>
          <w:tab w:leader="none" w:pos="8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Amounts represent the partners’ share based on their respective ownership percentages.</w:t>
      </w:r>
    </w:p>
    <w:p>
      <w:pPr>
        <w:spacing w:after="0" w:line="40"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Amount adjusted for basis differentials.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265" w:right="339" w:bottom="1440" w:gutter="0" w:footer="0" w:header="0"/>
          <w:type w:val="continuous"/>
        </w:sectPr>
      </w:pPr>
    </w:p>
    <w:bookmarkStart w:id="41" w:name="page42"/>
    <w:bookmarkEnd w:id="41"/>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joint ventures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767 Fifth Avenue</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 Consolidated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(The GM Building)</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240"/>
              <w:spacing w:after="0" w:line="205" w:lineRule="exact"/>
              <w:rPr>
                <w:sz w:val="20"/>
                <w:szCs w:val="20"/>
                <w:color w:val="auto"/>
              </w:rPr>
            </w:pPr>
            <w:r>
              <w:rPr>
                <w:rFonts w:ascii="Arial" w:cs="Arial" w:eastAsia="Arial" w:hAnsi="Arial"/>
                <w:sz w:val="14"/>
                <w:szCs w:val="14"/>
                <w:b w:val="1"/>
                <w:bCs w:val="1"/>
                <w:color w:val="auto"/>
              </w:rPr>
              <w:t xml:space="preserve">Norges Joint Ventures </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Joint Ventures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0"/>
              <w:spacing w:after="0"/>
              <w:rPr>
                <w:sz w:val="20"/>
                <w:szCs w:val="20"/>
                <w:color w:val="auto"/>
              </w:rPr>
            </w:pPr>
            <w:r>
              <w:rPr>
                <w:rFonts w:ascii="Arial" w:cs="Arial" w:eastAsia="Arial" w:hAnsi="Arial"/>
                <w:sz w:val="14"/>
                <w:szCs w:val="14"/>
                <w:color w:val="auto"/>
              </w:rPr>
              <w:t>Revenue</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2</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81,717</w:t>
            </w:r>
          </w:p>
        </w:tc>
        <w:tc>
          <w:tcPr>
            <w:tcW w:w="4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104,152</w:t>
            </w:r>
          </w:p>
        </w:tc>
        <w:tc>
          <w:tcPr>
            <w:tcW w:w="4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185,869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3,256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14,676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17,932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00" w:type="dxa"/>
            <w:vAlign w:val="bottom"/>
          </w:tcPr>
          <w:p>
            <w:pPr>
              <w:ind w:left="480"/>
              <w:spacing w:after="0"/>
              <w:rPr>
                <w:sz w:val="20"/>
                <w:szCs w:val="20"/>
                <w:color w:val="auto"/>
              </w:rPr>
            </w:pPr>
            <w:r>
              <w:rPr>
                <w:rFonts w:ascii="Arial" w:cs="Arial" w:eastAsia="Arial" w:hAnsi="Arial"/>
                <w:sz w:val="14"/>
                <w:szCs w:val="14"/>
                <w:color w:val="auto"/>
              </w:rPr>
              <w:t>Total lease revenue</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84,946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118,828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203,774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480"/>
              <w:spacing w:after="0" w:line="202" w:lineRule="exact"/>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3</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84,946</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120,450</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205,396</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rPr>
                <w:sz w:val="20"/>
                <w:szCs w:val="20"/>
                <w:color w:val="auto"/>
              </w:rPr>
            </w:pPr>
            <w:r>
              <w:rPr>
                <w:rFonts w:ascii="Arial" w:cs="Arial" w:eastAsia="Arial" w:hAnsi="Arial"/>
                <w:sz w:val="14"/>
                <w:szCs w:val="14"/>
                <w:color w:val="auto"/>
              </w:rPr>
              <w:t>Expenses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35,557</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45,983</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81,540</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49,389</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74,467</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123,856</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47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Development and management services revenue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Gains from investments in securities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Interest and other income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776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1,816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2,592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(21,395)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4"/>
                <w:szCs w:val="14"/>
                <w:color w:val="auto"/>
              </w:rPr>
              <w:t>(7,693)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4"/>
                <w:szCs w:val="14"/>
                <w:color w:val="auto"/>
              </w:rPr>
              <w:t>(29,088)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(18,366)</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4"/>
                <w:szCs w:val="14"/>
                <w:color w:val="auto"/>
              </w:rPr>
              <w:t>(32,298)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4"/>
                <w:szCs w:val="14"/>
                <w:color w:val="auto"/>
              </w:rPr>
              <w:t>(50,664)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20"/>
              <w:spacing w:after="0"/>
              <w:rPr>
                <w:sz w:val="20"/>
                <w:szCs w:val="20"/>
                <w:color w:val="auto"/>
              </w:rPr>
            </w:pPr>
            <w:r>
              <w:rPr>
                <w:rFonts w:ascii="Arial" w:cs="Arial" w:eastAsia="Arial" w:hAnsi="Arial"/>
                <w:sz w:val="14"/>
                <w:szCs w:val="14"/>
                <w:color w:val="auto"/>
              </w:rPr>
              <w:t>General and administrative expense</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(169)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480"/>
              <w:spacing w:after="0"/>
              <w:rPr>
                <w:sz w:val="20"/>
                <w:szCs w:val="20"/>
                <w:color w:val="auto"/>
              </w:rPr>
            </w:pPr>
            <w:r>
              <w:rPr>
                <w:rFonts w:ascii="Arial" w:cs="Arial" w:eastAsia="Arial" w:hAnsi="Arial"/>
                <w:sz w:val="14"/>
                <w:szCs w:val="14"/>
                <w:color w:val="auto"/>
              </w:rPr>
              <w:t>Total other income (expense)</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(39,052)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(38,336)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(77,388)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10,337</w:t>
            </w:r>
          </w:p>
        </w:tc>
        <w:tc>
          <w:tcPr>
            <w:tcW w:w="40" w:type="dxa"/>
            <w:vAlign w:val="bottom"/>
          </w:tcPr>
          <w:p>
            <w:pPr>
              <w:spacing w:after="0"/>
              <w:rPr>
                <w:sz w:val="17"/>
                <w:szCs w:val="17"/>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36,131</w:t>
            </w:r>
          </w:p>
        </w:tc>
        <w:tc>
          <w:tcPr>
            <w:tcW w:w="40" w:type="dxa"/>
            <w:vAlign w:val="bottom"/>
          </w:tcPr>
          <w:p>
            <w:pPr>
              <w:spacing w:after="0"/>
              <w:rPr>
                <w:sz w:val="17"/>
                <w:szCs w:val="17"/>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46,468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FUNDS FROM OPERATIONS (FFO)</w:t>
            </w: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1"/>
        </w:trPr>
        <w:tc>
          <w:tcPr>
            <w:tcW w:w="4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7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4700" w:type="dxa"/>
            <w:vAlign w:val="bottom"/>
          </w:tcPr>
          <w:p>
            <w:pPr>
              <w:ind w:left="20"/>
              <w:spacing w:after="0"/>
              <w:rPr>
                <w:sz w:val="20"/>
                <w:szCs w:val="20"/>
                <w:color w:val="auto"/>
              </w:rPr>
            </w:pPr>
            <w:r>
              <w:rPr>
                <w:rFonts w:ascii="Arial" w:cs="Arial" w:eastAsia="Arial" w:hAnsi="Arial"/>
                <w:sz w:val="14"/>
                <w:szCs w:val="14"/>
                <w:color w:val="auto"/>
              </w:rPr>
              <w:t>BXP’s nominal ownership percentage</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9"/>
              </w:rPr>
              <w:t>60%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767 Fifth Avenue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 Consolidated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Reconciliation of Partners’ share of FFO</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(The GM Building)</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80"/>
              <w:spacing w:after="0" w:line="205" w:lineRule="exact"/>
              <w:rPr>
                <w:sz w:val="20"/>
                <w:szCs w:val="20"/>
                <w:color w:val="auto"/>
              </w:rPr>
            </w:pPr>
            <w:r>
              <w:rPr>
                <w:rFonts w:ascii="Arial" w:cs="Arial" w:eastAsia="Arial" w:hAnsi="Arial"/>
                <w:sz w:val="14"/>
                <w:szCs w:val="14"/>
                <w:b w:val="1"/>
                <w:bCs w:val="1"/>
                <w:color w:val="auto"/>
              </w:rPr>
              <w:t xml:space="preserve">Norges Joint Ventures </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Joint Ventures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10,337</w:t>
            </w: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36,131</w:t>
            </w:r>
          </w:p>
        </w:tc>
        <w:tc>
          <w:tcPr>
            <w:tcW w:w="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46,468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32,298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50,664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4"/>
                <w:szCs w:val="14"/>
                <w:color w:val="auto"/>
              </w:rPr>
              <w:t>Entity FFO</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68,429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97,132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4"/>
                <w:szCs w:val="14"/>
                <w:color w:val="auto"/>
              </w:rPr>
              <w:t xml:space="preserve">Noncontrolling interest in property partnerships (Partners’ NCI) </w:t>
            </w:r>
            <w:r>
              <w:rPr>
                <w:rFonts w:ascii="Arial" w:cs="Arial" w:eastAsia="Arial" w:hAnsi="Arial"/>
                <w:sz w:val="18"/>
                <w:szCs w:val="18"/>
                <w:color w:val="auto"/>
                <w:vertAlign w:val="superscript"/>
              </w:rPr>
              <w:t>4</w:t>
            </w:r>
          </w:p>
        </w:tc>
        <w:tc>
          <w:tcPr>
            <w:tcW w:w="280" w:type="dxa"/>
            <w:vAlign w:val="bottom"/>
            <w:tcBorders>
              <w:bottom w:val="single" w:sz="8" w:color="auto"/>
            </w:tcBorders>
            <w:gridSpan w:val="2"/>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700" w:type="dxa"/>
            <w:vAlign w:val="bottom"/>
            <w:vMerge w:val="continue"/>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3,008</w:t>
            </w:r>
          </w:p>
        </w:tc>
        <w:tc>
          <w:tcPr>
            <w:tcW w:w="40" w:type="dxa"/>
            <w:vAlign w:val="bottom"/>
          </w:tcPr>
          <w:p>
            <w:pPr>
              <w:spacing w:after="0"/>
              <w:rPr>
                <w:sz w:val="24"/>
                <w:szCs w:val="2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14,845</w:t>
            </w:r>
          </w:p>
        </w:tc>
        <w:tc>
          <w:tcPr>
            <w:tcW w:w="40" w:type="dxa"/>
            <w:vAlign w:val="bottom"/>
          </w:tcPr>
          <w:p>
            <w:pPr>
              <w:spacing w:after="0"/>
              <w:rPr>
                <w:sz w:val="24"/>
                <w:szCs w:val="24"/>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17,853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4"/>
                <w:szCs w:val="14"/>
                <w:color w:val="auto"/>
              </w:rPr>
              <w:t>Partners’ share of depreciation and amortization expense after BXP’s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vMerge w:val="restart"/>
          </w:tcPr>
          <w:p>
            <w:pPr>
              <w:jc w:val="right"/>
              <w:spacing w:after="0"/>
              <w:rPr>
                <w:sz w:val="20"/>
                <w:szCs w:val="20"/>
                <w:color w:val="auto"/>
              </w:rPr>
            </w:pPr>
            <w:r>
              <w:rPr>
                <w:rFonts w:ascii="Arial" w:cs="Arial" w:eastAsia="Arial" w:hAnsi="Arial"/>
                <w:sz w:val="14"/>
                <w:szCs w:val="14"/>
                <w:color w:val="auto"/>
              </w:rPr>
              <w:t>7,720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14,895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22,615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700" w:type="dxa"/>
            <w:vAlign w:val="bottom"/>
          </w:tcPr>
          <w:p>
            <w:pPr>
              <w:ind w:left="180"/>
              <w:spacing w:after="0" w:line="201" w:lineRule="exact"/>
              <w:rPr>
                <w:sz w:val="20"/>
                <w:szCs w:val="20"/>
                <w:color w:val="auto"/>
              </w:rPr>
            </w:pPr>
            <w:r>
              <w:rPr>
                <w:rFonts w:ascii="Arial" w:cs="Arial" w:eastAsia="Arial" w:hAnsi="Arial"/>
                <w:sz w:val="14"/>
                <w:szCs w:val="14"/>
                <w:color w:val="auto"/>
              </w:rPr>
              <w:t xml:space="preserve">basis differential </w:t>
            </w:r>
            <w:r>
              <w:rPr>
                <w:rFonts w:ascii="Arial" w:cs="Arial" w:eastAsia="Arial" w:hAnsi="Arial"/>
                <w:sz w:val="18"/>
                <w:szCs w:val="18"/>
                <w:color w:val="auto"/>
                <w:vertAlign w:val="superscript"/>
              </w:rPr>
              <w:t>4</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line="196" w:lineRule="exact"/>
              <w:rPr>
                <w:sz w:val="20"/>
                <w:szCs w:val="20"/>
                <w:color w:val="auto"/>
              </w:rPr>
            </w:pPr>
            <w:r>
              <w:rPr>
                <w:rFonts w:ascii="Arial" w:cs="Arial" w:eastAsia="Arial" w:hAnsi="Arial"/>
                <w:sz w:val="14"/>
                <w:szCs w:val="14"/>
                <w:color w:val="auto"/>
              </w:rPr>
              <w:t xml:space="preserve">Partners’ share FFO </w:t>
            </w:r>
            <w:r>
              <w:rPr>
                <w:rFonts w:ascii="Arial" w:cs="Arial" w:eastAsia="Arial" w:hAnsi="Arial"/>
                <w:sz w:val="18"/>
                <w:szCs w:val="18"/>
                <w:color w:val="auto"/>
                <w:vertAlign w:val="superscript"/>
              </w:rPr>
              <w:t>4</w:t>
            </w: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10,728</w:t>
            </w:r>
          </w:p>
        </w:tc>
        <w:tc>
          <w:tcPr>
            <w:tcW w:w="40" w:type="dxa"/>
            <w:vAlign w:val="bottom"/>
          </w:tcPr>
          <w:p>
            <w:pPr>
              <w:spacing w:after="0"/>
              <w:rPr>
                <w:sz w:val="17"/>
                <w:szCs w:val="17"/>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29,740</w:t>
            </w:r>
          </w:p>
        </w:tc>
        <w:tc>
          <w:tcPr>
            <w:tcW w:w="4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40,468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FFO</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470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BXP’s share of net income adjusted for partners’ NCI</w:t>
            </w: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7,329</w:t>
            </w:r>
          </w:p>
        </w:tc>
        <w:tc>
          <w:tcPr>
            <w:tcW w:w="40" w:type="dxa"/>
            <w:vAlign w:val="bottom"/>
          </w:tcPr>
          <w:p>
            <w:pPr>
              <w:spacing w:after="0"/>
              <w:rPr>
                <w:sz w:val="16"/>
                <w:szCs w:val="16"/>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21,286</w:t>
            </w:r>
          </w:p>
        </w:tc>
        <w:tc>
          <w:tcPr>
            <w:tcW w:w="4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28,615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Depreciation and amortization expense - BXP’s basis difference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405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490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Arial" w:cs="Arial" w:eastAsia="Arial" w:hAnsi="Arial"/>
                <w:sz w:val="14"/>
                <w:szCs w:val="14"/>
                <w:color w:val="auto"/>
              </w:rPr>
              <w:t>BXP’s share of depreciation and amortization expense</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27,559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4"/>
                <w:szCs w:val="14"/>
                <w:color w:val="auto"/>
              </w:rPr>
              <w:t>BXP’s share of FFO</w:t>
            </w: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17,975</w:t>
            </w:r>
          </w:p>
        </w:tc>
        <w:tc>
          <w:tcPr>
            <w:tcW w:w="40" w:type="dxa"/>
            <w:vAlign w:val="bottom"/>
          </w:tcPr>
          <w:p>
            <w:pPr>
              <w:spacing w:after="0"/>
              <w:rPr>
                <w:sz w:val="17"/>
                <w:szCs w:val="17"/>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38,689</w:t>
            </w:r>
          </w:p>
        </w:tc>
        <w:tc>
          <w:tcPr>
            <w:tcW w:w="4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56,664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48" w:lineRule="exact"/>
        <w:rPr>
          <w:sz w:val="20"/>
          <w:szCs w:val="20"/>
          <w:color w:val="auto"/>
        </w:rPr>
      </w:pPr>
    </w:p>
    <w:p>
      <w:pPr>
        <w:ind w:left="80" w:right="380" w:hanging="72"/>
        <w:spacing w:after="0" w:line="238" w:lineRule="auto"/>
        <w:tabs>
          <w:tab w:leader="none" w:pos="77"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Norges Joint Ventures include 7 Times Square (formerly Times Square Tower), 601 Lexington Avenue/One Five Nine East 53rd Street, 100 Federal Street, Atlantic Wharf Office, 300 Binney Street, and 290 Binney Street. On August 27, 2025, the Company acquired its partner’s 45% ownership interest in 343 Madison Avenue.</w:t>
      </w:r>
    </w:p>
    <w:p>
      <w:pPr>
        <w:spacing w:after="0" w:line="13" w:lineRule="exact"/>
        <w:rPr>
          <w:sz w:val="20"/>
          <w:szCs w:val="20"/>
          <w:color w:val="auto"/>
        </w:rPr>
      </w:pPr>
    </w:p>
    <w:p>
      <w:pPr>
        <w:ind w:left="100" w:hanging="92"/>
        <w:spacing w:after="0"/>
        <w:tabs>
          <w:tab w:leader="none" w:pos="100" w:val="left"/>
        </w:tabs>
        <w:numPr>
          <w:ilvl w:val="0"/>
          <w:numId w:val="90"/>
        </w:numPr>
        <w:rPr>
          <w:rFonts w:ascii="Arial" w:cs="Arial" w:eastAsia="Arial" w:hAnsi="Arial"/>
          <w:sz w:val="9"/>
          <w:szCs w:val="9"/>
          <w:color w:val="auto"/>
        </w:rPr>
      </w:pPr>
      <w:r>
        <w:rPr>
          <w:rFonts w:ascii="Arial" w:cs="Arial" w:eastAsia="Arial" w:hAnsi="Arial"/>
          <w:sz w:val="14"/>
          <w:szCs w:val="14"/>
          <w:color w:val="auto"/>
        </w:rPr>
        <w:t>Lease revenue includes recoveries from clients and service income from clients.</w:t>
      </w:r>
    </w:p>
    <w:p>
      <w:pPr>
        <w:spacing w:after="0" w:line="27" w:lineRule="exact"/>
        <w:rPr>
          <w:sz w:val="20"/>
          <w:szCs w:val="20"/>
          <w:color w:val="auto"/>
        </w:rPr>
      </w:pPr>
    </w:p>
    <w:p>
      <w:pPr>
        <w:ind w:left="80" w:hanging="72"/>
        <w:spacing w:after="0"/>
        <w:tabs>
          <w:tab w:leader="none" w:pos="8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6" w:lineRule="exact"/>
        <w:rPr>
          <w:sz w:val="20"/>
          <w:szCs w:val="20"/>
          <w:color w:val="auto"/>
        </w:rPr>
      </w:pPr>
    </w:p>
    <w:p>
      <w:pPr>
        <w:ind w:left="80" w:right="120" w:hanging="72"/>
        <w:spacing w:after="0" w:line="284" w:lineRule="auto"/>
        <w:tabs>
          <w:tab w:leader="none" w:pos="91" w:val="left"/>
        </w:tabs>
        <w:numPr>
          <w:ilvl w:val="0"/>
          <w:numId w:val="92"/>
        </w:numPr>
        <w:rPr>
          <w:rFonts w:ascii="Arial" w:cs="Arial" w:eastAsia="Arial" w:hAnsi="Arial"/>
          <w:sz w:val="9"/>
          <w:szCs w:val="9"/>
          <w:color w:val="auto"/>
        </w:rPr>
      </w:pPr>
      <w:r>
        <w:rPr>
          <w:rFonts w:ascii="Arial" w:cs="Arial" w:eastAsia="Arial" w:hAnsi="Arial"/>
          <w:sz w:val="14"/>
          <w:szCs w:val="14"/>
          <w:color w:val="auto"/>
        </w:rPr>
        <w:t>Amounts represent the partners’ share based on their respective ownership percentages and are adjusted for basis differentials and the allocations of management and other fees and depreciation and amortization related to capitalized fees.</w:t>
      </w:r>
    </w:p>
    <w:p>
      <w:pPr>
        <w:sectPr>
          <w:pgSz w:w="11900" w:h="16838" w:orient="portrait"/>
          <w:cols w:equalWidth="0" w:num="1">
            <w:col w:w="11240"/>
          </w:cols>
          <w:pgMar w:left="320" w:top="265" w:right="339" w:bottom="1440" w:gutter="0" w:footer="0" w:header="0"/>
        </w:sectPr>
      </w:pPr>
    </w:p>
    <w:p>
      <w:pPr>
        <w:spacing w:after="0" w:line="26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265" w:right="339" w:bottom="1440" w:gutter="0" w:footer="0" w:header="0"/>
          <w:type w:val="continuous"/>
        </w:sectPr>
      </w:pPr>
    </w:p>
    <w:bookmarkStart w:id="42" w:name="page43"/>
    <w:bookmarkEnd w:id="42"/>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Unconsolidated joint ventures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dollars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BXP’s Nominal</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3"/>
                <w:szCs w:val="13"/>
                <w:b w:val="1"/>
                <w:bCs w:val="1"/>
                <w:color w:val="auto"/>
              </w:rPr>
              <w:t>Mortgage/Construction</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00"/>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Property</w:t>
            </w:r>
          </w:p>
        </w:tc>
        <w:tc>
          <w:tcPr>
            <w:tcW w:w="16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Ownership</w:t>
            </w: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Net Equity</w:t>
            </w:r>
          </w:p>
        </w:tc>
        <w:tc>
          <w:tcPr>
            <w:tcW w:w="1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3"/>
                <w:szCs w:val="13"/>
                <w:b w:val="1"/>
                <w:bCs w:val="1"/>
                <w:color w:val="auto"/>
              </w:rPr>
              <w:t>Loans Payable, Net</w:t>
            </w:r>
          </w:p>
        </w:tc>
        <w:tc>
          <w:tcPr>
            <w:tcW w:w="20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Arial" w:cs="Arial" w:eastAsia="Arial" w:hAnsi="Arial"/>
                <w:sz w:val="13"/>
                <w:szCs w:val="13"/>
                <w:b w:val="1"/>
                <w:bCs w:val="1"/>
                <w:color w:val="auto"/>
              </w:rPr>
              <w:t>Maturity Date</w:t>
            </w:r>
          </w:p>
        </w:tc>
        <w:tc>
          <w:tcPr>
            <w:tcW w:w="1080" w:type="dxa"/>
            <w:vAlign w:val="bottom"/>
            <w:gridSpan w:val="2"/>
          </w:tcPr>
          <w:p>
            <w:pPr>
              <w:ind w:left="240"/>
              <w:spacing w:after="0"/>
              <w:rPr>
                <w:sz w:val="20"/>
                <w:szCs w:val="20"/>
                <w:color w:val="auto"/>
              </w:rPr>
            </w:pPr>
            <w:r>
              <w:rPr>
                <w:rFonts w:ascii="Arial" w:cs="Arial" w:eastAsia="Arial" w:hAnsi="Arial"/>
                <w:sz w:val="13"/>
                <w:szCs w:val="13"/>
                <w:b w:val="1"/>
                <w:bCs w:val="1"/>
                <w:color w:val="auto"/>
              </w:rPr>
              <w:t>Stated</w:t>
            </w:r>
          </w:p>
        </w:tc>
        <w:tc>
          <w:tcPr>
            <w:tcW w:w="900" w:type="dxa"/>
            <w:vAlign w:val="bottom"/>
          </w:tcPr>
          <w:p>
            <w:pPr>
              <w:jc w:val="right"/>
              <w:ind w:right="128"/>
              <w:spacing w:after="0"/>
              <w:rPr>
                <w:sz w:val="20"/>
                <w:szCs w:val="20"/>
                <w:color w:val="auto"/>
              </w:rPr>
            </w:pPr>
            <w:r>
              <w:rPr>
                <w:rFonts w:ascii="Arial" w:cs="Arial" w:eastAsia="Arial" w:hAnsi="Arial"/>
                <w:sz w:val="13"/>
                <w:szCs w:val="13"/>
                <w:b w:val="1"/>
                <w:bCs w:val="1"/>
                <w:color w:val="auto"/>
              </w:rPr>
              <w:t xml:space="preserve">GAAP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94"/>
        </w:trPr>
        <w:tc>
          <w:tcPr>
            <w:tcW w:w="29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Boston</w:t>
            </w:r>
          </w:p>
        </w:tc>
        <w:tc>
          <w:tcPr>
            <w:tcW w:w="16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20" w:type="dxa"/>
            <w:vAlign w:val="bottom"/>
          </w:tcPr>
          <w:p>
            <w:pPr>
              <w:ind w:left="240"/>
              <w:spacing w:after="0"/>
              <w:rPr>
                <w:sz w:val="20"/>
                <w:szCs w:val="20"/>
                <w:color w:val="auto"/>
              </w:rPr>
            </w:pPr>
            <w:r>
              <w:rPr>
                <w:rFonts w:ascii="Arial" w:cs="Arial" w:eastAsia="Arial" w:hAnsi="Arial"/>
                <w:sz w:val="14"/>
                <w:szCs w:val="14"/>
                <w:color w:val="auto"/>
              </w:rPr>
              <w:t>The Hub on Causeway - Podium</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55,231</w:t>
            </w:r>
          </w:p>
        </w:tc>
        <w:tc>
          <w:tcPr>
            <w:tcW w:w="2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61,793</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April 9, 2031</w:t>
            </w:r>
          </w:p>
        </w:tc>
        <w:tc>
          <w:tcPr>
            <w:tcW w:w="880" w:type="dxa"/>
            <w:vAlign w:val="bottom"/>
          </w:tcPr>
          <w:p>
            <w:pPr>
              <w:jc w:val="right"/>
              <w:spacing w:after="0"/>
              <w:rPr>
                <w:sz w:val="20"/>
                <w:szCs w:val="20"/>
                <w:color w:val="auto"/>
              </w:rPr>
            </w:pPr>
            <w:r>
              <w:rPr>
                <w:rFonts w:ascii="Arial" w:cs="Arial" w:eastAsia="Arial" w:hAnsi="Arial"/>
                <w:sz w:val="14"/>
                <w:szCs w:val="14"/>
                <w:color w:val="auto"/>
              </w:rPr>
              <w:t>5.73 %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5.94 %</w:t>
            </w:r>
          </w:p>
        </w:tc>
        <w:tc>
          <w:tcPr>
            <w:tcW w:w="0" w:type="dxa"/>
            <w:vAlign w:val="bottom"/>
          </w:tcPr>
          <w:p>
            <w:pPr>
              <w:spacing w:after="0"/>
              <w:rPr>
                <w:sz w:val="1"/>
                <w:szCs w:val="1"/>
                <w:color w:val="auto"/>
              </w:rPr>
            </w:pPr>
          </w:p>
        </w:tc>
      </w:tr>
      <w:tr>
        <w:trPr>
          <w:trHeight w:val="203"/>
        </w:trPr>
        <w:tc>
          <w:tcPr>
            <w:tcW w:w="2920" w:type="dxa"/>
            <w:vAlign w:val="bottom"/>
          </w:tcPr>
          <w:p>
            <w:pPr>
              <w:ind w:left="240"/>
              <w:spacing w:after="0"/>
              <w:rPr>
                <w:sz w:val="20"/>
                <w:szCs w:val="20"/>
                <w:color w:val="auto"/>
              </w:rPr>
            </w:pPr>
            <w:r>
              <w:rPr>
                <w:rFonts w:ascii="Arial" w:cs="Arial" w:eastAsia="Arial" w:hAnsi="Arial"/>
                <w:sz w:val="14"/>
                <w:szCs w:val="14"/>
                <w:color w:val="auto"/>
              </w:rPr>
              <w:t>100 Causeway Street</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168,076</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April 9, 2031</w:t>
            </w:r>
          </w:p>
        </w:tc>
        <w:tc>
          <w:tcPr>
            <w:tcW w:w="880" w:type="dxa"/>
            <w:vAlign w:val="bottom"/>
          </w:tcPr>
          <w:p>
            <w:pPr>
              <w:jc w:val="right"/>
              <w:spacing w:after="0"/>
              <w:rPr>
                <w:sz w:val="20"/>
                <w:szCs w:val="20"/>
                <w:color w:val="auto"/>
              </w:rPr>
            </w:pPr>
            <w:r>
              <w:rPr>
                <w:rFonts w:ascii="Arial" w:cs="Arial" w:eastAsia="Arial" w:hAnsi="Arial"/>
                <w:sz w:val="14"/>
                <w:szCs w:val="14"/>
                <w:color w:val="auto"/>
              </w:rPr>
              <w:t>5.73 %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5.94 %</w:t>
            </w:r>
          </w:p>
        </w:tc>
        <w:tc>
          <w:tcPr>
            <w:tcW w:w="0" w:type="dxa"/>
            <w:vAlign w:val="bottom"/>
          </w:tcPr>
          <w:p>
            <w:pPr>
              <w:spacing w:after="0"/>
              <w:rPr>
                <w:sz w:val="1"/>
                <w:szCs w:val="1"/>
                <w:color w:val="auto"/>
              </w:rPr>
            </w:pPr>
          </w:p>
        </w:tc>
      </w:tr>
      <w:tr>
        <w:trPr>
          <w:trHeight w:val="203"/>
        </w:trPr>
        <w:tc>
          <w:tcPr>
            <w:tcW w:w="2920" w:type="dxa"/>
            <w:vAlign w:val="bottom"/>
          </w:tcPr>
          <w:p>
            <w:pPr>
              <w:ind w:left="240"/>
              <w:spacing w:after="0"/>
              <w:rPr>
                <w:sz w:val="20"/>
                <w:szCs w:val="20"/>
                <w:color w:val="auto"/>
              </w:rPr>
            </w:pPr>
            <w:r>
              <w:rPr>
                <w:rFonts w:ascii="Arial" w:cs="Arial" w:eastAsia="Arial" w:hAnsi="Arial"/>
                <w:sz w:val="14"/>
                <w:szCs w:val="14"/>
                <w:color w:val="auto"/>
              </w:rPr>
              <w:t>Hub50House</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92,042</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June 17, 2032</w:t>
            </w:r>
          </w:p>
        </w:tc>
        <w:tc>
          <w:tcPr>
            <w:tcW w:w="880" w:type="dxa"/>
            <w:vAlign w:val="bottom"/>
          </w:tcPr>
          <w:p>
            <w:pPr>
              <w:jc w:val="right"/>
              <w:spacing w:after="0"/>
              <w:rPr>
                <w:sz w:val="20"/>
                <w:szCs w:val="20"/>
                <w:color w:val="auto"/>
              </w:rPr>
            </w:pPr>
            <w:r>
              <w:rPr>
                <w:rFonts w:ascii="Arial" w:cs="Arial" w:eastAsia="Arial" w:hAnsi="Arial"/>
                <w:sz w:val="14"/>
                <w:szCs w:val="14"/>
                <w:color w:val="auto"/>
              </w:rPr>
              <w:t>4.43 %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4.51 %</w:t>
            </w: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4"/>
                <w:szCs w:val="14"/>
                <w:color w:val="auto"/>
              </w:rPr>
              <w:t>Hotel Air Rights</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7"/>
        </w:trPr>
        <w:tc>
          <w:tcPr>
            <w:tcW w:w="2920" w:type="dxa"/>
            <w:vAlign w:val="bottom"/>
          </w:tcPr>
          <w:p>
            <w:pPr>
              <w:ind w:left="240"/>
              <w:spacing w:after="0"/>
              <w:rPr>
                <w:sz w:val="20"/>
                <w:szCs w:val="20"/>
                <w:color w:val="auto"/>
              </w:rPr>
            </w:pPr>
            <w:r>
              <w:rPr>
                <w:rFonts w:ascii="Arial" w:cs="Arial" w:eastAsia="Arial" w:hAnsi="Arial"/>
                <w:sz w:val="14"/>
                <w:szCs w:val="14"/>
                <w:color w:val="auto"/>
              </w:rPr>
              <w:t>1265 Main Street</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16,391</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January 1, 2032</w:t>
            </w:r>
          </w:p>
        </w:tc>
        <w:tc>
          <w:tcPr>
            <w:tcW w:w="880" w:type="dxa"/>
            <w:vAlign w:val="bottom"/>
          </w:tcPr>
          <w:p>
            <w:pPr>
              <w:jc w:val="right"/>
              <w:spacing w:after="0"/>
              <w:rPr>
                <w:sz w:val="20"/>
                <w:szCs w:val="20"/>
                <w:color w:val="auto"/>
              </w:rPr>
            </w:pPr>
            <w:r>
              <w:rPr>
                <w:rFonts w:ascii="Arial" w:cs="Arial" w:eastAsia="Arial" w:hAnsi="Arial"/>
                <w:sz w:val="14"/>
                <w:szCs w:val="14"/>
                <w:color w:val="auto"/>
              </w:rPr>
              <w:t>3.77 %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3.84 %</w:t>
            </w:r>
          </w:p>
        </w:tc>
        <w:tc>
          <w:tcPr>
            <w:tcW w:w="0" w:type="dxa"/>
            <w:vAlign w:val="bottom"/>
          </w:tcPr>
          <w:p>
            <w:pPr>
              <w:spacing w:after="0"/>
              <w:rPr>
                <w:sz w:val="1"/>
                <w:szCs w:val="1"/>
                <w:color w:val="auto"/>
              </w:rPr>
            </w:pPr>
          </w:p>
        </w:tc>
      </w:tr>
      <w:tr>
        <w:trPr>
          <w:trHeight w:val="217"/>
        </w:trPr>
        <w:tc>
          <w:tcPr>
            <w:tcW w:w="2920" w:type="dxa"/>
            <w:vAlign w:val="bottom"/>
          </w:tcPr>
          <w:p>
            <w:pPr>
              <w:ind w:left="240"/>
              <w:spacing w:after="0"/>
              <w:rPr>
                <w:sz w:val="20"/>
                <w:szCs w:val="20"/>
                <w:color w:val="auto"/>
              </w:rPr>
            </w:pPr>
            <w:r>
              <w:rPr>
                <w:rFonts w:ascii="Arial" w:cs="Arial" w:eastAsia="Arial" w:hAnsi="Arial"/>
                <w:sz w:val="14"/>
                <w:szCs w:val="14"/>
                <w:color w:val="auto"/>
              </w:rPr>
              <w:t xml:space="preserve">17 Hartwell Avenue </w:t>
            </w:r>
            <w:r>
              <w:rPr>
                <w:rFonts w:ascii="Arial" w:cs="Arial" w:eastAsia="Arial" w:hAnsi="Arial"/>
                <w:sz w:val="18"/>
                <w:szCs w:val="18"/>
                <w:color w:val="auto"/>
                <w:vertAlign w:val="superscript"/>
              </w:rPr>
              <w:t>3</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20.00 %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July 10, 2030</w:t>
            </w:r>
          </w:p>
        </w:tc>
        <w:tc>
          <w:tcPr>
            <w:tcW w:w="1080" w:type="dxa"/>
            <w:vAlign w:val="bottom"/>
            <w:gridSpan w:val="2"/>
          </w:tcPr>
          <w:p>
            <w:pPr>
              <w:ind w:left="620"/>
              <w:spacing w:after="0"/>
              <w:rPr>
                <w:sz w:val="20"/>
                <w:szCs w:val="20"/>
                <w:color w:val="auto"/>
              </w:rPr>
            </w:pPr>
            <w:r>
              <w:rPr>
                <w:rFonts w:ascii="Arial" w:cs="Arial" w:eastAsia="Arial" w:hAnsi="Arial"/>
                <w:sz w:val="14"/>
                <w:szCs w:val="14"/>
                <w:color w:val="auto"/>
              </w:rPr>
              <w:t>N/A</w:t>
            </w:r>
          </w:p>
        </w:tc>
        <w:tc>
          <w:tcPr>
            <w:tcW w:w="9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Los Angeles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20" w:type="dxa"/>
            <w:vAlign w:val="bottom"/>
          </w:tcPr>
          <w:p>
            <w:pPr>
              <w:ind w:left="240"/>
              <w:spacing w:after="0"/>
              <w:rPr>
                <w:sz w:val="20"/>
                <w:szCs w:val="20"/>
                <w:color w:val="auto"/>
              </w:rPr>
            </w:pPr>
            <w:r>
              <w:rPr>
                <w:rFonts w:ascii="Arial" w:cs="Arial" w:eastAsia="Arial" w:hAnsi="Arial"/>
                <w:sz w:val="14"/>
                <w:szCs w:val="14"/>
                <w:color w:val="auto"/>
              </w:rPr>
              <w:t>Colorado Center</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69,015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274,835</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August 9, 2027</w:t>
            </w:r>
          </w:p>
        </w:tc>
        <w:tc>
          <w:tcPr>
            <w:tcW w:w="880" w:type="dxa"/>
            <w:vAlign w:val="bottom"/>
          </w:tcPr>
          <w:p>
            <w:pPr>
              <w:jc w:val="right"/>
              <w:spacing w:after="0"/>
              <w:rPr>
                <w:sz w:val="20"/>
                <w:szCs w:val="20"/>
                <w:color w:val="auto"/>
              </w:rPr>
            </w:pPr>
            <w:r>
              <w:rPr>
                <w:rFonts w:ascii="Arial" w:cs="Arial" w:eastAsia="Arial" w:hAnsi="Arial"/>
                <w:sz w:val="14"/>
                <w:szCs w:val="14"/>
                <w:color w:val="auto"/>
              </w:rPr>
              <w:t>3.56 %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3.59 %</w:t>
            </w:r>
          </w:p>
        </w:tc>
        <w:tc>
          <w:tcPr>
            <w:tcW w:w="0" w:type="dxa"/>
            <w:vAlign w:val="bottom"/>
          </w:tcPr>
          <w:p>
            <w:pPr>
              <w:spacing w:after="0"/>
              <w:rPr>
                <w:sz w:val="1"/>
                <w:szCs w:val="1"/>
                <w:color w:val="auto"/>
              </w:rPr>
            </w:pPr>
          </w:p>
        </w:tc>
      </w:tr>
      <w:tr>
        <w:trPr>
          <w:trHeight w:val="217"/>
        </w:trPr>
        <w:tc>
          <w:tcPr>
            <w:tcW w:w="2920" w:type="dxa"/>
            <w:vAlign w:val="bottom"/>
          </w:tcPr>
          <w:p>
            <w:pPr>
              <w:ind w:left="240"/>
              <w:spacing w:after="0"/>
              <w:rPr>
                <w:sz w:val="20"/>
                <w:szCs w:val="20"/>
                <w:color w:val="auto"/>
              </w:rPr>
            </w:pPr>
            <w:r>
              <w:rPr>
                <w:rFonts w:ascii="Arial" w:cs="Arial" w:eastAsia="Arial" w:hAnsi="Arial"/>
                <w:sz w:val="14"/>
                <w:szCs w:val="14"/>
                <w:color w:val="auto"/>
              </w:rPr>
              <w:t xml:space="preserve">Beach Cities Media Campus </w:t>
            </w:r>
            <w:r>
              <w:rPr>
                <w:rFonts w:ascii="Arial" w:cs="Arial" w:eastAsia="Arial" w:hAnsi="Arial"/>
                <w:sz w:val="18"/>
                <w:szCs w:val="18"/>
                <w:color w:val="auto"/>
                <w:vertAlign w:val="superscript"/>
              </w:rPr>
              <w:t>4</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New York</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20" w:type="dxa"/>
            <w:vAlign w:val="bottom"/>
          </w:tcPr>
          <w:p>
            <w:pPr>
              <w:ind w:left="240"/>
              <w:spacing w:after="0"/>
              <w:rPr>
                <w:sz w:val="20"/>
                <w:szCs w:val="20"/>
                <w:color w:val="auto"/>
              </w:rPr>
            </w:pPr>
            <w:r>
              <w:rPr>
                <w:rFonts w:ascii="Arial" w:cs="Arial" w:eastAsia="Arial" w:hAnsi="Arial"/>
                <w:sz w:val="14"/>
                <w:szCs w:val="14"/>
                <w:color w:val="auto"/>
              </w:rPr>
              <w:t>360 Park Avenue South</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71.11 %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93,988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155,479</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December 13, 2027</w:t>
            </w:r>
          </w:p>
        </w:tc>
        <w:tc>
          <w:tcPr>
            <w:tcW w:w="880" w:type="dxa"/>
            <w:vAlign w:val="bottom"/>
          </w:tcPr>
          <w:p>
            <w:pPr>
              <w:jc w:val="right"/>
              <w:spacing w:after="0"/>
              <w:rPr>
                <w:sz w:val="20"/>
                <w:szCs w:val="20"/>
                <w:color w:val="auto"/>
              </w:rPr>
            </w:pPr>
            <w:r>
              <w:rPr>
                <w:rFonts w:ascii="Arial" w:cs="Arial" w:eastAsia="Arial" w:hAnsi="Arial"/>
                <w:sz w:val="14"/>
                <w:szCs w:val="14"/>
                <w:color w:val="auto"/>
              </w:rPr>
              <w:t>6.65 %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6.96 %</w:t>
            </w: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rPr>
                <w:sz w:val="20"/>
                <w:szCs w:val="20"/>
                <w:color w:val="auto"/>
              </w:rPr>
            </w:pPr>
            <w:r>
              <w:rPr>
                <w:rFonts w:ascii="Arial" w:cs="Arial" w:eastAsia="Arial" w:hAnsi="Arial"/>
                <w:sz w:val="14"/>
                <w:szCs w:val="14"/>
                <w:color w:val="auto"/>
              </w:rPr>
              <w:t xml:space="preserve">Dock 72 </w:t>
            </w:r>
            <w:r>
              <w:rPr>
                <w:rFonts w:ascii="Arial" w:cs="Arial" w:eastAsia="Arial" w:hAnsi="Arial"/>
                <w:sz w:val="18"/>
                <w:szCs w:val="18"/>
                <w:color w:val="auto"/>
                <w:vertAlign w:val="superscript"/>
              </w:rPr>
              <w:t>5</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99,135</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December 18, 2025</w:t>
            </w:r>
          </w:p>
        </w:tc>
        <w:tc>
          <w:tcPr>
            <w:tcW w:w="880" w:type="dxa"/>
            <w:vAlign w:val="bottom"/>
          </w:tcPr>
          <w:p>
            <w:pPr>
              <w:jc w:val="right"/>
              <w:spacing w:after="0"/>
              <w:rPr>
                <w:sz w:val="20"/>
                <w:szCs w:val="20"/>
                <w:color w:val="auto"/>
              </w:rPr>
            </w:pPr>
            <w:r>
              <w:rPr>
                <w:rFonts w:ascii="Arial" w:cs="Arial" w:eastAsia="Arial" w:hAnsi="Arial"/>
                <w:sz w:val="14"/>
                <w:szCs w:val="14"/>
                <w:color w:val="auto"/>
              </w:rPr>
              <w:t>5.91 %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6.19 %</w:t>
            </w:r>
          </w:p>
        </w:tc>
        <w:tc>
          <w:tcPr>
            <w:tcW w:w="0" w:type="dxa"/>
            <w:vAlign w:val="bottom"/>
          </w:tcPr>
          <w:p>
            <w:pPr>
              <w:spacing w:after="0"/>
              <w:rPr>
                <w:sz w:val="1"/>
                <w:szCs w:val="1"/>
                <w:color w:val="auto"/>
              </w:rPr>
            </w:pPr>
          </w:p>
        </w:tc>
      </w:tr>
      <w:tr>
        <w:trPr>
          <w:trHeight w:val="190"/>
        </w:trPr>
        <w:tc>
          <w:tcPr>
            <w:tcW w:w="2920" w:type="dxa"/>
            <w:vAlign w:val="bottom"/>
          </w:tcPr>
          <w:p>
            <w:pPr>
              <w:ind w:left="240"/>
              <w:spacing w:after="0"/>
              <w:rPr>
                <w:sz w:val="20"/>
                <w:szCs w:val="20"/>
                <w:color w:val="auto"/>
              </w:rPr>
            </w:pPr>
            <w:r>
              <w:rPr>
                <w:rFonts w:ascii="Arial" w:cs="Arial" w:eastAsia="Arial" w:hAnsi="Arial"/>
                <w:sz w:val="14"/>
                <w:szCs w:val="14"/>
                <w:color w:val="auto"/>
              </w:rPr>
              <w:t>200 Fifth Avenue</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26.69 %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75,376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154,183</w:t>
            </w:r>
          </w:p>
        </w:tc>
        <w:tc>
          <w:tcPr>
            <w:tcW w:w="20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November 24, 2028</w:t>
            </w:r>
          </w:p>
        </w:tc>
        <w:tc>
          <w:tcPr>
            <w:tcW w:w="880" w:type="dxa"/>
            <w:vAlign w:val="bottom"/>
          </w:tcPr>
          <w:p>
            <w:pPr>
              <w:jc w:val="right"/>
              <w:spacing w:after="0"/>
              <w:rPr>
                <w:sz w:val="20"/>
                <w:szCs w:val="20"/>
                <w:color w:val="auto"/>
              </w:rPr>
            </w:pPr>
            <w:r>
              <w:rPr>
                <w:rFonts w:ascii="Arial" w:cs="Arial" w:eastAsia="Arial" w:hAnsi="Arial"/>
                <w:sz w:val="14"/>
                <w:szCs w:val="14"/>
                <w:color w:val="auto"/>
              </w:rPr>
              <w:t>4.34 %</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5.60 %</w:t>
            </w:r>
          </w:p>
        </w:tc>
        <w:tc>
          <w:tcPr>
            <w:tcW w:w="0" w:type="dxa"/>
            <w:vAlign w:val="bottom"/>
          </w:tcPr>
          <w:p>
            <w:pPr>
              <w:spacing w:after="0"/>
              <w:rPr>
                <w:sz w:val="1"/>
                <w:szCs w:val="1"/>
                <w:color w:val="auto"/>
              </w:rPr>
            </w:pPr>
          </w:p>
        </w:tc>
      </w:tr>
      <w:tr>
        <w:trPr>
          <w:trHeight w:val="212"/>
        </w:trPr>
        <w:tc>
          <w:tcPr>
            <w:tcW w:w="2920" w:type="dxa"/>
            <w:vAlign w:val="bottom"/>
          </w:tcPr>
          <w:p>
            <w:pPr>
              <w:ind w:left="240"/>
              <w:spacing w:after="0"/>
              <w:rPr>
                <w:sz w:val="20"/>
                <w:szCs w:val="20"/>
                <w:color w:val="auto"/>
              </w:rPr>
            </w:pPr>
            <w:r>
              <w:rPr>
                <w:rFonts w:ascii="Arial" w:cs="Arial" w:eastAsia="Arial" w:hAnsi="Arial"/>
                <w:sz w:val="14"/>
                <w:szCs w:val="14"/>
                <w:color w:val="auto"/>
              </w:rPr>
              <w:t xml:space="preserve">3 Hudson Boulevard </w:t>
            </w:r>
            <w:r>
              <w:rPr>
                <w:rFonts w:ascii="Arial" w:cs="Arial" w:eastAsia="Arial" w:hAnsi="Arial"/>
                <w:sz w:val="18"/>
                <w:szCs w:val="18"/>
                <w:color w:val="auto"/>
                <w:vertAlign w:val="superscript"/>
              </w:rPr>
              <w:t>6</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25.00 %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110,581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August 7, 2024</w:t>
            </w:r>
          </w:p>
        </w:tc>
        <w:tc>
          <w:tcPr>
            <w:tcW w:w="880" w:type="dxa"/>
            <w:vAlign w:val="bottom"/>
          </w:tcPr>
          <w:p>
            <w:pPr>
              <w:jc w:val="right"/>
              <w:spacing w:after="0"/>
              <w:rPr>
                <w:sz w:val="20"/>
                <w:szCs w:val="20"/>
                <w:color w:val="auto"/>
              </w:rPr>
            </w:pPr>
            <w:r>
              <w:rPr>
                <w:rFonts w:ascii="Arial" w:cs="Arial" w:eastAsia="Arial" w:hAnsi="Arial"/>
                <w:sz w:val="14"/>
                <w:szCs w:val="14"/>
                <w:color w:val="auto"/>
              </w:rPr>
              <w:t>11.86 %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11.86 %</w:t>
            </w:r>
          </w:p>
        </w:tc>
        <w:tc>
          <w:tcPr>
            <w:tcW w:w="0" w:type="dxa"/>
            <w:vAlign w:val="bottom"/>
          </w:tcPr>
          <w:p>
            <w:pPr>
              <w:spacing w:after="0"/>
              <w:rPr>
                <w:sz w:val="1"/>
                <w:szCs w:val="1"/>
                <w:color w:val="auto"/>
              </w:rPr>
            </w:pPr>
          </w:p>
        </w:tc>
      </w:tr>
      <w:tr>
        <w:trPr>
          <w:trHeight w:val="203"/>
        </w:trPr>
        <w:tc>
          <w:tcPr>
            <w:tcW w:w="2920" w:type="dxa"/>
            <w:vAlign w:val="bottom"/>
          </w:tcPr>
          <w:p>
            <w:pPr>
              <w:ind w:left="240"/>
              <w:spacing w:after="0" w:line="202" w:lineRule="exact"/>
              <w:rPr>
                <w:sz w:val="20"/>
                <w:szCs w:val="20"/>
                <w:color w:val="auto"/>
              </w:rPr>
            </w:pPr>
            <w:r>
              <w:rPr>
                <w:rFonts w:ascii="Arial" w:cs="Arial" w:eastAsia="Arial" w:hAnsi="Arial"/>
                <w:sz w:val="14"/>
                <w:szCs w:val="14"/>
                <w:color w:val="auto"/>
              </w:rPr>
              <w:t xml:space="preserve">290 Coles Street - Common Equity </w:t>
            </w:r>
            <w:r>
              <w:rPr>
                <w:rFonts w:ascii="Arial" w:cs="Arial" w:eastAsia="Arial" w:hAnsi="Arial"/>
                <w:sz w:val="18"/>
                <w:szCs w:val="18"/>
                <w:color w:val="auto"/>
                <w:vertAlign w:val="superscript"/>
              </w:rPr>
              <w:t>7</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19.46 %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March 5, 2029</w:t>
            </w:r>
          </w:p>
        </w:tc>
        <w:tc>
          <w:tcPr>
            <w:tcW w:w="1080" w:type="dxa"/>
            <w:vAlign w:val="bottom"/>
            <w:gridSpan w:val="2"/>
          </w:tcPr>
          <w:p>
            <w:pPr>
              <w:ind w:left="620"/>
              <w:spacing w:after="0"/>
              <w:rPr>
                <w:sz w:val="20"/>
                <w:szCs w:val="20"/>
                <w:color w:val="auto"/>
              </w:rPr>
            </w:pPr>
            <w:r>
              <w:rPr>
                <w:rFonts w:ascii="Arial" w:cs="Arial" w:eastAsia="Arial" w:hAnsi="Arial"/>
                <w:sz w:val="14"/>
                <w:szCs w:val="14"/>
                <w:color w:val="auto"/>
              </w:rPr>
              <w:t>N/A</w:t>
            </w:r>
          </w:p>
        </w:tc>
        <w:tc>
          <w:tcPr>
            <w:tcW w:w="9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2920" w:type="dxa"/>
            <w:vAlign w:val="bottom"/>
          </w:tcPr>
          <w:p>
            <w:pPr>
              <w:ind w:left="240"/>
              <w:spacing w:after="0"/>
              <w:rPr>
                <w:sz w:val="20"/>
                <w:szCs w:val="20"/>
                <w:color w:val="auto"/>
              </w:rPr>
            </w:pPr>
            <w:r>
              <w:rPr>
                <w:rFonts w:ascii="Arial" w:cs="Arial" w:eastAsia="Arial" w:hAnsi="Arial"/>
                <w:sz w:val="14"/>
                <w:szCs w:val="14"/>
                <w:color w:val="auto"/>
              </w:rPr>
              <w:t xml:space="preserve">290 Coles Street - Preferred Equity </w:t>
            </w:r>
            <w:r>
              <w:rPr>
                <w:rFonts w:ascii="Arial" w:cs="Arial" w:eastAsia="Arial" w:hAnsi="Arial"/>
                <w:sz w:val="18"/>
                <w:szCs w:val="18"/>
                <w:color w:val="auto"/>
                <w:vertAlign w:val="superscript"/>
              </w:rPr>
              <w:t>8</w:t>
            </w:r>
          </w:p>
        </w:tc>
        <w:tc>
          <w:tcPr>
            <w:tcW w:w="16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San Francisco</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240"/>
              <w:spacing w:after="0"/>
              <w:rPr>
                <w:sz w:val="20"/>
                <w:szCs w:val="20"/>
                <w:color w:val="auto"/>
              </w:rPr>
            </w:pPr>
            <w:r>
              <w:rPr>
                <w:rFonts w:ascii="Arial" w:cs="Arial" w:eastAsia="Arial" w:hAnsi="Arial"/>
                <w:sz w:val="14"/>
                <w:szCs w:val="14"/>
                <w:color w:val="auto"/>
              </w:rPr>
              <w:t>Platform 16</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55.00 %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58,076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rPr>
                <w:sz w:val="20"/>
                <w:szCs w:val="20"/>
                <w:color w:val="auto"/>
              </w:rPr>
            </w:pPr>
            <w:r>
              <w:rPr>
                <w:rFonts w:ascii="Arial" w:cs="Arial" w:eastAsia="Arial" w:hAnsi="Arial"/>
                <w:sz w:val="14"/>
                <w:szCs w:val="14"/>
                <w:color w:val="auto"/>
              </w:rPr>
              <w:t xml:space="preserve">Gateway Commons </w:t>
            </w:r>
            <w:r>
              <w:rPr>
                <w:rFonts w:ascii="Arial" w:cs="Arial" w:eastAsia="Arial" w:hAnsi="Arial"/>
                <w:sz w:val="18"/>
                <w:szCs w:val="18"/>
                <w:color w:val="auto"/>
                <w:vertAlign w:val="superscript"/>
              </w:rPr>
              <w:t>9</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0"/>
        </w:trPr>
        <w:tc>
          <w:tcPr>
            <w:tcW w:w="2920" w:type="dxa"/>
            <w:vAlign w:val="bottom"/>
          </w:tcPr>
          <w:p>
            <w:pPr>
              <w:ind w:left="240"/>
              <w:spacing w:after="0"/>
              <w:rPr>
                <w:sz w:val="20"/>
                <w:szCs w:val="20"/>
                <w:color w:val="auto"/>
              </w:rPr>
            </w:pPr>
            <w:r>
              <w:rPr>
                <w:rFonts w:ascii="Arial" w:cs="Arial" w:eastAsia="Arial" w:hAnsi="Arial"/>
                <w:sz w:val="14"/>
                <w:szCs w:val="14"/>
                <w:color w:val="auto"/>
              </w:rPr>
              <w:t>751 Gateway</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49.00 %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118,509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Seattle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240"/>
              <w:spacing w:after="0"/>
              <w:rPr>
                <w:sz w:val="20"/>
                <w:szCs w:val="20"/>
                <w:color w:val="auto"/>
              </w:rPr>
            </w:pPr>
            <w:r>
              <w:rPr>
                <w:rFonts w:ascii="Arial" w:cs="Arial" w:eastAsia="Arial" w:hAnsi="Arial"/>
                <w:sz w:val="14"/>
                <w:szCs w:val="14"/>
                <w:color w:val="auto"/>
              </w:rPr>
              <w:t>Safeco Plaza</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33.67 %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84,070</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September 1, 2026</w:t>
            </w:r>
          </w:p>
        </w:tc>
        <w:tc>
          <w:tcPr>
            <w:tcW w:w="880" w:type="dxa"/>
            <w:vAlign w:val="bottom"/>
          </w:tcPr>
          <w:p>
            <w:pPr>
              <w:jc w:val="right"/>
              <w:spacing w:after="0"/>
              <w:rPr>
                <w:sz w:val="20"/>
                <w:szCs w:val="20"/>
                <w:color w:val="auto"/>
              </w:rPr>
            </w:pPr>
            <w:r>
              <w:rPr>
                <w:rFonts w:ascii="Arial" w:cs="Arial" w:eastAsia="Arial" w:hAnsi="Arial"/>
                <w:sz w:val="14"/>
                <w:szCs w:val="14"/>
                <w:color w:val="auto"/>
              </w:rPr>
              <w:t>4.82 %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6.21 %</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Washington, DC</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920" w:type="dxa"/>
            <w:vAlign w:val="bottom"/>
          </w:tcPr>
          <w:p>
            <w:pPr>
              <w:ind w:left="240"/>
              <w:spacing w:after="0" w:line="151" w:lineRule="exact"/>
              <w:rPr>
                <w:sz w:val="20"/>
                <w:szCs w:val="20"/>
                <w:color w:val="auto"/>
              </w:rPr>
            </w:pPr>
            <w:r>
              <w:rPr>
                <w:rFonts w:ascii="Arial" w:cs="Arial" w:eastAsia="Arial" w:hAnsi="Arial"/>
                <w:sz w:val="14"/>
                <w:szCs w:val="14"/>
                <w:color w:val="auto"/>
              </w:rPr>
              <w:t>7750 Wisconsin Avenue (Marriott</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47,363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124,604</w:t>
            </w:r>
          </w:p>
        </w:tc>
        <w:tc>
          <w:tcPr>
            <w:tcW w:w="200" w:type="dxa"/>
            <w:vAlign w:val="bottom"/>
          </w:tcPr>
          <w:p>
            <w:pPr>
              <w:spacing w:after="0"/>
              <w:rPr>
                <w:sz w:val="13"/>
                <w:szCs w:val="13"/>
                <w:color w:val="auto"/>
              </w:rPr>
            </w:pP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February 27, 2035</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5.49 %</w:t>
            </w: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5.54 %</w:t>
            </w:r>
          </w:p>
        </w:tc>
        <w:tc>
          <w:tcPr>
            <w:tcW w:w="0" w:type="dxa"/>
            <w:vAlign w:val="bottom"/>
          </w:tcPr>
          <w:p>
            <w:pPr>
              <w:spacing w:after="0"/>
              <w:rPr>
                <w:sz w:val="1"/>
                <w:szCs w:val="1"/>
                <w:color w:val="auto"/>
              </w:rPr>
            </w:pPr>
          </w:p>
        </w:tc>
      </w:tr>
      <w:tr>
        <w:trPr>
          <w:trHeight w:val="190"/>
        </w:trPr>
        <w:tc>
          <w:tcPr>
            <w:tcW w:w="2920" w:type="dxa"/>
            <w:vAlign w:val="bottom"/>
          </w:tcPr>
          <w:p>
            <w:pPr>
              <w:ind w:left="400"/>
              <w:spacing w:after="0"/>
              <w:rPr>
                <w:sz w:val="20"/>
                <w:szCs w:val="20"/>
                <w:color w:val="auto"/>
              </w:rPr>
            </w:pPr>
            <w:r>
              <w:rPr>
                <w:rFonts w:ascii="Arial" w:cs="Arial" w:eastAsia="Arial" w:hAnsi="Arial"/>
                <w:sz w:val="14"/>
                <w:szCs w:val="14"/>
                <w:color w:val="auto"/>
              </w:rPr>
              <w:t>International Headquarters)</w:t>
            </w: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40"/>
              <w:spacing w:after="0"/>
              <w:rPr>
                <w:sz w:val="20"/>
                <w:szCs w:val="20"/>
                <w:color w:val="auto"/>
              </w:rPr>
            </w:pPr>
            <w:r>
              <w:rPr>
                <w:rFonts w:ascii="Arial" w:cs="Arial" w:eastAsia="Arial" w:hAnsi="Arial"/>
                <w:sz w:val="14"/>
                <w:szCs w:val="14"/>
                <w:color w:val="auto"/>
              </w:rPr>
              <w:t>1001 6th Street</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45,772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2920" w:type="dxa"/>
            <w:vAlign w:val="bottom"/>
          </w:tcPr>
          <w:p>
            <w:pPr>
              <w:ind w:left="240"/>
              <w:spacing w:after="0"/>
              <w:rPr>
                <w:sz w:val="20"/>
                <w:szCs w:val="20"/>
                <w:color w:val="auto"/>
              </w:rPr>
            </w:pPr>
            <w:r>
              <w:rPr>
                <w:rFonts w:ascii="Arial" w:cs="Arial" w:eastAsia="Arial" w:hAnsi="Arial"/>
                <w:sz w:val="14"/>
                <w:szCs w:val="14"/>
                <w:color w:val="auto"/>
              </w:rPr>
              <w:t>13100 &amp; 13150 Worldgate Drive</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2920" w:type="dxa"/>
            <w:vAlign w:val="bottom"/>
          </w:tcPr>
          <w:p>
            <w:pPr>
              <w:ind w:left="240"/>
              <w:spacing w:after="0"/>
              <w:rPr>
                <w:sz w:val="20"/>
                <w:szCs w:val="20"/>
                <w:color w:val="auto"/>
              </w:rPr>
            </w:pPr>
            <w:r>
              <w:rPr>
                <w:rFonts w:ascii="Arial" w:cs="Arial" w:eastAsia="Arial" w:hAnsi="Arial"/>
                <w:sz w:val="14"/>
                <w:szCs w:val="14"/>
                <w:color w:val="auto"/>
              </w:rPr>
              <w:t>Market Square North</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(23,691)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62,487</w:t>
            </w:r>
          </w:p>
        </w:tc>
        <w:tc>
          <w:tcPr>
            <w:tcW w:w="20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November 10, 2025</w:t>
            </w:r>
          </w:p>
        </w:tc>
        <w:tc>
          <w:tcPr>
            <w:tcW w:w="880" w:type="dxa"/>
            <w:vAlign w:val="bottom"/>
          </w:tcPr>
          <w:p>
            <w:pPr>
              <w:jc w:val="right"/>
              <w:spacing w:after="0"/>
              <w:rPr>
                <w:sz w:val="20"/>
                <w:szCs w:val="20"/>
                <w:color w:val="auto"/>
              </w:rPr>
            </w:pPr>
            <w:r>
              <w:rPr>
                <w:rFonts w:ascii="Arial" w:cs="Arial" w:eastAsia="Arial" w:hAnsi="Arial"/>
                <w:sz w:val="14"/>
                <w:szCs w:val="14"/>
                <w:color w:val="auto"/>
              </w:rPr>
              <w:t>6.61 %</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6.78 %</w:t>
            </w:r>
          </w:p>
        </w:tc>
        <w:tc>
          <w:tcPr>
            <w:tcW w:w="0" w:type="dxa"/>
            <w:vAlign w:val="bottom"/>
          </w:tcPr>
          <w:p>
            <w:pPr>
              <w:spacing w:after="0"/>
              <w:rPr>
                <w:sz w:val="1"/>
                <w:szCs w:val="1"/>
                <w:color w:val="auto"/>
              </w:rPr>
            </w:pPr>
          </w:p>
        </w:tc>
      </w:tr>
      <w:tr>
        <w:trPr>
          <w:trHeight w:val="203"/>
        </w:trPr>
        <w:tc>
          <w:tcPr>
            <w:tcW w:w="2920" w:type="dxa"/>
            <w:vAlign w:val="bottom"/>
          </w:tcPr>
          <w:p>
            <w:pPr>
              <w:ind w:left="240"/>
              <w:spacing w:after="0"/>
              <w:rPr>
                <w:sz w:val="20"/>
                <w:szCs w:val="20"/>
                <w:color w:val="auto"/>
              </w:rPr>
            </w:pPr>
            <w:r>
              <w:rPr>
                <w:rFonts w:ascii="Arial" w:cs="Arial" w:eastAsia="Arial" w:hAnsi="Arial"/>
                <w:sz w:val="14"/>
                <w:szCs w:val="14"/>
                <w:color w:val="auto"/>
              </w:rPr>
              <w:t>Wisconsin Place Parking Facility</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33.33 %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29,209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7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5"/>
        </w:trPr>
        <w:tc>
          <w:tcPr>
            <w:tcW w:w="2920" w:type="dxa"/>
            <w:vAlign w:val="bottom"/>
          </w:tcPr>
          <w:p>
            <w:pPr>
              <w:ind w:left="240"/>
              <w:spacing w:after="0"/>
              <w:rPr>
                <w:sz w:val="20"/>
                <w:szCs w:val="20"/>
                <w:color w:val="auto"/>
              </w:rPr>
            </w:pPr>
            <w:r>
              <w:rPr>
                <w:rFonts w:ascii="Arial" w:cs="Arial" w:eastAsia="Arial" w:hAnsi="Arial"/>
                <w:sz w:val="14"/>
                <w:szCs w:val="14"/>
                <w:color w:val="auto"/>
              </w:rPr>
              <w:t xml:space="preserve">500 North Capitol Street, N.W. </w:t>
            </w:r>
            <w:r>
              <w:rPr>
                <w:rFonts w:ascii="Arial" w:cs="Arial" w:eastAsia="Arial" w:hAnsi="Arial"/>
                <w:sz w:val="18"/>
                <w:szCs w:val="18"/>
                <w:color w:val="auto"/>
                <w:vertAlign w:val="superscript"/>
              </w:rPr>
              <w:t>10</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30.00 %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31,399</w:t>
            </w: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June 5, 2026</w:t>
            </w:r>
          </w:p>
        </w:tc>
        <w:tc>
          <w:tcPr>
            <w:tcW w:w="880" w:type="dxa"/>
            <w:vAlign w:val="bottom"/>
          </w:tcPr>
          <w:p>
            <w:pPr>
              <w:jc w:val="right"/>
              <w:spacing w:after="0"/>
              <w:rPr>
                <w:sz w:val="20"/>
                <w:szCs w:val="20"/>
                <w:color w:val="auto"/>
              </w:rPr>
            </w:pPr>
            <w:r>
              <w:rPr>
                <w:rFonts w:ascii="Arial" w:cs="Arial" w:eastAsia="Arial" w:hAnsi="Arial"/>
                <w:sz w:val="14"/>
                <w:szCs w:val="14"/>
                <w:color w:val="auto"/>
              </w:rPr>
              <w:t>6.83 %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7.16 %</w:t>
            </w:r>
          </w:p>
        </w:tc>
        <w:tc>
          <w:tcPr>
            <w:tcW w:w="0" w:type="dxa"/>
            <w:vAlign w:val="bottom"/>
          </w:tcPr>
          <w:p>
            <w:pPr>
              <w:spacing w:after="0"/>
              <w:rPr>
                <w:sz w:val="1"/>
                <w:szCs w:val="1"/>
                <w:color w:val="auto"/>
              </w:rPr>
            </w:pPr>
          </w:p>
        </w:tc>
      </w:tr>
      <w:tr>
        <w:trPr>
          <w:trHeight w:val="194"/>
        </w:trPr>
        <w:tc>
          <w:tcPr>
            <w:tcW w:w="2920" w:type="dxa"/>
            <w:vAlign w:val="bottom"/>
          </w:tcPr>
          <w:p>
            <w:pPr>
              <w:ind w:left="240"/>
              <w:spacing w:after="0"/>
              <w:rPr>
                <w:sz w:val="20"/>
                <w:szCs w:val="20"/>
                <w:color w:val="auto"/>
              </w:rPr>
            </w:pPr>
            <w:r>
              <w:rPr>
                <w:rFonts w:ascii="Arial" w:cs="Arial" w:eastAsia="Arial" w:hAnsi="Arial"/>
                <w:sz w:val="14"/>
                <w:szCs w:val="14"/>
                <w:color w:val="auto"/>
              </w:rPr>
              <w:t>Skymark - Reston Next Residential</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20.00 %</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27,945</w:t>
            </w:r>
          </w:p>
        </w:tc>
        <w:tc>
          <w:tcPr>
            <w:tcW w:w="20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May 13, 2026</w:t>
            </w:r>
          </w:p>
        </w:tc>
        <w:tc>
          <w:tcPr>
            <w:tcW w:w="880" w:type="dxa"/>
            <w:vAlign w:val="bottom"/>
          </w:tcPr>
          <w:p>
            <w:pPr>
              <w:jc w:val="right"/>
              <w:spacing w:after="0"/>
              <w:rPr>
                <w:sz w:val="20"/>
                <w:szCs w:val="20"/>
                <w:color w:val="auto"/>
              </w:rPr>
            </w:pPr>
            <w:r>
              <w:rPr>
                <w:rFonts w:ascii="Arial" w:cs="Arial" w:eastAsia="Arial" w:hAnsi="Arial"/>
                <w:sz w:val="14"/>
                <w:szCs w:val="14"/>
                <w:color w:val="auto"/>
              </w:rPr>
              <w:t>6.28 %</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6.60 %</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949,312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920" w:type="dxa"/>
            <w:vAlign w:val="bottom"/>
          </w:tcPr>
          <w:p>
            <w:pPr>
              <w:ind w:left="20"/>
              <w:spacing w:after="0" w:line="157" w:lineRule="exact"/>
              <w:rPr>
                <w:sz w:val="20"/>
                <w:szCs w:val="20"/>
                <w:color w:val="auto"/>
              </w:rPr>
            </w:pPr>
            <w:r>
              <w:rPr>
                <w:rFonts w:ascii="Arial" w:cs="Arial" w:eastAsia="Arial" w:hAnsi="Arial"/>
                <w:sz w:val="14"/>
                <w:szCs w:val="14"/>
                <w:color w:val="auto"/>
              </w:rPr>
              <w:t>Investments with deficit balances reflected</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50,452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180"/>
              <w:spacing w:after="0"/>
              <w:rPr>
                <w:sz w:val="20"/>
                <w:szCs w:val="20"/>
                <w:color w:val="auto"/>
              </w:rPr>
            </w:pPr>
            <w:r>
              <w:rPr>
                <w:rFonts w:ascii="Arial" w:cs="Arial" w:eastAsia="Arial" w:hAnsi="Arial"/>
                <w:sz w:val="14"/>
                <w:szCs w:val="14"/>
                <w:color w:val="auto"/>
              </w:rPr>
              <w:t>within Other Liabilities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Arial" w:cs="Arial" w:eastAsia="Arial" w:hAnsi="Arial"/>
                <w:sz w:val="14"/>
                <w:szCs w:val="14"/>
                <w:color w:val="auto"/>
              </w:rPr>
              <w:t>Investments in Unconsolidated Joint</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999,764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920" w:type="dxa"/>
            <w:vAlign w:val="bottom"/>
          </w:tcPr>
          <w:p>
            <w:pPr>
              <w:ind w:left="20"/>
              <w:spacing w:after="0"/>
              <w:rPr>
                <w:sz w:val="20"/>
                <w:szCs w:val="20"/>
                <w:color w:val="auto"/>
              </w:rPr>
            </w:pPr>
            <w:r>
              <w:rPr>
                <w:rFonts w:ascii="Arial" w:cs="Arial" w:eastAsia="Arial" w:hAnsi="Arial"/>
                <w:sz w:val="14"/>
                <w:szCs w:val="14"/>
                <w:color w:val="auto"/>
              </w:rPr>
              <w:t>Mortgage/Construction Loans Payable, Net</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1,372,439</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342900</wp:posOffset>
            </wp:positionV>
            <wp:extent cx="6283325" cy="16459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8332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300"/>
        <w:spacing w:after="0"/>
        <w:tabs>
          <w:tab w:leader="none" w:pos="3560" w:val="left"/>
          <w:tab w:leader="none" w:pos="4780" w:val="left"/>
          <w:tab w:leader="none" w:pos="6020" w:val="left"/>
          <w:tab w:leader="none" w:pos="7240" w:val="left"/>
          <w:tab w:leader="none" w:pos="8480" w:val="left"/>
          <w:tab w:leader="none" w:pos="9560" w:val="left"/>
        </w:tabs>
        <w:rPr>
          <w:sz w:val="20"/>
          <w:szCs w:val="20"/>
          <w:color w:val="auto"/>
        </w:rPr>
      </w:pPr>
      <w:r>
        <w:rPr>
          <w:rFonts w:ascii="Arial" w:cs="Arial" w:eastAsia="Arial" w:hAnsi="Arial"/>
          <w:sz w:val="14"/>
          <w:szCs w:val="14"/>
          <w:color w:val="auto"/>
        </w:rPr>
        <w:t xml:space="preserve">2025 </w:t>
      </w:r>
      <w:r>
        <w:rPr>
          <w:rFonts w:ascii="Arial" w:cs="Arial" w:eastAsia="Arial" w:hAnsi="Arial"/>
          <w:sz w:val="18"/>
          <w:szCs w:val="18"/>
          <w:color w:val="auto"/>
          <w:vertAlign w:val="superscript"/>
        </w:rPr>
        <w:t>6</w:t>
      </w:r>
      <w:r>
        <w:rPr>
          <w:sz w:val="20"/>
          <w:szCs w:val="20"/>
          <w:color w:val="auto"/>
        </w:rPr>
        <w:tab/>
      </w:r>
      <w:r>
        <w:rPr>
          <w:rFonts w:ascii="Arial" w:cs="Arial" w:eastAsia="Arial" w:hAnsi="Arial"/>
          <w:sz w:val="14"/>
          <w:szCs w:val="14"/>
          <w:color w:val="auto"/>
        </w:rPr>
        <w:t>2026</w:t>
      </w:r>
      <w:r>
        <w:rPr>
          <w:sz w:val="20"/>
          <w:szCs w:val="20"/>
          <w:color w:val="auto"/>
        </w:rPr>
        <w:tab/>
      </w:r>
      <w:r>
        <w:rPr>
          <w:rFonts w:ascii="Arial" w:cs="Arial" w:eastAsia="Arial" w:hAnsi="Arial"/>
          <w:sz w:val="14"/>
          <w:szCs w:val="14"/>
          <w:color w:val="auto"/>
        </w:rPr>
        <w:t>2027</w:t>
      </w:r>
      <w:r>
        <w:rPr>
          <w:sz w:val="20"/>
          <w:szCs w:val="20"/>
          <w:color w:val="auto"/>
        </w:rPr>
        <w:tab/>
      </w:r>
      <w:r>
        <w:rPr>
          <w:rFonts w:ascii="Arial" w:cs="Arial" w:eastAsia="Arial" w:hAnsi="Arial"/>
          <w:sz w:val="14"/>
          <w:szCs w:val="14"/>
          <w:color w:val="auto"/>
        </w:rPr>
        <w:t>2028</w:t>
      </w:r>
      <w:r>
        <w:rPr>
          <w:sz w:val="20"/>
          <w:szCs w:val="20"/>
          <w:color w:val="auto"/>
        </w:rPr>
        <w:tab/>
      </w:r>
      <w:r>
        <w:rPr>
          <w:rFonts w:ascii="Arial" w:cs="Arial" w:eastAsia="Arial" w:hAnsi="Arial"/>
          <w:sz w:val="14"/>
          <w:szCs w:val="14"/>
          <w:color w:val="auto"/>
        </w:rPr>
        <w:t>2029</w:t>
      </w:r>
      <w:r>
        <w:rPr>
          <w:sz w:val="20"/>
          <w:szCs w:val="20"/>
          <w:color w:val="auto"/>
        </w:rPr>
        <w:tab/>
      </w:r>
      <w:r>
        <w:rPr>
          <w:rFonts w:ascii="Arial" w:cs="Arial" w:eastAsia="Arial" w:hAnsi="Arial"/>
          <w:sz w:val="14"/>
          <w:szCs w:val="14"/>
          <w:color w:val="auto"/>
        </w:rPr>
        <w:t>2030</w:t>
      </w:r>
      <w:r>
        <w:rPr>
          <w:sz w:val="20"/>
          <w:szCs w:val="20"/>
          <w:color w:val="auto"/>
        </w:rPr>
        <w:tab/>
      </w:r>
      <w:r>
        <w:rPr>
          <w:rFonts w:ascii="Arial" w:cs="Arial" w:eastAsia="Arial" w:hAnsi="Arial"/>
          <w:sz w:val="14"/>
          <w:szCs w:val="14"/>
          <w:color w:val="auto"/>
        </w:rPr>
        <w:t>Thereafter</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265" w:right="339" w:bottom="1440" w:gutter="0" w:footer="0" w:header="0"/>
          <w:type w:val="continuous"/>
        </w:sectPr>
      </w:pPr>
    </w:p>
    <w:bookmarkStart w:id="43" w:name="page44"/>
    <w:bookmarkEnd w:id="43"/>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-69850</wp:posOffset>
            </wp:positionV>
            <wp:extent cx="257175"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Unconsolidated joint ventures (continued)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4445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FLOATING AND FIXED RATE DEBT ANALYSIS</w:t>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39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Weighted Average</w:t>
            </w:r>
          </w:p>
        </w:tc>
        <w:tc>
          <w:tcPr>
            <w:tcW w:w="1600" w:type="dxa"/>
            <w:vAlign w:val="bottom"/>
            <w:tcBorders>
              <w:top w:val="single" w:sz="8" w:color="auto"/>
              <w:bottom w:val="single" w:sz="8" w:color="auto"/>
            </w:tcBorders>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 of Total Debt</w:t>
            </w: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Stated Rates</w:t>
            </w:r>
          </w:p>
        </w:tc>
        <w:tc>
          <w:tcPr>
            <w:tcW w:w="1880" w:type="dxa"/>
            <w:vAlign w:val="bottom"/>
            <w:gridSpan w:val="2"/>
          </w:tcPr>
          <w:p>
            <w:pPr>
              <w:ind w:left="380"/>
              <w:spacing w:after="0" w:line="198" w:lineRule="exact"/>
              <w:rPr>
                <w:sz w:val="20"/>
                <w:szCs w:val="20"/>
                <w:color w:val="auto"/>
              </w:rPr>
            </w:pPr>
            <w:r>
              <w:rPr>
                <w:rFonts w:ascii="Arial" w:cs="Arial" w:eastAsia="Arial" w:hAnsi="Arial"/>
                <w:sz w:val="14"/>
                <w:szCs w:val="14"/>
                <w:b w:val="1"/>
                <w:bCs w:val="1"/>
                <w:color w:val="auto"/>
              </w:rPr>
              <w:t xml:space="preserve">GAAP Rates </w:t>
            </w:r>
            <w:r>
              <w:rPr>
                <w:rFonts w:ascii="Arial" w:cs="Arial" w:eastAsia="Arial" w:hAnsi="Arial"/>
                <w:sz w:val="18"/>
                <w:szCs w:val="18"/>
                <w:b w:val="1"/>
                <w:bCs w:val="1"/>
                <w:color w:val="auto"/>
                <w:vertAlign w:val="superscript"/>
              </w:rPr>
              <w:t>2</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Maturity (years)</w:t>
            </w:r>
          </w:p>
        </w:tc>
      </w:tr>
      <w:tr>
        <w:trPr>
          <w:trHeight w:val="188"/>
        </w:trPr>
        <w:tc>
          <w:tcPr>
            <w:tcW w:w="3960" w:type="dxa"/>
            <w:vAlign w:val="bottom"/>
          </w:tcPr>
          <w:p>
            <w:pPr>
              <w:ind w:left="20"/>
              <w:spacing w:after="0"/>
              <w:rPr>
                <w:sz w:val="20"/>
                <w:szCs w:val="20"/>
                <w:color w:val="auto"/>
              </w:rPr>
            </w:pPr>
            <w:r>
              <w:rPr>
                <w:rFonts w:ascii="Arial" w:cs="Arial" w:eastAsia="Arial" w:hAnsi="Arial"/>
                <w:sz w:val="14"/>
                <w:szCs w:val="14"/>
                <w:color w:val="auto"/>
              </w:rPr>
              <w:t>Floating Rate Debt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32.72 %</w:t>
            </w:r>
          </w:p>
        </w:tc>
        <w:tc>
          <w:tcPr>
            <w:tcW w:w="2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6.55 %</w:t>
            </w:r>
          </w:p>
        </w:tc>
        <w:tc>
          <w:tcPr>
            <w:tcW w:w="20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7.01 %</w:t>
            </w: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11"/>
        </w:trPr>
        <w:tc>
          <w:tcPr>
            <w:tcW w:w="3960" w:type="dxa"/>
            <w:vAlign w:val="bottom"/>
          </w:tcPr>
          <w:p>
            <w:pPr>
              <w:ind w:left="20"/>
              <w:spacing w:after="0"/>
              <w:rPr>
                <w:sz w:val="20"/>
                <w:szCs w:val="20"/>
                <w:color w:val="auto"/>
              </w:rPr>
            </w:pPr>
            <w:r>
              <w:rPr>
                <w:rFonts w:ascii="Arial" w:cs="Arial" w:eastAsia="Arial" w:hAnsi="Arial"/>
                <w:sz w:val="14"/>
                <w:szCs w:val="14"/>
                <w:color w:val="auto"/>
              </w:rPr>
              <w:t xml:space="preserve">Fixed Rate Debt </w:t>
            </w:r>
            <w:r>
              <w:rPr>
                <w:rFonts w:ascii="Arial" w:cs="Arial" w:eastAsia="Arial" w:hAnsi="Arial"/>
                <w:sz w:val="18"/>
                <w:szCs w:val="18"/>
                <w:color w:val="auto"/>
                <w:vertAlign w:val="superscript"/>
              </w:rPr>
              <w:t>11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67.28 %</w:t>
            </w:r>
          </w:p>
        </w:tc>
        <w:tc>
          <w:tcPr>
            <w:tcW w:w="20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4.69 %</w:t>
            </w:r>
          </w:p>
        </w:tc>
        <w:tc>
          <w:tcPr>
            <w:tcW w:w="2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4.99 %</w:t>
            </w:r>
          </w:p>
        </w:tc>
        <w:tc>
          <w:tcPr>
            <w:tcW w:w="2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188"/>
        </w:trPr>
        <w:tc>
          <w:tcPr>
            <w:tcW w:w="396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1700" w:type="dxa"/>
            <w:vAlign w:val="bottom"/>
          </w:tcPr>
          <w:p>
            <w:pPr>
              <w:jc w:val="right"/>
              <w:spacing w:after="0"/>
              <w:rPr>
                <w:sz w:val="20"/>
                <w:szCs w:val="20"/>
                <w:color w:val="auto"/>
              </w:rPr>
            </w:pPr>
            <w:r>
              <w:rPr>
                <w:rFonts w:ascii="Arial" w:cs="Arial" w:eastAsia="Arial" w:hAnsi="Arial"/>
                <w:sz w:val="14"/>
                <w:szCs w:val="14"/>
                <w:color w:val="auto"/>
              </w:rPr>
              <w:t>100.00 %</w:t>
            </w: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5.30 %</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5.65 %</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w:t>
            </w:r>
          </w:p>
        </w:tc>
      </w:tr>
    </w:tbl>
    <w:p>
      <w:pPr>
        <w:spacing w:after="0" w:line="3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_____________</w:t>
      </w:r>
    </w:p>
    <w:p>
      <w:pPr>
        <w:spacing w:after="0" w:line="35" w:lineRule="exact"/>
        <w:rPr>
          <w:sz w:val="20"/>
          <w:szCs w:val="20"/>
          <w:color w:val="auto"/>
        </w:rPr>
      </w:pPr>
    </w:p>
    <w:p>
      <w:pPr>
        <w:ind w:left="160" w:hanging="72"/>
        <w:spacing w:after="0"/>
        <w:tabs>
          <w:tab w:leader="none" w:pos="160" w:val="left"/>
        </w:tabs>
        <w:numPr>
          <w:ilvl w:val="0"/>
          <w:numId w:val="93"/>
        </w:numPr>
        <w:rPr>
          <w:rFonts w:ascii="Arial" w:cs="Arial" w:eastAsia="Arial" w:hAnsi="Arial"/>
          <w:sz w:val="9"/>
          <w:szCs w:val="9"/>
          <w:color w:val="auto"/>
        </w:rPr>
      </w:pPr>
      <w:r>
        <w:rPr>
          <w:rFonts w:ascii="Arial" w:cs="Arial" w:eastAsia="Arial" w:hAnsi="Arial"/>
          <w:sz w:val="14"/>
          <w:szCs w:val="14"/>
          <w:color w:val="auto"/>
        </w:rPr>
        <w:t>Amounts represent BXP’s share based on its ownership percentage.</w:t>
      </w:r>
    </w:p>
    <w:p>
      <w:pPr>
        <w:spacing w:after="0" w:line="55" w:lineRule="exact"/>
        <w:rPr>
          <w:sz w:val="20"/>
          <w:szCs w:val="20"/>
          <w:color w:val="auto"/>
        </w:rPr>
      </w:pPr>
    </w:p>
    <w:p>
      <w:pPr>
        <w:ind w:left="160" w:right="100" w:hanging="72"/>
        <w:spacing w:after="0" w:line="238" w:lineRule="auto"/>
        <w:tabs>
          <w:tab w:leader="none" w:pos="158"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The GAAP interest rate differs from the stated interest rate due to the inclusion of the amortization of financing charges, which includes mortgage recording fees, the effects of hedging transactions (if any) and adjustments required under Accounting Standards Codification 805 “Business Combinations” to reflect loans at their fair values (if any).</w:t>
      </w:r>
    </w:p>
    <w:p>
      <w:pPr>
        <w:ind w:left="160" w:hanging="72"/>
        <w:spacing w:after="0" w:line="223" w:lineRule="auto"/>
        <w:tabs>
          <w:tab w:leader="none" w:pos="160" w:val="left"/>
        </w:tabs>
        <w:numPr>
          <w:ilvl w:val="0"/>
          <w:numId w:val="95"/>
        </w:numPr>
        <w:rPr>
          <w:rFonts w:ascii="Arial" w:cs="Arial" w:eastAsia="Arial" w:hAnsi="Arial"/>
          <w:sz w:val="19"/>
          <w:szCs w:val="19"/>
          <w:color w:val="auto"/>
          <w:vertAlign w:val="superscript"/>
        </w:rPr>
      </w:pPr>
      <w:r>
        <w:rPr>
          <w:rFonts w:ascii="Arial" w:cs="Arial" w:eastAsia="Arial" w:hAnsi="Arial"/>
          <w:sz w:val="14"/>
          <w:szCs w:val="14"/>
          <w:color w:val="auto"/>
        </w:rPr>
        <w:t>No amounts have been drawn under the $98.7 million construction facility.</w:t>
      </w:r>
    </w:p>
    <w:p>
      <w:pPr>
        <w:spacing w:after="0" w:line="32" w:lineRule="exact"/>
        <w:rPr>
          <w:sz w:val="20"/>
          <w:szCs w:val="20"/>
          <w:color w:val="auto"/>
        </w:rPr>
      </w:pPr>
    </w:p>
    <w:p>
      <w:pPr>
        <w:ind w:left="160" w:right="40" w:hanging="72"/>
        <w:spacing w:after="0"/>
        <w:tabs>
          <w:tab w:leader="none" w:pos="158"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On September 17, 2025, the joint venture completed the sale of Beach Cities Media Campus, a land parcel located in El Segundo, California. For further information, see page 14.</w:t>
      </w:r>
    </w:p>
    <w:p>
      <w:pPr>
        <w:spacing w:after="0" w:line="137" w:lineRule="exact"/>
        <w:rPr>
          <w:sz w:val="20"/>
          <w:szCs w:val="20"/>
          <w:color w:val="auto"/>
        </w:rPr>
      </w:pPr>
    </w:p>
    <w:p>
      <w:pPr>
        <w:ind w:left="160" w:hanging="72"/>
        <w:spacing w:after="0"/>
        <w:tabs>
          <w:tab w:leader="none" w:pos="16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On October 8, 2025, the joint venture repaid the construction loan.</w:t>
      </w:r>
    </w:p>
    <w:p>
      <w:pPr>
        <w:spacing w:after="0" w:line="26" w:lineRule="exact"/>
        <w:rPr>
          <w:sz w:val="20"/>
          <w:szCs w:val="20"/>
          <w:color w:val="auto"/>
        </w:rPr>
      </w:pPr>
    </w:p>
    <w:p>
      <w:pPr>
        <w:ind w:left="160" w:right="60" w:hanging="72"/>
        <w:spacing w:after="0" w:line="262" w:lineRule="auto"/>
        <w:tabs>
          <w:tab w:leader="none" w:pos="158" w:val="left"/>
        </w:tabs>
        <w:numPr>
          <w:ilvl w:val="0"/>
          <w:numId w:val="98"/>
        </w:numPr>
        <w:rPr>
          <w:rFonts w:ascii="Arial" w:cs="Arial" w:eastAsia="Arial" w:hAnsi="Arial"/>
          <w:sz w:val="9"/>
          <w:szCs w:val="9"/>
          <w:color w:val="auto"/>
        </w:rPr>
      </w:pPr>
      <w:r>
        <w:rPr>
          <w:rFonts w:ascii="Arial" w:cs="Arial" w:eastAsia="Arial" w:hAnsi="Arial"/>
          <w:sz w:val="14"/>
          <w:szCs w:val="14"/>
          <w:color w:val="auto"/>
        </w:rPr>
        <w:t>The Company has provided $80.0 million of mortgage financing to the joint venture. The loan is reflected as Related Party Note Receivables, Net on the Company’s Consolidated Balance Sheets. As of September 30, 2025, the loan was in a maturity default and had an outstanding balance, including accrued and unpaid interest, and default interest, of approximately $130.7 million. On October 17, 2025, the joint venture refinanced the loan. The new loan consists of (1) a senior loan with a third-party lender with a principal amount of $108.0 million that bears interest at a variable rate equal to Term SOFR plus 5.25% per annum and (2) a mezzanine loan provided by the Company with a maximum commitment of $50.0 million that bears interest at a variable rate equal to Term SOFR plus 7.25% per annum. As of closing, the Company has funded approximately $17.6 million of the mezzanine loan.</w:t>
      </w:r>
    </w:p>
    <w:p>
      <w:pPr>
        <w:ind w:left="160" w:hanging="72"/>
        <w:spacing w:after="0" w:line="221" w:lineRule="auto"/>
        <w:tabs>
          <w:tab w:leader="none" w:pos="16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No amounts have been drawn under the $225.0 million construction facility.</w:t>
      </w:r>
    </w:p>
    <w:p>
      <w:pPr>
        <w:spacing w:after="0" w:line="27" w:lineRule="exact"/>
        <w:rPr>
          <w:sz w:val="20"/>
          <w:szCs w:val="20"/>
          <w:color w:val="auto"/>
        </w:rPr>
      </w:pPr>
    </w:p>
    <w:p>
      <w:pPr>
        <w:ind w:left="160" w:right="20" w:hanging="72"/>
        <w:spacing w:after="0" w:line="271" w:lineRule="auto"/>
        <w:tabs>
          <w:tab w:leader="none" w:pos="158" w:val="left"/>
        </w:tabs>
        <w:numPr>
          <w:ilvl w:val="0"/>
          <w:numId w:val="100"/>
        </w:numPr>
        <w:rPr>
          <w:rFonts w:ascii="Arial" w:cs="Arial" w:eastAsia="Arial" w:hAnsi="Arial"/>
          <w:sz w:val="9"/>
          <w:szCs w:val="9"/>
          <w:color w:val="auto"/>
        </w:rPr>
      </w:pPr>
      <w:r>
        <w:rPr>
          <w:rFonts w:ascii="Arial" w:cs="Arial" w:eastAsia="Arial" w:hAnsi="Arial"/>
          <w:sz w:val="14"/>
          <w:szCs w:val="14"/>
          <w:color w:val="auto"/>
        </w:rPr>
        <w:t>The Company will fund the first $65.0 million of required capital through its preferred equity investment. The Company’s preferred equity investment will earn and accrue a 13% internal rate of return and is to be redeemed, in full, upon the earlier of two years after stabilization or March 5, 2030.</w:t>
      </w:r>
    </w:p>
    <w:p>
      <w:pPr>
        <w:ind w:left="160" w:hanging="72"/>
        <w:spacing w:after="0"/>
        <w:tabs>
          <w:tab w:leader="none" w:pos="160" w:val="left"/>
        </w:tabs>
        <w:numPr>
          <w:ilvl w:val="0"/>
          <w:numId w:val="101"/>
        </w:numPr>
        <w:rPr>
          <w:rFonts w:ascii="Arial" w:cs="Arial" w:eastAsia="Arial" w:hAnsi="Arial"/>
          <w:sz w:val="9"/>
          <w:szCs w:val="9"/>
          <w:color w:val="auto"/>
        </w:rPr>
      </w:pPr>
      <w:r>
        <w:rPr>
          <w:rFonts w:ascii="Arial" w:cs="Arial" w:eastAsia="Arial" w:hAnsi="Arial"/>
          <w:sz w:val="14"/>
          <w:szCs w:val="14"/>
          <w:color w:val="auto"/>
        </w:rPr>
        <w:t>Includes a non-cash impairment charge related to the Company’s investment in this unconsolidated joint venture, see page 37.</w:t>
      </w:r>
    </w:p>
    <w:p>
      <w:pPr>
        <w:spacing w:after="0" w:line="55" w:lineRule="exact"/>
        <w:rPr>
          <w:sz w:val="20"/>
          <w:szCs w:val="20"/>
          <w:color w:val="auto"/>
        </w:rPr>
      </w:pPr>
    </w:p>
    <w:p>
      <w:pPr>
        <w:ind w:left="160" w:right="20" w:hanging="153"/>
        <w:spacing w:after="0"/>
        <w:tabs>
          <w:tab w:leader="none" w:pos="156"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The indebtedness consists of (x) a $70.0 million mortgage loan payable (Note A) which bears interest at a fixed rate of 6.23% per annum, and (y) a $35.0 million mortgage loan payable (Note B) which bears interest at a fixed rate of 8.03% per annum. The Company provided $10.5 million (or 30%) of the Note B mortgage financing to the joint venture. The loan is reflected as Related Party Note Receivables, Net on the Company’s Consolidated Balance Sheets.</w:t>
      </w:r>
    </w:p>
    <w:p>
      <w:pPr>
        <w:ind w:left="160" w:hanging="153"/>
        <w:spacing w:after="0" w:line="222" w:lineRule="auto"/>
        <w:tabs>
          <w:tab w:leader="none" w:pos="160"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Includes The Hub on Causeway - Podium and 100 Causeway Street loans which were refinanced at fixed rates on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20"/>
          </w:cols>
          <w:pgMar w:left="240" w:top="265" w:right="339" w:bottom="1440" w:gutter="0" w:footer="0" w:header="0"/>
        </w:sectPr>
      </w:pPr>
    </w:p>
    <w:bookmarkStart w:id="44" w:name="page45"/>
    <w:bookmarkEnd w:id="44"/>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Unconsolidated joint ventures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RESULTS OF OPERATIONS </w:t>
      </w:r>
      <w:r>
        <w:rPr>
          <w:rFonts w:ascii="Arial" w:cs="Arial" w:eastAsia="Arial" w:hAnsi="Arial"/>
          <w:sz w:val="9"/>
          <w:szCs w:val="9"/>
          <w:b w:val="1"/>
          <w:bCs w:val="1"/>
          <w:i w:val="1"/>
          <w:iCs w:val="1"/>
          <w:color w:val="auto"/>
        </w:rPr>
        <w:t>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San</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color w:val="auto"/>
              </w:rPr>
              <w:t>Washington,</w:t>
            </w: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color w:val="auto"/>
              </w:rPr>
              <w:t>Boston</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Los Angeles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w w:val="98"/>
              </w:rPr>
              <w:t>New York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color w:val="auto"/>
              </w:rPr>
              <w:t>Seattle</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Unconsolidated</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Francisco</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DC</w:t>
            </w:r>
          </w:p>
        </w:tc>
        <w:tc>
          <w:tcPr>
            <w:tcW w:w="100" w:type="dxa"/>
            <w:vAlign w:val="bottom"/>
          </w:tcPr>
          <w:p>
            <w:pPr>
              <w:spacing w:after="0"/>
              <w:rPr>
                <w:sz w:val="16"/>
                <w:szCs w:val="16"/>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color w:val="auto"/>
              </w:rPr>
              <w:t>Joint Ventures</w:t>
            </w: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27,278</w:t>
            </w:r>
          </w:p>
        </w:tc>
        <w:tc>
          <w:tcPr>
            <w:tcW w:w="2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20,367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16,354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17,803</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8,537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24,461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114,800</w:t>
            </w:r>
          </w:p>
        </w:tc>
        <w:tc>
          <w:tcPr>
            <w:tcW w:w="0" w:type="dxa"/>
            <w:vAlign w:val="bottom"/>
          </w:tcPr>
          <w:p>
            <w:pPr>
              <w:spacing w:after="0"/>
              <w:rPr>
                <w:sz w:val="1"/>
                <w:szCs w:val="1"/>
                <w:color w:val="auto"/>
              </w:rPr>
            </w:pPr>
          </w:p>
        </w:tc>
      </w:tr>
      <w:tr>
        <w:trPr>
          <w:trHeight w:val="190"/>
        </w:trPr>
        <w:tc>
          <w:tcPr>
            <w:tcW w:w="350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203"/>
        </w:trPr>
        <w:tc>
          <w:tcPr>
            <w:tcW w:w="350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2,593</w:t>
            </w:r>
          </w:p>
        </w:tc>
        <w:tc>
          <w:tcPr>
            <w:tcW w:w="0" w:type="dxa"/>
            <w:vAlign w:val="bottom"/>
          </w:tcPr>
          <w:p>
            <w:pPr>
              <w:spacing w:after="0"/>
              <w:rPr>
                <w:sz w:val="1"/>
                <w:szCs w:val="1"/>
                <w:color w:val="auto"/>
              </w:rPr>
            </w:pPr>
          </w:p>
        </w:tc>
      </w:tr>
      <w:tr>
        <w:trPr>
          <w:trHeight w:val="203"/>
        </w:trPr>
        <w:tc>
          <w:tcPr>
            <w:tcW w:w="350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57"/>
        </w:trPr>
        <w:tc>
          <w:tcPr>
            <w:tcW w:w="3500" w:type="dxa"/>
            <w:vAlign w:val="bottom"/>
          </w:tcPr>
          <w:p>
            <w:pPr>
              <w:ind w:left="220"/>
              <w:spacing w:after="0" w:line="157" w:lineRule="exact"/>
              <w:rPr>
                <w:sz w:val="20"/>
                <w:szCs w:val="20"/>
                <w:color w:val="auto"/>
              </w:rPr>
            </w:pPr>
            <w:r>
              <w:rPr>
                <w:rFonts w:ascii="Arial" w:cs="Arial" w:eastAsia="Arial" w:hAnsi="Arial"/>
                <w:sz w:val="14"/>
                <w:szCs w:val="14"/>
                <w:color w:val="auto"/>
              </w:rPr>
              <w:t>Amortization and accretion related to sales-type</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3500" w:type="dxa"/>
            <w:vAlign w:val="bottom"/>
          </w:tcPr>
          <w:p>
            <w:pPr>
              <w:ind w:left="360"/>
              <w:spacing w:after="0"/>
              <w:rPr>
                <w:sz w:val="20"/>
                <w:szCs w:val="20"/>
                <w:color w:val="auto"/>
              </w:rPr>
            </w:pPr>
            <w:r>
              <w:rPr>
                <w:rFonts w:ascii="Arial" w:cs="Arial" w:eastAsia="Arial" w:hAnsi="Arial"/>
                <w:sz w:val="14"/>
                <w:szCs w:val="14"/>
                <w:color w:val="auto"/>
              </w:rPr>
              <w:t>lease</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00" w:type="dxa"/>
            <w:vAlign w:val="bottom"/>
          </w:tcPr>
          <w:p>
            <w:pPr>
              <w:ind w:left="560"/>
              <w:spacing w:after="0"/>
              <w:rPr>
                <w:sz w:val="20"/>
                <w:szCs w:val="20"/>
                <w:color w:val="auto"/>
              </w:rPr>
            </w:pPr>
            <w:r>
              <w:rPr>
                <w:rFonts w:ascii="Arial" w:cs="Arial" w:eastAsia="Arial" w:hAnsi="Arial"/>
                <w:sz w:val="14"/>
                <w:szCs w:val="14"/>
                <w:color w:val="auto"/>
              </w:rPr>
              <w:t>Total lease revenue</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27,925</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18,939</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21,576</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17,913</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10,514</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24,338</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121,205</w:t>
            </w:r>
          </w:p>
        </w:tc>
        <w:tc>
          <w:tcPr>
            <w:tcW w:w="0" w:type="dxa"/>
            <w:vAlign w:val="bottom"/>
          </w:tcPr>
          <w:p>
            <w:pPr>
              <w:spacing w:after="0"/>
              <w:rPr>
                <w:sz w:val="1"/>
                <w:szCs w:val="1"/>
                <w:color w:val="auto"/>
              </w:rPr>
            </w:pPr>
          </w:p>
        </w:tc>
      </w:tr>
      <w:tr>
        <w:trPr>
          <w:trHeight w:val="204"/>
        </w:trPr>
        <w:tc>
          <w:tcPr>
            <w:tcW w:w="350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3,690</w:t>
            </w:r>
          </w:p>
        </w:tc>
        <w:tc>
          <w:tcPr>
            <w:tcW w:w="0" w:type="dxa"/>
            <w:vAlign w:val="bottom"/>
          </w:tcPr>
          <w:p>
            <w:pPr>
              <w:spacing w:after="0"/>
              <w:rPr>
                <w:sz w:val="1"/>
                <w:szCs w:val="1"/>
                <w:color w:val="auto"/>
              </w:rPr>
            </w:pPr>
          </w:p>
        </w:tc>
      </w:tr>
      <w:tr>
        <w:trPr>
          <w:trHeight w:val="207"/>
        </w:trPr>
        <w:tc>
          <w:tcPr>
            <w:tcW w:w="3500" w:type="dxa"/>
            <w:vAlign w:val="bottom"/>
          </w:tcPr>
          <w:p>
            <w:pPr>
              <w:ind w:left="560"/>
              <w:spacing w:after="0"/>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3</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27,968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20,906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21,625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18,134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25,156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124,895</w:t>
            </w: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10,164</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15,965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9,597</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9,232</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56,453</w:t>
            </w:r>
          </w:p>
        </w:tc>
        <w:tc>
          <w:tcPr>
            <w:tcW w:w="0" w:type="dxa"/>
            <w:vAlign w:val="bottom"/>
          </w:tcPr>
          <w:p>
            <w:pPr>
              <w:spacing w:after="0"/>
              <w:rPr>
                <w:sz w:val="1"/>
                <w:szCs w:val="1"/>
                <w:color w:val="auto"/>
              </w:rPr>
            </w:pPr>
          </w:p>
        </w:tc>
      </w:tr>
      <w:tr>
        <w:trPr>
          <w:trHeight w:val="200"/>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17,804</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12,962</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5,660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8,537</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68,442</w:t>
            </w:r>
          </w:p>
        </w:tc>
        <w:tc>
          <w:tcPr>
            <w:tcW w:w="0" w:type="dxa"/>
            <w:vAlign w:val="bottom"/>
          </w:tcPr>
          <w:p>
            <w:pPr>
              <w:spacing w:after="0"/>
              <w:rPr>
                <w:sz w:val="1"/>
                <w:szCs w:val="1"/>
                <w:color w:val="auto"/>
              </w:rPr>
            </w:pPr>
          </w:p>
        </w:tc>
      </w:tr>
      <w:tr>
        <w:trPr>
          <w:trHeight w:val="345"/>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500" w:type="dxa"/>
            <w:vAlign w:val="bottom"/>
          </w:tcPr>
          <w:p>
            <w:pPr>
              <w:ind w:left="20"/>
              <w:spacing w:after="0"/>
              <w:rPr>
                <w:sz w:val="20"/>
                <w:szCs w:val="20"/>
                <w:color w:val="auto"/>
              </w:rPr>
            </w:pPr>
            <w:r>
              <w:rPr>
                <w:rFonts w:ascii="Arial" w:cs="Arial" w:eastAsia="Arial" w:hAnsi="Arial"/>
                <w:sz w:val="14"/>
                <w:szCs w:val="14"/>
                <w:color w:val="auto"/>
              </w:rPr>
              <w:t>Development and management services revenue</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4"/>
                <w:szCs w:val="14"/>
                <w:color w:val="auto"/>
              </w:rPr>
              <w:t>Interest and other income (loss)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(10,562)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(17,385)</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(10,044)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(47,202)</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4"/>
                <w:szCs w:val="14"/>
                <w:color w:val="auto"/>
              </w:rPr>
              <w:t>Unrealized gain/loss on derivative instruments</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(1,403)</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4"/>
                <w:szCs w:val="14"/>
                <w:color w:val="auto"/>
              </w:rPr>
              <w:t>Depreciation and amortization expense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(8,470)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(5,855)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(45,409)</w:t>
            </w: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Arial" w:cs="Arial" w:eastAsia="Arial" w:hAnsi="Arial"/>
                <w:sz w:val="14"/>
                <w:szCs w:val="14"/>
                <w:color w:val="auto"/>
              </w:rPr>
              <w:t>General and administrative expense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4"/>
        </w:trPr>
        <w:tc>
          <w:tcPr>
            <w:tcW w:w="3500" w:type="dxa"/>
            <w:vAlign w:val="bottom"/>
          </w:tcPr>
          <w:p>
            <w:pPr>
              <w:ind w:left="20"/>
              <w:spacing w:after="0"/>
              <w:rPr>
                <w:sz w:val="20"/>
                <w:szCs w:val="20"/>
                <w:color w:val="auto"/>
              </w:rPr>
            </w:pPr>
            <w:r>
              <w:rPr>
                <w:rFonts w:ascii="Arial" w:cs="Arial" w:eastAsia="Arial" w:hAnsi="Arial"/>
                <w:sz w:val="14"/>
                <w:szCs w:val="14"/>
                <w:color w:val="auto"/>
              </w:rPr>
              <w:t>Gain on sale of real estate</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4,762</w:t>
            </w:r>
          </w:p>
        </w:tc>
        <w:tc>
          <w:tcPr>
            <w:tcW w:w="0" w:type="dxa"/>
            <w:vAlign w:val="bottom"/>
          </w:tcPr>
          <w:p>
            <w:pPr>
              <w:spacing w:after="0"/>
              <w:rPr>
                <w:sz w:val="1"/>
                <w:szCs w:val="1"/>
                <w:color w:val="auto"/>
              </w:rPr>
            </w:pPr>
          </w:p>
        </w:tc>
      </w:tr>
      <w:tr>
        <w:trPr>
          <w:trHeight w:val="198"/>
        </w:trPr>
        <w:tc>
          <w:tcPr>
            <w:tcW w:w="3500" w:type="dxa"/>
            <w:vAlign w:val="bottom"/>
          </w:tcPr>
          <w:p>
            <w:pPr>
              <w:ind w:left="560"/>
              <w:spacing w:after="0"/>
              <w:rPr>
                <w:sz w:val="20"/>
                <w:szCs w:val="20"/>
                <w:color w:val="auto"/>
              </w:rPr>
            </w:pPr>
            <w:r>
              <w:rPr>
                <w:rFonts w:ascii="Arial" w:cs="Arial" w:eastAsia="Arial" w:hAnsi="Arial"/>
                <w:sz w:val="14"/>
                <w:szCs w:val="14"/>
                <w:color w:val="auto"/>
              </w:rPr>
              <w:t>Total other income (expense)</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(18,525)</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(4,449)</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(28,127)</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(10,069)</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(9,267)</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(15,647)</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(86,084)</w:t>
            </w:r>
          </w:p>
        </w:tc>
        <w:tc>
          <w:tcPr>
            <w:tcW w:w="0" w:type="dxa"/>
            <w:vAlign w:val="bottom"/>
          </w:tcPr>
          <w:p>
            <w:pPr>
              <w:spacing w:after="0"/>
              <w:rPr>
                <w:sz w:val="1"/>
                <w:szCs w:val="1"/>
                <w:color w:val="auto"/>
              </w:rPr>
            </w:pPr>
          </w:p>
        </w:tc>
      </w:tr>
      <w:tr>
        <w:trPr>
          <w:trHeight w:val="200"/>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(721)</w:t>
            </w:r>
          </w:p>
        </w:tc>
        <w:tc>
          <w:tcPr>
            <w:tcW w:w="2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8,513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(22,467)</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(1,532)</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(1,712)</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(17,642)</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Funds from</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3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Operations (FFO)</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BXP’s share of 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(361)</w:t>
            </w:r>
          </w:p>
        </w:tc>
        <w:tc>
          <w:tcPr>
            <w:tcW w:w="2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4,257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(9,863)</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(867)</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(575)</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796</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(6,613)</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Arial" w:cs="Arial" w:eastAsia="Arial" w:hAnsi="Arial"/>
                <w:sz w:val="14"/>
                <w:szCs w:val="14"/>
                <w:color w:val="auto"/>
              </w:rPr>
              <w:t>Basis differential</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vMerge w:val="restart"/>
          </w:tcPr>
          <w:p>
            <w:pPr>
              <w:jc w:val="right"/>
              <w:ind w:right="33"/>
              <w:spacing w:after="0"/>
              <w:rPr>
                <w:sz w:val="20"/>
                <w:szCs w:val="20"/>
                <w:color w:val="auto"/>
              </w:rPr>
            </w:pPr>
            <w:r>
              <w:rPr>
                <w:rFonts w:ascii="Arial" w:cs="Arial" w:eastAsia="Arial" w:hAnsi="Arial"/>
                <w:sz w:val="9"/>
                <w:szCs w:val="9"/>
                <w:color w:val="auto"/>
              </w:rPr>
              <w:t>5</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00" w:type="dxa"/>
            <w:vAlign w:val="bottom"/>
          </w:tcPr>
          <w:p>
            <w:pPr>
              <w:ind w:left="180"/>
              <w:spacing w:after="0"/>
              <w:rPr>
                <w:sz w:val="20"/>
                <w:szCs w:val="20"/>
                <w:color w:val="auto"/>
              </w:rPr>
            </w:pPr>
            <w:r>
              <w:rPr>
                <w:rFonts w:ascii="Arial" w:cs="Arial" w:eastAsia="Arial" w:hAnsi="Arial"/>
                <w:sz w:val="14"/>
                <w:szCs w:val="14"/>
                <w:color w:val="auto"/>
              </w:rPr>
              <w:t>Straight-line rent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2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8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33"/>
        </w:trPr>
        <w:tc>
          <w:tcPr>
            <w:tcW w:w="3500" w:type="dxa"/>
            <w:vAlign w:val="bottom"/>
          </w:tcPr>
          <w:p>
            <w:pPr>
              <w:ind w:left="180"/>
              <w:spacing w:after="0"/>
              <w:rPr>
                <w:sz w:val="20"/>
                <w:szCs w:val="20"/>
                <w:color w:val="auto"/>
              </w:rPr>
            </w:pPr>
            <w:r>
              <w:rPr>
                <w:rFonts w:ascii="Arial" w:cs="Arial" w:eastAsia="Arial" w:hAnsi="Arial"/>
                <w:sz w:val="14"/>
                <w:szCs w:val="14"/>
                <w:color w:val="auto"/>
              </w:rPr>
              <w:t>Fair value lease revenue</w:t>
            </w: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305</w:t>
            </w:r>
          </w:p>
        </w:tc>
        <w:tc>
          <w:tcPr>
            <w:tcW w:w="200" w:type="dxa"/>
            <w:vAlign w:val="bottom"/>
          </w:tcPr>
          <w:p>
            <w:pPr>
              <w:jc w:val="right"/>
              <w:ind w:right="33"/>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03"/>
        </w:trPr>
        <w:tc>
          <w:tcPr>
            <w:tcW w:w="3500" w:type="dxa"/>
            <w:vAlign w:val="bottom"/>
          </w:tcPr>
          <w:p>
            <w:pPr>
              <w:ind w:left="180"/>
              <w:spacing w:after="0"/>
              <w:rPr>
                <w:sz w:val="20"/>
                <w:szCs w:val="20"/>
                <w:color w:val="auto"/>
              </w:rPr>
            </w:pPr>
            <w:r>
              <w:rPr>
                <w:rFonts w:ascii="Arial" w:cs="Arial" w:eastAsia="Arial" w:hAnsi="Arial"/>
                <w:sz w:val="14"/>
                <w:szCs w:val="14"/>
                <w:color w:val="auto"/>
              </w:rPr>
              <w:t>Fair value interest adjustment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03"/>
        </w:trPr>
        <w:tc>
          <w:tcPr>
            <w:tcW w:w="3500" w:type="dxa"/>
            <w:vAlign w:val="bottom"/>
          </w:tcPr>
          <w:p>
            <w:pPr>
              <w:ind w:left="180"/>
              <w:spacing w:after="0"/>
              <w:rPr>
                <w:sz w:val="20"/>
                <w:szCs w:val="20"/>
                <w:color w:val="auto"/>
              </w:rPr>
            </w:pPr>
            <w:r>
              <w:rPr>
                <w:rFonts w:ascii="Arial" w:cs="Arial" w:eastAsia="Arial" w:hAnsi="Arial"/>
                <w:sz w:val="14"/>
                <w:szCs w:val="14"/>
                <w:color w:val="auto"/>
              </w:rPr>
              <w:t>Amortization of financing costs</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2"/>
        </w:trPr>
        <w:tc>
          <w:tcPr>
            <w:tcW w:w="3500" w:type="dxa"/>
            <w:vAlign w:val="bottom"/>
          </w:tcPr>
          <w:p>
            <w:pPr>
              <w:ind w:left="180"/>
              <w:spacing w:after="0"/>
              <w:rPr>
                <w:sz w:val="20"/>
                <w:szCs w:val="20"/>
                <w:color w:val="auto"/>
              </w:rPr>
            </w:pPr>
            <w:r>
              <w:rPr>
                <w:rFonts w:ascii="Arial" w:cs="Arial" w:eastAsia="Arial" w:hAnsi="Arial"/>
                <w:sz w:val="14"/>
                <w:szCs w:val="14"/>
                <w:color w:val="auto"/>
              </w:rPr>
              <w:t>Unrealized gain/loss on derivative instruments</w:t>
            </w: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374</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33"/>
        </w:trPr>
        <w:tc>
          <w:tcPr>
            <w:tcW w:w="350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520</w:t>
            </w:r>
          </w:p>
        </w:tc>
        <w:tc>
          <w:tcPr>
            <w:tcW w:w="200" w:type="dxa"/>
            <w:vAlign w:val="bottom"/>
          </w:tcPr>
          <w:p>
            <w:pPr>
              <w:jc w:val="right"/>
              <w:ind w:right="33"/>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1,301</w:t>
            </w:r>
          </w:p>
        </w:tc>
        <w:tc>
          <w:tcPr>
            <w:tcW w:w="200" w:type="dxa"/>
            <w:vAlign w:val="bottom"/>
          </w:tcPr>
          <w:p>
            <w:pPr>
              <w:jc w:val="right"/>
              <w:ind w:right="17"/>
              <w:spacing w:after="0"/>
              <w:rPr>
                <w:sz w:val="20"/>
                <w:szCs w:val="20"/>
                <w:color w:val="auto"/>
              </w:rPr>
            </w:pPr>
            <w:r>
              <w:rPr>
                <w:rFonts w:ascii="Arial" w:cs="Arial" w:eastAsia="Arial" w:hAnsi="Arial"/>
                <w:sz w:val="9"/>
                <w:szCs w:val="9"/>
                <w:color w:val="auto"/>
              </w:rPr>
              <w:t>5</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3,064</w:t>
            </w:r>
          </w:p>
        </w:tc>
        <w:tc>
          <w:tcPr>
            <w:tcW w:w="0" w:type="dxa"/>
            <w:vAlign w:val="bottom"/>
          </w:tcPr>
          <w:p>
            <w:pPr>
              <w:spacing w:after="0"/>
              <w:rPr>
                <w:sz w:val="1"/>
                <w:szCs w:val="1"/>
                <w:color w:val="auto"/>
              </w:rPr>
            </w:pPr>
          </w:p>
        </w:tc>
      </w:tr>
      <w:tr>
        <w:trPr>
          <w:trHeight w:val="203"/>
        </w:trPr>
        <w:tc>
          <w:tcPr>
            <w:tcW w:w="3500" w:type="dxa"/>
            <w:vAlign w:val="bottom"/>
          </w:tcPr>
          <w:p>
            <w:pPr>
              <w:ind w:left="180"/>
              <w:spacing w:after="0"/>
              <w:rPr>
                <w:sz w:val="20"/>
                <w:szCs w:val="20"/>
                <w:color w:val="auto"/>
              </w:rPr>
            </w:pPr>
            <w:r>
              <w:rPr>
                <w:rFonts w:ascii="Arial" w:cs="Arial" w:eastAsia="Arial" w:hAnsi="Arial"/>
                <w:sz w:val="14"/>
                <w:szCs w:val="14"/>
                <w:color w:val="auto"/>
              </w:rPr>
              <w:t>Gain on sale of real estate</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11"/>
        </w:trPr>
        <w:tc>
          <w:tcPr>
            <w:tcW w:w="3500" w:type="dxa"/>
            <w:vAlign w:val="bottom"/>
          </w:tcPr>
          <w:p>
            <w:pPr>
              <w:ind w:left="180"/>
              <w:spacing w:after="0"/>
              <w:rPr>
                <w:sz w:val="20"/>
                <w:szCs w:val="20"/>
                <w:color w:val="auto"/>
              </w:rPr>
            </w:pPr>
            <w:r>
              <w:rPr>
                <w:rFonts w:ascii="Arial" w:cs="Arial" w:eastAsia="Arial" w:hAnsi="Arial"/>
                <w:sz w:val="14"/>
                <w:szCs w:val="14"/>
                <w:color w:val="auto"/>
              </w:rPr>
              <w:t xml:space="preserve">Impairment loss on investment </w:t>
            </w:r>
            <w:r>
              <w:rPr>
                <w:rFonts w:ascii="Arial" w:cs="Arial" w:eastAsia="Arial" w:hAnsi="Arial"/>
                <w:sz w:val="18"/>
                <w:szCs w:val="18"/>
                <w:color w:val="auto"/>
                <w:vertAlign w:val="superscript"/>
              </w:rPr>
              <w:t>6</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33"/>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(145,133)</w:t>
            </w:r>
          </w:p>
        </w:tc>
        <w:tc>
          <w:tcPr>
            <w:tcW w:w="200" w:type="dxa"/>
            <w:vAlign w:val="bottom"/>
            <w:vMerge w:val="restart"/>
          </w:tcPr>
          <w:p>
            <w:pPr>
              <w:jc w:val="right"/>
              <w:ind w:right="17"/>
              <w:spacing w:after="0"/>
              <w:rPr>
                <w:sz w:val="20"/>
                <w:szCs w:val="20"/>
                <w:color w:val="auto"/>
              </w:rPr>
            </w:pPr>
            <w:r>
              <w:rPr>
                <w:rFonts w:ascii="Arial" w:cs="Arial" w:eastAsia="Arial" w:hAnsi="Arial"/>
                <w:sz w:val="9"/>
                <w:szCs w:val="9"/>
                <w:color w:val="auto"/>
              </w:rPr>
              <w:t>5</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(145,133)</w:t>
            </w:r>
          </w:p>
        </w:tc>
        <w:tc>
          <w:tcPr>
            <w:tcW w:w="0" w:type="dxa"/>
            <w:vAlign w:val="bottom"/>
          </w:tcPr>
          <w:p>
            <w:pPr>
              <w:spacing w:after="0"/>
              <w:rPr>
                <w:sz w:val="1"/>
                <w:szCs w:val="1"/>
                <w:color w:val="auto"/>
              </w:rPr>
            </w:pPr>
          </w:p>
        </w:tc>
      </w:tr>
      <w:tr>
        <w:trPr>
          <w:trHeight w:val="196"/>
        </w:trPr>
        <w:tc>
          <w:tcPr>
            <w:tcW w:w="3500" w:type="dxa"/>
            <w:vAlign w:val="bottom"/>
          </w:tcPr>
          <w:p>
            <w:pPr>
              <w:ind w:left="560"/>
              <w:spacing w:after="0" w:line="196" w:lineRule="exact"/>
              <w:rPr>
                <w:sz w:val="20"/>
                <w:szCs w:val="20"/>
                <w:color w:val="auto"/>
              </w:rPr>
            </w:pPr>
            <w:r>
              <w:rPr>
                <w:rFonts w:ascii="Arial" w:cs="Arial" w:eastAsia="Arial" w:hAnsi="Arial"/>
                <w:sz w:val="14"/>
                <w:szCs w:val="14"/>
                <w:color w:val="auto"/>
              </w:rPr>
              <w:t xml:space="preserve">Total basis differential </w:t>
            </w:r>
            <w:r>
              <w:rPr>
                <w:rFonts w:ascii="Arial" w:cs="Arial" w:eastAsia="Arial" w:hAnsi="Arial"/>
                <w:sz w:val="18"/>
                <w:szCs w:val="18"/>
                <w:color w:val="auto"/>
                <w:vertAlign w:val="superscript"/>
              </w:rPr>
              <w:t>7</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w:t>
            </w:r>
          </w:p>
        </w:tc>
        <w:tc>
          <w:tcPr>
            <w:tcW w:w="200" w:type="dxa"/>
            <w:vAlign w:val="bottom"/>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693</w:t>
            </w:r>
          </w:p>
        </w:tc>
        <w:tc>
          <w:tcPr>
            <w:tcW w:w="180" w:type="dxa"/>
            <w:vAlign w:val="bottom"/>
            <w:vMerge w:val="continue"/>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(143,832)</w:t>
            </w:r>
          </w:p>
        </w:tc>
        <w:tc>
          <w:tcPr>
            <w:tcW w:w="200" w:type="dxa"/>
            <w:vAlign w:val="bottom"/>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772</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(141,716)</w:t>
            </w:r>
          </w:p>
        </w:tc>
        <w:tc>
          <w:tcPr>
            <w:tcW w:w="0" w:type="dxa"/>
            <w:vAlign w:val="bottom"/>
          </w:tcPr>
          <w:p>
            <w:pPr>
              <w:spacing w:after="0"/>
              <w:rPr>
                <w:sz w:val="1"/>
                <w:szCs w:val="1"/>
                <w:color w:val="auto"/>
              </w:rPr>
            </w:pPr>
          </w:p>
        </w:tc>
      </w:tr>
      <w:tr>
        <w:trPr>
          <w:trHeight w:val="188"/>
        </w:trPr>
        <w:tc>
          <w:tcPr>
            <w:tcW w:w="3500" w:type="dxa"/>
            <w:vAlign w:val="bottom"/>
          </w:tcPr>
          <w:p>
            <w:pPr>
              <w:ind w:left="20"/>
              <w:spacing w:after="0"/>
              <w:rPr>
                <w:sz w:val="20"/>
                <w:szCs w:val="20"/>
                <w:color w:val="auto"/>
              </w:rPr>
            </w:pPr>
            <w:r>
              <w:rPr>
                <w:rFonts w:ascii="Arial" w:cs="Arial" w:eastAsia="Arial" w:hAnsi="Arial"/>
                <w:sz w:val="14"/>
                <w:szCs w:val="14"/>
                <w:color w:val="auto"/>
              </w:rPr>
              <w:t>Income (loss) from unconsolidated joint ventures</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5,028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(9,170)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(144,699)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(148,329)</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4"/>
                <w:szCs w:val="14"/>
                <w:color w:val="auto"/>
              </w:rPr>
              <w:t>Add: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80"/>
              <w:spacing w:after="0" w:line="157" w:lineRule="exact"/>
              <w:rPr>
                <w:sz w:val="20"/>
                <w:szCs w:val="20"/>
                <w:color w:val="auto"/>
              </w:rPr>
            </w:pPr>
            <w:r>
              <w:rPr>
                <w:rFonts w:ascii="Arial" w:cs="Arial" w:eastAsia="Arial" w:hAnsi="Arial"/>
                <w:sz w:val="14"/>
                <w:szCs w:val="14"/>
                <w:color w:val="auto"/>
              </w:rPr>
              <w:t>BXP’s share of depreciation and amortization</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4,237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2,144</w:t>
            </w:r>
          </w:p>
        </w:tc>
        <w:tc>
          <w:tcPr>
            <w:tcW w:w="200" w:type="dxa"/>
            <w:vAlign w:val="bottom"/>
            <w:vMerge w:val="restart"/>
          </w:tcPr>
          <w:p>
            <w:pPr>
              <w:jc w:val="right"/>
              <w:ind w:right="33"/>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3,929</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3,714</w:t>
            </w:r>
          </w:p>
        </w:tc>
        <w:tc>
          <w:tcPr>
            <w:tcW w:w="200" w:type="dxa"/>
            <w:vAlign w:val="bottom"/>
            <w:vMerge w:val="restart"/>
          </w:tcPr>
          <w:p>
            <w:pPr>
              <w:jc w:val="right"/>
              <w:ind w:right="17"/>
              <w:spacing w:after="0"/>
              <w:rPr>
                <w:sz w:val="20"/>
                <w:szCs w:val="20"/>
                <w:color w:val="auto"/>
              </w:rPr>
            </w:pPr>
            <w:r>
              <w:rPr>
                <w:rFonts w:ascii="Arial" w:cs="Arial" w:eastAsia="Arial" w:hAnsi="Arial"/>
                <w:sz w:val="9"/>
                <w:szCs w:val="9"/>
                <w:color w:val="auto"/>
              </w:rPr>
              <w:t>5</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983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2,265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17,272</w:t>
            </w:r>
          </w:p>
        </w:tc>
        <w:tc>
          <w:tcPr>
            <w:tcW w:w="0" w:type="dxa"/>
            <w:vAlign w:val="bottom"/>
          </w:tcPr>
          <w:p>
            <w:pPr>
              <w:spacing w:after="0"/>
              <w:rPr>
                <w:sz w:val="1"/>
                <w:szCs w:val="1"/>
                <w:color w:val="auto"/>
              </w:rPr>
            </w:pPr>
          </w:p>
        </w:tc>
      </w:tr>
      <w:tr>
        <w:trPr>
          <w:trHeight w:val="190"/>
        </w:trPr>
        <w:tc>
          <w:tcPr>
            <w:tcW w:w="3500" w:type="dxa"/>
            <w:vAlign w:val="bottom"/>
          </w:tcPr>
          <w:p>
            <w:pPr>
              <w:ind w:left="360"/>
              <w:spacing w:after="0"/>
              <w:rPr>
                <w:sz w:val="20"/>
                <w:szCs w:val="20"/>
                <w:color w:val="auto"/>
              </w:rPr>
            </w:pPr>
            <w:r>
              <w:rPr>
                <w:rFonts w:ascii="Arial" w:cs="Arial" w:eastAsia="Arial" w:hAnsi="Arial"/>
                <w:sz w:val="14"/>
                <w:szCs w:val="14"/>
                <w:color w:val="auto"/>
              </w:rPr>
              <w:t>expense</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180"/>
              <w:spacing w:after="0" w:line="206" w:lineRule="exact"/>
              <w:rPr>
                <w:sz w:val="20"/>
                <w:szCs w:val="20"/>
                <w:color w:val="auto"/>
              </w:rPr>
            </w:pPr>
            <w:r>
              <w:rPr>
                <w:rFonts w:ascii="Arial" w:cs="Arial" w:eastAsia="Arial" w:hAnsi="Arial"/>
                <w:sz w:val="14"/>
                <w:szCs w:val="14"/>
                <w:color w:val="auto"/>
              </w:rPr>
              <w:t xml:space="preserve">Impairment loss on investment </w:t>
            </w:r>
            <w:r>
              <w:rPr>
                <w:rFonts w:ascii="Arial" w:cs="Arial" w:eastAsia="Arial" w:hAnsi="Arial"/>
                <w:sz w:val="18"/>
                <w:szCs w:val="18"/>
                <w:color w:val="auto"/>
                <w:vertAlign w:val="superscript"/>
              </w:rPr>
              <w:t>6</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145,133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145,133</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Less: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4"/>
                <w:szCs w:val="14"/>
                <w:color w:val="auto"/>
              </w:rPr>
              <w:t xml:space="preserve">BXP’s share of gain on sale of real estate </w:t>
            </w:r>
            <w:r>
              <w:rPr>
                <w:rFonts w:ascii="Arial" w:cs="Arial" w:eastAsia="Arial" w:hAnsi="Arial"/>
                <w:sz w:val="18"/>
                <w:szCs w:val="18"/>
                <w:color w:val="auto"/>
                <w:vertAlign w:val="superscript"/>
              </w:rPr>
              <w:t>8</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BXP’s share of FFO</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3,870</w:t>
            </w:r>
          </w:p>
        </w:tc>
        <w:tc>
          <w:tcPr>
            <w:tcW w:w="2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4,936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(5,241)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4,148</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1,180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2,947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11,840</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For information on the properties included for each region and the Company’s percentage ownership in each property, see pages 21-24.</w:t>
      </w:r>
    </w:p>
    <w:p>
      <w:pPr>
        <w:spacing w:after="0" w:line="39"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Lease revenue includes recoveries from clients and service income from clients.</w:t>
      </w: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See the Definitions and Reconciliations sections of this Supplemental package starting on page 56.</w:t>
      </w:r>
    </w:p>
    <w:p>
      <w:pPr>
        <w:ind w:left="80" w:right="280" w:hanging="81"/>
        <w:spacing w:after="0" w:line="279" w:lineRule="auto"/>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The previous owner of 200 Fifth Avenue had not elected hedge accounting. Upon the Company acquiring an ownership interest in the property, it elected hedge accounting</w:t>
      </w:r>
      <w:r>
        <w:rPr>
          <w:rFonts w:ascii="Arial" w:cs="Arial" w:eastAsia="Arial" w:hAnsi="Arial"/>
          <w:sz w:val="9"/>
          <w:szCs w:val="9"/>
          <w:color w:val="auto"/>
        </w:rPr>
        <w:t xml:space="preserve"> </w:t>
      </w:r>
      <w:r>
        <w:rPr>
          <w:rFonts w:ascii="Arial" w:cs="Arial" w:eastAsia="Arial" w:hAnsi="Arial"/>
          <w:sz w:val="14"/>
          <w:szCs w:val="14"/>
          <w:color w:val="auto"/>
        </w:rPr>
        <w:t>and any changes in value is recognized as a basis differential to the Company.</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The Company’s purchase price allocation under ASC 805 for certain joint ventures differs from the historical basis of the venture.</w:t>
      </w:r>
    </w:p>
    <w:p>
      <w:pPr>
        <w:spacing w:after="0" w:line="11" w:lineRule="exact"/>
        <w:rPr>
          <w:rFonts w:ascii="Arial" w:cs="Arial" w:eastAsia="Arial" w:hAnsi="Arial"/>
          <w:sz w:val="19"/>
          <w:szCs w:val="19"/>
          <w:color w:val="auto"/>
          <w:vertAlign w:val="superscript"/>
        </w:rPr>
      </w:pPr>
    </w:p>
    <w:p>
      <w:pPr>
        <w:ind w:right="1480"/>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Represents the other-than-temporary decline in the fair values below the carrying values of certain of the Company’s investments in unconsolidated joint ventures.</w:t>
      </w:r>
    </w:p>
    <w:p>
      <w:pPr>
        <w:spacing w:after="0" w:line="12" w:lineRule="exact"/>
        <w:rPr>
          <w:rFonts w:ascii="Arial" w:cs="Arial" w:eastAsia="Arial" w:hAnsi="Arial"/>
          <w:sz w:val="19"/>
          <w:szCs w:val="19"/>
          <w:color w:val="auto"/>
          <w:vertAlign w:val="superscript"/>
        </w:rPr>
      </w:pPr>
    </w:p>
    <w:p>
      <w:pPr>
        <w:ind w:right="1980"/>
        <w:spacing w:after="0" w:line="352" w:lineRule="auto"/>
        <w:rPr>
          <w:rFonts w:ascii="Arial" w:cs="Arial" w:eastAsia="Arial" w:hAnsi="Arial"/>
          <w:sz w:val="19"/>
          <w:szCs w:val="19"/>
          <w:color w:val="auto"/>
          <w:vertAlign w:val="superscript"/>
        </w:rPr>
      </w:pPr>
      <w:r>
        <w:rPr>
          <w:rFonts w:ascii="Arial" w:cs="Arial" w:eastAsia="Arial" w:hAnsi="Arial"/>
          <w:sz w:val="9"/>
          <w:szCs w:val="9"/>
          <w:color w:val="auto"/>
        </w:rPr>
        <w:t xml:space="preserve">7 </w:t>
      </w:r>
      <w:r>
        <w:rPr>
          <w:rFonts w:ascii="Arial" w:cs="Arial" w:eastAsia="Arial" w:hAnsi="Arial"/>
          <w:sz w:val="14"/>
          <w:szCs w:val="14"/>
          <w:color w:val="auto"/>
        </w:rPr>
        <w:t>Represents adjustments related to the carrying values and depreciation of certain of the Company’s investment in unconsolidated joint ventures.</w:t>
      </w:r>
      <w:r>
        <w:rPr>
          <w:rFonts w:ascii="Arial" w:cs="Arial" w:eastAsia="Arial" w:hAnsi="Arial"/>
          <w:sz w:val="9"/>
          <w:szCs w:val="9"/>
          <w:color w:val="auto"/>
        </w:rPr>
        <w:t xml:space="preserve"> </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For additional information, see page 14.</w:t>
      </w:r>
    </w:p>
    <w:p>
      <w:pPr>
        <w:sectPr>
          <w:pgSz w:w="11900" w:h="16838" w:orient="portrait"/>
          <w:cols w:equalWidth="0" w:num="1">
            <w:col w:w="11240"/>
          </w:cols>
          <w:pgMar w:left="320" w:top="265" w:right="339" w:bottom="1440" w:gutter="0" w:footer="0" w:header="0"/>
        </w:sectPr>
      </w:pPr>
    </w:p>
    <w:p>
      <w:pPr>
        <w:ind w:left="1108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265"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Q3 2025</w:t>
            </w:r>
          </w:p>
        </w:tc>
      </w:tr>
      <w:tr>
        <w:trPr>
          <w:trHeight w:val="238"/>
        </w:trPr>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00497F"/>
              </w:rPr>
              <w:t>Lease expirations - All in-service properties</w:t>
            </w:r>
            <w:r>
              <w:rPr>
                <w:rFonts w:ascii="Arial" w:cs="Arial" w:eastAsia="Arial" w:hAnsi="Arial"/>
                <w:sz w:val="18"/>
                <w:szCs w:val="18"/>
                <w:b w:val="1"/>
                <w:bCs w:val="1"/>
                <w:color w:val="00497F"/>
                <w:vertAlign w:val="superscript"/>
              </w:rPr>
              <w:t>1, 2, 3</w:t>
            </w:r>
          </w:p>
        </w:tc>
      </w:tr>
      <w:tr>
        <w:trPr>
          <w:trHeight w:val="849"/>
        </w:trPr>
        <w:tc>
          <w:tcPr>
            <w:tcW w:w="2760" w:type="dxa"/>
            <w:vAlign w:val="bottom"/>
            <w:gridSpan w:val="4"/>
          </w:tcPr>
          <w:p>
            <w:pPr>
              <w:spacing w:after="0"/>
              <w:rPr>
                <w:sz w:val="20"/>
                <w:szCs w:val="20"/>
                <w:color w:val="auto"/>
              </w:rPr>
            </w:pPr>
            <w:r>
              <w:rPr>
                <w:rFonts w:ascii="Arial" w:cs="Arial" w:eastAsia="Arial" w:hAnsi="Arial"/>
                <w:sz w:val="14"/>
                <w:szCs w:val="14"/>
                <w:color w:val="auto"/>
              </w:rPr>
              <w:t>as of September 30, 2025</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68"/>
        </w:trPr>
        <w:tc>
          <w:tcPr>
            <w:tcW w:w="1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OFFICE</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9"/>
        </w:trPr>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188"/>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900"/>
              <w:spacing w:after="0"/>
              <w:rPr>
                <w:sz w:val="20"/>
                <w:szCs w:val="20"/>
                <w:color w:val="auto"/>
              </w:rPr>
            </w:pPr>
            <w:r>
              <w:rPr>
                <w:rFonts w:ascii="Arial" w:cs="Arial" w:eastAsia="Arial" w:hAnsi="Arial"/>
                <w:sz w:val="13"/>
                <w:szCs w:val="13"/>
                <w:b w:val="1"/>
                <w:bCs w:val="1"/>
                <w:color w:val="auto"/>
              </w:rPr>
              <w:t>BXP’s Share</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224"/>
        </w:trPr>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w:t>
            </w:r>
          </w:p>
        </w:tc>
        <w:tc>
          <w:tcPr>
            <w:tcW w:w="2440" w:type="dxa"/>
            <w:vAlign w:val="bottom"/>
            <w:gridSpan w:val="5"/>
          </w:tcPr>
          <w:p>
            <w:pPr>
              <w:ind w:left="40"/>
              <w:spacing w:after="0"/>
              <w:rPr>
                <w:sz w:val="20"/>
                <w:szCs w:val="20"/>
                <w:color w:val="auto"/>
              </w:rPr>
            </w:pPr>
            <w:r>
              <w:rPr>
                <w:rFonts w:ascii="Arial" w:cs="Arial" w:eastAsia="Arial" w:hAnsi="Arial"/>
                <w:sz w:val="13"/>
                <w:szCs w:val="13"/>
                <w:b w:val="1"/>
                <w:bCs w:val="1"/>
                <w:color w:val="auto"/>
              </w:rPr>
              <w:t>Annualized Rental Obligations Under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186"/>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Obligations Under Expiring Leases</w:t>
            </w:r>
          </w:p>
        </w:tc>
        <w:tc>
          <w:tcPr>
            <w:tcW w:w="180" w:type="dxa"/>
            <w:vAlign w:val="bottom"/>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Expiring Leases with future step-ups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Percentage of Total</w:t>
            </w:r>
          </w:p>
        </w:tc>
        <w:tc>
          <w:tcPr>
            <w:tcW w:w="380" w:type="dxa"/>
            <w:vAlign w:val="bottom"/>
          </w:tcPr>
          <w:p>
            <w:pPr>
              <w:spacing w:after="0"/>
              <w:rPr>
                <w:sz w:val="16"/>
                <w:szCs w:val="16"/>
                <w:color w:val="auto"/>
              </w:rPr>
            </w:pPr>
          </w:p>
        </w:tc>
      </w:tr>
      <w:tr>
        <w:trPr>
          <w:trHeight w:val="219"/>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80" w:type="dxa"/>
            <w:vAlign w:val="bottom"/>
            <w:tcBorders>
              <w:right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tcPr>
          <w:p>
            <w:pPr>
              <w:spacing w:after="0"/>
              <w:rPr>
                <w:sz w:val="19"/>
                <w:szCs w:val="19"/>
                <w:color w:val="auto"/>
              </w:rPr>
            </w:pPr>
          </w:p>
        </w:tc>
        <w:tc>
          <w:tcPr>
            <w:tcW w:w="118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Square Feet</w:t>
            </w:r>
          </w:p>
        </w:tc>
        <w:tc>
          <w:tcPr>
            <w:tcW w:w="380" w:type="dxa"/>
            <w:vAlign w:val="bottom"/>
          </w:tcPr>
          <w:p>
            <w:pPr>
              <w:spacing w:after="0"/>
              <w:rPr>
                <w:sz w:val="19"/>
                <w:szCs w:val="19"/>
                <w:color w:val="auto"/>
              </w:rPr>
            </w:pPr>
          </w:p>
        </w:tc>
      </w:tr>
      <w:tr>
        <w:trPr>
          <w:trHeight w:val="168"/>
        </w:trPr>
        <w:tc>
          <w:tcPr>
            <w:tcW w:w="1200" w:type="dxa"/>
            <w:vAlign w:val="bottom"/>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295,798</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243,386</w:t>
            </w:r>
          </w:p>
        </w:tc>
        <w:tc>
          <w:tcPr>
            <w:tcW w:w="160" w:type="dxa"/>
            <w:vAlign w:val="bottom"/>
          </w:tcPr>
          <w:p>
            <w:pPr>
              <w:spacing w:after="0"/>
              <w:rPr>
                <w:sz w:val="14"/>
                <w:szCs w:val="14"/>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18,608,901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76.46</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18,610,804</w:t>
            </w:r>
          </w:p>
        </w:tc>
        <w:tc>
          <w:tcPr>
            <w:tcW w:w="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76.47</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0.61 %</w:t>
            </w:r>
          </w:p>
        </w:tc>
        <w:tc>
          <w:tcPr>
            <w:tcW w:w="380" w:type="dxa"/>
            <w:vAlign w:val="bottom"/>
          </w:tcPr>
          <w:p>
            <w:pPr>
              <w:spacing w:after="0"/>
              <w:rPr>
                <w:sz w:val="14"/>
                <w:szCs w:val="14"/>
                <w:color w:val="auto"/>
              </w:rPr>
            </w:pPr>
          </w:p>
        </w:tc>
      </w:tr>
      <w:tr>
        <w:trPr>
          <w:trHeight w:val="283"/>
        </w:trPr>
        <w:tc>
          <w:tcPr>
            <w:tcW w:w="120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1,594,543</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1,403,577</w:t>
            </w:r>
          </w:p>
        </w:tc>
        <w:tc>
          <w:tcPr>
            <w:tcW w:w="16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105,655,990</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75.28</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108,176,242</w:t>
            </w:r>
          </w:p>
        </w:tc>
        <w:tc>
          <w:tcPr>
            <w:tcW w:w="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77.07</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3.50 %</w:t>
            </w:r>
          </w:p>
        </w:tc>
        <w:tc>
          <w:tcPr>
            <w:tcW w:w="380" w:type="dxa"/>
            <w:vAlign w:val="bottom"/>
          </w:tcPr>
          <w:p>
            <w:pPr>
              <w:spacing w:after="0"/>
              <w:rPr>
                <w:sz w:val="24"/>
                <w:szCs w:val="24"/>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1,941,938</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1,833,589</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135,239,999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73.76</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138,914,602</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75.76</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4.58 %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2,935,186</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2,301,497</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201,152,905</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87.40</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212,013,765</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92.12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5.74 %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3,696,659</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3,063,138</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231,359,395</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75.53</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245,352,899</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80.10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7.65 %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2,661,373</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2,530,429</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198,001,505</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78.25</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211,745,308</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83.68</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6.32 %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2,638,440</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2,432,521</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212,291,568</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87.27</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228,564,324</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93.96</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6.07 %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2,752,315</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2,470,842</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188,994,198</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76.49</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222,421,936</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90.02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6.17 %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3,060,150</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2,884,737</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236,834,208</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82.10</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273,747,789</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94.90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7.20 %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3,377,266</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2,834,605</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262,776,836</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92.70</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294,342,377</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103.84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7.08 %</w:t>
            </w:r>
          </w:p>
        </w:tc>
        <w:tc>
          <w:tcPr>
            <w:tcW w:w="380" w:type="dxa"/>
            <w:vAlign w:val="bottom"/>
          </w:tcPr>
          <w:p>
            <w:pPr>
              <w:spacing w:after="0"/>
              <w:rPr>
                <w:sz w:val="17"/>
                <w:szCs w:val="17"/>
                <w:color w:val="auto"/>
              </w:rPr>
            </w:pPr>
          </w:p>
        </w:tc>
      </w:tr>
      <w:tr>
        <w:trPr>
          <w:trHeight w:val="203"/>
        </w:trPr>
        <w:tc>
          <w:tcPr>
            <w:tcW w:w="138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200" w:type="dxa"/>
            <w:vAlign w:val="bottom"/>
          </w:tcPr>
          <w:p>
            <w:pPr>
              <w:jc w:val="right"/>
              <w:spacing w:after="0"/>
              <w:rPr>
                <w:sz w:val="20"/>
                <w:szCs w:val="20"/>
                <w:color w:val="auto"/>
              </w:rPr>
            </w:pPr>
            <w:r>
              <w:rPr>
                <w:rFonts w:ascii="Arial" w:cs="Arial" w:eastAsia="Arial" w:hAnsi="Arial"/>
                <w:sz w:val="14"/>
                <w:szCs w:val="14"/>
                <w:color w:val="auto"/>
              </w:rPr>
              <w:t>14,383,289</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11,567,947</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938,229,969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81.11</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1,139,127,134</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98.47</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28.88 %</w:t>
            </w:r>
          </w:p>
        </w:tc>
        <w:tc>
          <w:tcPr>
            <w:tcW w:w="380" w:type="dxa"/>
            <w:vAlign w:val="bottom"/>
          </w:tcPr>
          <w:p>
            <w:pPr>
              <w:spacing w:after="0"/>
              <w:rPr>
                <w:sz w:val="17"/>
                <w:szCs w:val="17"/>
                <w:color w:val="auto"/>
              </w:rPr>
            </w:pPr>
          </w:p>
        </w:tc>
      </w:tr>
      <w:tr>
        <w:trPr>
          <w:trHeight w:val="533"/>
        </w:trPr>
        <w:tc>
          <w:tcPr>
            <w:tcW w:w="1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0"/>
        </w:trPr>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gridSpan w:val="4"/>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188"/>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900"/>
              <w:spacing w:after="0"/>
              <w:rPr>
                <w:sz w:val="20"/>
                <w:szCs w:val="20"/>
                <w:color w:val="auto"/>
              </w:rPr>
            </w:pPr>
            <w:r>
              <w:rPr>
                <w:rFonts w:ascii="Arial" w:cs="Arial" w:eastAsia="Arial" w:hAnsi="Arial"/>
                <w:sz w:val="13"/>
                <w:szCs w:val="13"/>
                <w:b w:val="1"/>
                <w:bCs w:val="1"/>
                <w:color w:val="auto"/>
              </w:rPr>
              <w:t>BXP’s Share</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224"/>
        </w:trPr>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w:t>
            </w:r>
          </w:p>
        </w:tc>
        <w:tc>
          <w:tcPr>
            <w:tcW w:w="2440" w:type="dxa"/>
            <w:vAlign w:val="bottom"/>
            <w:gridSpan w:val="5"/>
          </w:tcPr>
          <w:p>
            <w:pPr>
              <w:ind w:left="20"/>
              <w:spacing w:after="0"/>
              <w:rPr>
                <w:sz w:val="20"/>
                <w:szCs w:val="20"/>
                <w:color w:val="auto"/>
              </w:rPr>
            </w:pPr>
            <w:r>
              <w:rPr>
                <w:rFonts w:ascii="Arial" w:cs="Arial" w:eastAsia="Arial" w:hAnsi="Arial"/>
                <w:sz w:val="13"/>
                <w:szCs w:val="13"/>
                <w:b w:val="1"/>
                <w:bCs w:val="1"/>
                <w:color w:val="auto"/>
              </w:rPr>
              <w:t>Annualized Rental Obligations Under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188"/>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Obligations Under Expiring Leases</w:t>
            </w:r>
          </w:p>
        </w:tc>
        <w:tc>
          <w:tcPr>
            <w:tcW w:w="180" w:type="dxa"/>
            <w:vAlign w:val="bottom"/>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Expiring Leases with future step-ups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Percentage of Total</w:t>
            </w:r>
          </w:p>
        </w:tc>
        <w:tc>
          <w:tcPr>
            <w:tcW w:w="380" w:type="dxa"/>
            <w:vAlign w:val="bottom"/>
          </w:tcPr>
          <w:p>
            <w:pPr>
              <w:spacing w:after="0"/>
              <w:rPr>
                <w:sz w:val="16"/>
                <w:szCs w:val="16"/>
                <w:color w:val="auto"/>
              </w:rPr>
            </w:pPr>
          </w:p>
        </w:tc>
      </w:tr>
      <w:tr>
        <w:trPr>
          <w:trHeight w:val="197"/>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80" w:type="dxa"/>
            <w:vAlign w:val="bottom"/>
            <w:tcBorders>
              <w:right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Square Feet</w:t>
            </w:r>
          </w:p>
        </w:tc>
        <w:tc>
          <w:tcPr>
            <w:tcW w:w="380" w:type="dxa"/>
            <w:vAlign w:val="bottom"/>
          </w:tcPr>
          <w:p>
            <w:pPr>
              <w:spacing w:after="0"/>
              <w:rPr>
                <w:sz w:val="17"/>
                <w:szCs w:val="17"/>
                <w:color w:val="auto"/>
              </w:rPr>
            </w:pPr>
          </w:p>
        </w:tc>
      </w:tr>
      <w:tr>
        <w:trPr>
          <w:trHeight w:val="188"/>
        </w:trPr>
        <w:tc>
          <w:tcPr>
            <w:tcW w:w="1200" w:type="dxa"/>
            <w:vAlign w:val="bottom"/>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13,181</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13,181</w:t>
            </w:r>
          </w:p>
        </w:tc>
        <w:tc>
          <w:tcPr>
            <w:tcW w:w="1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1,112,191</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84.38</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1,112,191</w:t>
            </w:r>
          </w:p>
        </w:tc>
        <w:tc>
          <w:tcPr>
            <w:tcW w:w="20" w:type="dxa"/>
            <w:vAlign w:val="bottom"/>
          </w:tcPr>
          <w:p>
            <w:pPr>
              <w:spacing w:after="0"/>
              <w:rPr>
                <w:sz w:val="16"/>
                <w:szCs w:val="16"/>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84.38</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0.54 %</w:t>
            </w:r>
          </w:p>
        </w:tc>
        <w:tc>
          <w:tcPr>
            <w:tcW w:w="380" w:type="dxa"/>
            <w:vAlign w:val="bottom"/>
          </w:tcPr>
          <w:p>
            <w:pPr>
              <w:spacing w:after="0"/>
              <w:rPr>
                <w:sz w:val="16"/>
                <w:szCs w:val="16"/>
                <w:color w:val="auto"/>
              </w:rPr>
            </w:pPr>
          </w:p>
        </w:tc>
      </w:tr>
      <w:tr>
        <w:trPr>
          <w:trHeight w:val="283"/>
        </w:trPr>
        <w:tc>
          <w:tcPr>
            <w:tcW w:w="120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98,762</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84,415</w:t>
            </w:r>
          </w:p>
        </w:tc>
        <w:tc>
          <w:tcPr>
            <w:tcW w:w="16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14,436,343</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171.02</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14,470,352</w:t>
            </w:r>
          </w:p>
        </w:tc>
        <w:tc>
          <w:tcPr>
            <w:tcW w:w="20" w:type="dxa"/>
            <w:vAlign w:val="bottom"/>
          </w:tcPr>
          <w:p>
            <w:pPr>
              <w:spacing w:after="0"/>
              <w:rPr>
                <w:sz w:val="24"/>
                <w:szCs w:val="24"/>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171.42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3.46 %</w:t>
            </w:r>
          </w:p>
        </w:tc>
        <w:tc>
          <w:tcPr>
            <w:tcW w:w="380" w:type="dxa"/>
            <w:vAlign w:val="bottom"/>
          </w:tcPr>
          <w:p>
            <w:pPr>
              <w:spacing w:after="0"/>
              <w:rPr>
                <w:sz w:val="24"/>
                <w:szCs w:val="24"/>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129,868</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115,779</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12,258,229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105.88</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12,391,124</w:t>
            </w:r>
          </w:p>
        </w:tc>
        <w:tc>
          <w:tcPr>
            <w:tcW w:w="2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107.02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4.75 %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93,498</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91,721</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9,574,304</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104.39</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9,834,055</w:t>
            </w:r>
          </w:p>
        </w:tc>
        <w:tc>
          <w:tcPr>
            <w:tcW w:w="2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107.22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3.76 %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177,656</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172,331</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18,113,074</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105.11</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18,941,575</w:t>
            </w:r>
          </w:p>
        </w:tc>
        <w:tc>
          <w:tcPr>
            <w:tcW w:w="2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109.91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7.07 %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171,340</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135,365</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12,555,309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92.75</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13,359,970</w:t>
            </w:r>
          </w:p>
        </w:tc>
        <w:tc>
          <w:tcPr>
            <w:tcW w:w="2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98.70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5.56 %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117,545</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103,368</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11,524,809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111.49</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12,527,392</w:t>
            </w:r>
          </w:p>
        </w:tc>
        <w:tc>
          <w:tcPr>
            <w:tcW w:w="2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121.19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4.24 %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99,134</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97,425</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7,356,661</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75.51</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8,428,775</w:t>
            </w:r>
          </w:p>
        </w:tc>
        <w:tc>
          <w:tcPr>
            <w:tcW w:w="2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86.52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4.00 %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464,245</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430,842</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31,701,912</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73.58</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52,372,169</w:t>
            </w:r>
          </w:p>
        </w:tc>
        <w:tc>
          <w:tcPr>
            <w:tcW w:w="2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121.56</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17.68 %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361,438</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264,966</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34,914,121</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131.77</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40,494,643</w:t>
            </w:r>
          </w:p>
        </w:tc>
        <w:tc>
          <w:tcPr>
            <w:tcW w:w="2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152.83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10.87 %</w:t>
            </w:r>
          </w:p>
        </w:tc>
        <w:tc>
          <w:tcPr>
            <w:tcW w:w="380" w:type="dxa"/>
            <w:vAlign w:val="bottom"/>
          </w:tcPr>
          <w:p>
            <w:pPr>
              <w:spacing w:after="0"/>
              <w:rPr>
                <w:sz w:val="17"/>
                <w:szCs w:val="17"/>
                <w:color w:val="auto"/>
              </w:rPr>
            </w:pPr>
          </w:p>
        </w:tc>
      </w:tr>
      <w:tr>
        <w:trPr>
          <w:trHeight w:val="203"/>
        </w:trPr>
        <w:tc>
          <w:tcPr>
            <w:tcW w:w="138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200" w:type="dxa"/>
            <w:vAlign w:val="bottom"/>
          </w:tcPr>
          <w:p>
            <w:pPr>
              <w:jc w:val="right"/>
              <w:spacing w:after="0"/>
              <w:rPr>
                <w:sz w:val="20"/>
                <w:szCs w:val="20"/>
                <w:color w:val="auto"/>
              </w:rPr>
            </w:pPr>
            <w:r>
              <w:rPr>
                <w:rFonts w:ascii="Arial" w:cs="Arial" w:eastAsia="Arial" w:hAnsi="Arial"/>
                <w:sz w:val="14"/>
                <w:szCs w:val="14"/>
                <w:color w:val="auto"/>
              </w:rPr>
              <w:t>515,820</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425,727</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48,283,861</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113.42</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46,350,940</w:t>
            </w:r>
          </w:p>
        </w:tc>
        <w:tc>
          <w:tcPr>
            <w:tcW w:w="2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Arial" w:cs="Arial" w:eastAsia="Arial" w:hAnsi="Arial"/>
                <w:sz w:val="14"/>
                <w:szCs w:val="14"/>
                <w:color w:val="auto"/>
              </w:rPr>
              <w:t>108.87</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17.47 %</w:t>
            </w:r>
          </w:p>
        </w:tc>
        <w:tc>
          <w:tcPr>
            <w:tcW w:w="380" w:type="dxa"/>
            <w:vAlign w:val="bottom"/>
          </w:tcPr>
          <w:p>
            <w:pPr>
              <w:spacing w:after="0"/>
              <w:rPr>
                <w:sz w:val="17"/>
                <w:szCs w:val="17"/>
                <w:color w:val="auto"/>
              </w:rPr>
            </w:pPr>
          </w:p>
        </w:tc>
      </w:tr>
      <w:tr>
        <w:trPr>
          <w:trHeight w:val="533"/>
        </w:trPr>
        <w:tc>
          <w:tcPr>
            <w:tcW w:w="27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IN-SERVICE PROPERTIES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0"/>
        </w:trPr>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gridSpan w:val="4"/>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188"/>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900"/>
              <w:spacing w:after="0"/>
              <w:rPr>
                <w:sz w:val="20"/>
                <w:szCs w:val="20"/>
                <w:color w:val="auto"/>
              </w:rPr>
            </w:pPr>
            <w:r>
              <w:rPr>
                <w:rFonts w:ascii="Arial" w:cs="Arial" w:eastAsia="Arial" w:hAnsi="Arial"/>
                <w:sz w:val="13"/>
                <w:szCs w:val="13"/>
                <w:b w:val="1"/>
                <w:bCs w:val="1"/>
                <w:color w:val="auto"/>
              </w:rPr>
              <w:t>BXP’s Share</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224"/>
        </w:trPr>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w:t>
            </w:r>
          </w:p>
        </w:tc>
        <w:tc>
          <w:tcPr>
            <w:tcW w:w="2440" w:type="dxa"/>
            <w:vAlign w:val="bottom"/>
            <w:gridSpan w:val="5"/>
          </w:tcPr>
          <w:p>
            <w:pPr>
              <w:ind w:left="40"/>
              <w:spacing w:after="0"/>
              <w:rPr>
                <w:sz w:val="20"/>
                <w:szCs w:val="20"/>
                <w:color w:val="auto"/>
              </w:rPr>
            </w:pPr>
            <w:r>
              <w:rPr>
                <w:rFonts w:ascii="Arial" w:cs="Arial" w:eastAsia="Arial" w:hAnsi="Arial"/>
                <w:sz w:val="13"/>
                <w:szCs w:val="13"/>
                <w:b w:val="1"/>
                <w:bCs w:val="1"/>
                <w:color w:val="auto"/>
              </w:rPr>
              <w:t>Annualized Rental Obligations Under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188"/>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Obligations Under Expiring Leases</w:t>
            </w:r>
          </w:p>
        </w:tc>
        <w:tc>
          <w:tcPr>
            <w:tcW w:w="180" w:type="dxa"/>
            <w:vAlign w:val="bottom"/>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Expiring Leases with future step-ups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Percentage of Total</w:t>
            </w:r>
          </w:p>
        </w:tc>
        <w:tc>
          <w:tcPr>
            <w:tcW w:w="380" w:type="dxa"/>
            <w:vAlign w:val="bottom"/>
          </w:tcPr>
          <w:p>
            <w:pPr>
              <w:spacing w:after="0"/>
              <w:rPr>
                <w:sz w:val="16"/>
                <w:szCs w:val="16"/>
                <w:color w:val="auto"/>
              </w:rPr>
            </w:pPr>
          </w:p>
        </w:tc>
      </w:tr>
      <w:tr>
        <w:trPr>
          <w:trHeight w:val="217"/>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80" w:type="dxa"/>
            <w:vAlign w:val="bottom"/>
            <w:tcBorders>
              <w:right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Square Feet</w:t>
            </w:r>
          </w:p>
        </w:tc>
        <w:tc>
          <w:tcPr>
            <w:tcW w:w="380" w:type="dxa"/>
            <w:vAlign w:val="bottom"/>
          </w:tcPr>
          <w:p>
            <w:pPr>
              <w:spacing w:after="0"/>
              <w:rPr>
                <w:sz w:val="18"/>
                <w:szCs w:val="18"/>
                <w:color w:val="auto"/>
              </w:rPr>
            </w:pPr>
          </w:p>
        </w:tc>
      </w:tr>
      <w:tr>
        <w:trPr>
          <w:trHeight w:val="168"/>
        </w:trPr>
        <w:tc>
          <w:tcPr>
            <w:tcW w:w="1200" w:type="dxa"/>
            <w:vAlign w:val="bottom"/>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308,979</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256,567</w:t>
            </w:r>
          </w:p>
        </w:tc>
        <w:tc>
          <w:tcPr>
            <w:tcW w:w="160" w:type="dxa"/>
            <w:vAlign w:val="bottom"/>
          </w:tcPr>
          <w:p>
            <w:pPr>
              <w:spacing w:after="0"/>
              <w:rPr>
                <w:sz w:val="14"/>
                <w:szCs w:val="14"/>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19,721,092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76.87</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19,722,995</w:t>
            </w:r>
          </w:p>
        </w:tc>
        <w:tc>
          <w:tcPr>
            <w:tcW w:w="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76.87</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0.60 %</w:t>
            </w:r>
          </w:p>
        </w:tc>
        <w:tc>
          <w:tcPr>
            <w:tcW w:w="380" w:type="dxa"/>
            <w:vAlign w:val="bottom"/>
          </w:tcPr>
          <w:p>
            <w:pPr>
              <w:spacing w:after="0"/>
              <w:rPr>
                <w:sz w:val="14"/>
                <w:szCs w:val="14"/>
                <w:color w:val="auto"/>
              </w:rPr>
            </w:pPr>
          </w:p>
        </w:tc>
      </w:tr>
      <w:tr>
        <w:trPr>
          <w:trHeight w:val="283"/>
        </w:trPr>
        <w:tc>
          <w:tcPr>
            <w:tcW w:w="120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1,693,305</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1,487,992</w:t>
            </w:r>
          </w:p>
        </w:tc>
        <w:tc>
          <w:tcPr>
            <w:tcW w:w="16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120,092,333</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80.71</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122,646,594</w:t>
            </w:r>
          </w:p>
        </w:tc>
        <w:tc>
          <w:tcPr>
            <w:tcW w:w="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82.42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3.50 %</w:t>
            </w:r>
          </w:p>
        </w:tc>
        <w:tc>
          <w:tcPr>
            <w:tcW w:w="380" w:type="dxa"/>
            <w:vAlign w:val="bottom"/>
          </w:tcPr>
          <w:p>
            <w:pPr>
              <w:spacing w:after="0"/>
              <w:rPr>
                <w:sz w:val="24"/>
                <w:szCs w:val="24"/>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2,071,806</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1,949,368</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147,498,228</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75.66</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151,305,726</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77.62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4.59 %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3,028,684</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2,393,218</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210,727,209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88.05</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221,847,820</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92.70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5.63 %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3,874,315</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3,235,469</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249,472,469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77.11</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264,294,474</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81.69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7.61 %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2,832,713</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2,665,794</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210,556,814</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78.98</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225,105,278</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84.44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6.27 %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2,755,985</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2,535,889</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223,816,377</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88.26</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241,091,716</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95.07</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5.97 %</w:t>
            </w:r>
          </w:p>
        </w:tc>
        <w:tc>
          <w:tcPr>
            <w:tcW w:w="380" w:type="dxa"/>
            <w:vAlign w:val="bottom"/>
          </w:tcPr>
          <w:p>
            <w:pPr>
              <w:spacing w:after="0"/>
              <w:rPr>
                <w:sz w:val="17"/>
                <w:szCs w:val="17"/>
                <w:color w:val="auto"/>
              </w:rPr>
            </w:pPr>
          </w:p>
        </w:tc>
      </w:tr>
      <w:tr>
        <w:trPr>
          <w:trHeight w:val="202"/>
        </w:trPr>
        <w:tc>
          <w:tcPr>
            <w:tcW w:w="120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2,851,449</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2,568,267</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196,350,859</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76.45</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230,850,711</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89.89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6.04 %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3,524,395</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3,315,579</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268,536,120</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80.99</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326,119,958</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98.36</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7.80 %</w:t>
            </w:r>
          </w:p>
        </w:tc>
        <w:tc>
          <w:tcPr>
            <w:tcW w:w="380" w:type="dxa"/>
            <w:vAlign w:val="bottom"/>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3,738,704</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3,099,571</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297,690,957</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96.04</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334,837,020</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108.03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7.29 %</w:t>
            </w:r>
          </w:p>
        </w:tc>
        <w:tc>
          <w:tcPr>
            <w:tcW w:w="380" w:type="dxa"/>
            <w:vAlign w:val="bottom"/>
          </w:tcPr>
          <w:p>
            <w:pPr>
              <w:spacing w:after="0"/>
              <w:rPr>
                <w:sz w:val="17"/>
                <w:szCs w:val="17"/>
                <w:color w:val="auto"/>
              </w:rPr>
            </w:pPr>
          </w:p>
        </w:tc>
      </w:tr>
      <w:tr>
        <w:trPr>
          <w:trHeight w:val="203"/>
        </w:trPr>
        <w:tc>
          <w:tcPr>
            <w:tcW w:w="138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200" w:type="dxa"/>
            <w:vAlign w:val="bottom"/>
          </w:tcPr>
          <w:p>
            <w:pPr>
              <w:jc w:val="right"/>
              <w:spacing w:after="0"/>
              <w:rPr>
                <w:sz w:val="20"/>
                <w:szCs w:val="20"/>
                <w:color w:val="auto"/>
              </w:rPr>
            </w:pPr>
            <w:r>
              <w:rPr>
                <w:rFonts w:ascii="Arial" w:cs="Arial" w:eastAsia="Arial" w:hAnsi="Arial"/>
                <w:sz w:val="14"/>
                <w:szCs w:val="14"/>
                <w:color w:val="auto"/>
              </w:rPr>
              <w:t>14,899,109</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11,993,674</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986,513,830</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82.25</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1,185,478,074</w:t>
            </w:r>
          </w:p>
        </w:tc>
        <w:tc>
          <w:tcPr>
            <w:tcW w:w="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98.84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28.22 %</w:t>
            </w:r>
          </w:p>
        </w:tc>
        <w:tc>
          <w:tcPr>
            <w:tcW w:w="3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-8027035</wp:posOffset>
            </wp:positionV>
            <wp:extent cx="257175"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4"/>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265" w:right="339" w:bottom="1440" w:gutter="0" w:footer="0" w:header="0"/>
          <w:type w:val="continuous"/>
        </w:sectPr>
      </w:pPr>
    </w:p>
    <w:bookmarkStart w:id="46" w:name="page47"/>
    <w:bookmarkEnd w:id="46"/>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Boston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224"/>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28"/>
              <w:spacing w:after="0"/>
              <w:rPr>
                <w:sz w:val="20"/>
                <w:szCs w:val="20"/>
                <w:color w:val="auto"/>
              </w:rPr>
            </w:pPr>
            <w:r>
              <w:rPr>
                <w:rFonts w:ascii="Arial" w:cs="Arial" w:eastAsia="Arial" w:hAnsi="Arial"/>
                <w:sz w:val="13"/>
                <w:szCs w:val="13"/>
                <w:b w:val="1"/>
                <w:bCs w:val="1"/>
                <w:color w:val="auto"/>
              </w:rPr>
              <w:t>$/PSF</w:t>
            </w:r>
          </w:p>
        </w:tc>
      </w:tr>
      <w:tr>
        <w:trPr>
          <w:trHeight w:val="188"/>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42,596</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42,596</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2,060,573</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48.37</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2,060,573</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48.37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382,431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331,659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22,913,895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69.09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23,213,404</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69.99</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475,106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466,246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34,350,986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73.68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35,107,291</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75.30</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886,507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861,278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83,027,254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96.40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87,818,498</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101.96</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1,186,291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1,052,805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72,742,468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69.09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77,365,594</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73.49</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1,291,831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1,275,952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91,885,973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72.01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97,276,853</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76.24</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676,899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609,006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41,536,822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68.20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44,863,127</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73.67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1,019,296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1,019,296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80,028,426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78.51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98,043,321</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96.19</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650,249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624,826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51,447,039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82.34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59,310,730</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94.92</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1,427,022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1,278,225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110,993,081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86.83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124,685,920</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97.55</w:t>
            </w:r>
          </w:p>
        </w:tc>
      </w:tr>
      <w:tr>
        <w:trPr>
          <w:trHeight w:val="203"/>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4,879,901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3,948,359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326,616,353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82.72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410,438,113</w:t>
            </w:r>
          </w:p>
        </w:tc>
        <w:tc>
          <w:tcPr>
            <w:tcW w:w="16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103.95</w:t>
            </w:r>
          </w:p>
        </w:tc>
      </w:tr>
      <w:tr>
        <w:trPr>
          <w:trHeight w:val="533"/>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3,774</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3,774</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620,191</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164.33</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620,191</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164.33</w:t>
            </w:r>
          </w:p>
        </w:tc>
      </w:tr>
      <w:tr>
        <w:trPr>
          <w:trHeight w:val="28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29,065</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28,750</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3,337,044</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116.07</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3,353,731</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116.65</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54,187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47,873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8,216,445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171.63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8,288,448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173.14</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38,825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38,825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5,765,396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148.50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5,892,852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151.78</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76,098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75,423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10,032,875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133.02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10,286,533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136.38</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98,923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62,948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6,355,829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100.97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6,586,569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104.64</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14,668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14,668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1,196,760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81.59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1,292,196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88.10</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57,916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57,325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4,366,643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76.17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4,988,975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87.03</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287,788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254,385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21,337,445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83.88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41,404,589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162.76</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164,155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131,856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10,960,882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83.13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12,040,392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91.32</w:t>
            </w:r>
          </w:p>
        </w:tc>
      </w:tr>
      <w:tr>
        <w:trPr>
          <w:trHeight w:val="203"/>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187,499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176,988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14,723,551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83.19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16,419,533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92.77</w:t>
            </w:r>
          </w:p>
        </w:tc>
      </w:tr>
      <w:tr>
        <w:trPr>
          <w:trHeight w:val="533"/>
        </w:trPr>
        <w:tc>
          <w:tcPr>
            <w:tcW w:w="30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46,370</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46,370</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2,680,764</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57.81</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2,680,764</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57.81</w:t>
            </w:r>
          </w:p>
        </w:tc>
      </w:tr>
      <w:tr>
        <w:trPr>
          <w:trHeight w:val="284"/>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411,496</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360,409</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26,250,939</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72.84</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26,567,135</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73.71</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529,293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514,119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42,567,431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82.80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43,395,739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84.41</w:t>
            </w: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925,332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900,103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88,792,650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98.65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93,711,350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104.11</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1,262,389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1,128,228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82,775,343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73.37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87,652,127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77.69</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1,390,754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1,338,900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98,241,802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73.38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103,863,422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77.57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691,567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623,674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42,733,582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68.52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46,155,323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74.01</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1,077,212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1,076,621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84,395,069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78.39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103,032,296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95.70</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938,037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879,211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72,784,484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82.78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100,715,319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114.55</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1,591,177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1,410,081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121,953,963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86.49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136,726,312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96.96</w:t>
            </w:r>
          </w:p>
        </w:tc>
      </w:tr>
      <w:tr>
        <w:trPr>
          <w:trHeight w:val="202"/>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5,067,400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4,125,347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341,339,904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82.74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426,857,646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103.47</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5"/>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265" w:right="339" w:bottom="1440" w:gutter="0" w:footer="0" w:header="0"/>
          <w:type w:val="continuous"/>
        </w:sectPr>
      </w:pPr>
    </w:p>
    <w:bookmarkStart w:id="47" w:name="page48"/>
    <w:bookmarkEnd w:id="47"/>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Boston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BXP’s Share</w:t>
            </w:r>
          </w:p>
        </w:tc>
        <w:tc>
          <w:tcPr>
            <w:tcW w:w="14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0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42,596</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42,596</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2,060,573</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48.37</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2,060,573</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48.37</w:t>
            </w:r>
          </w:p>
        </w:tc>
        <w:tc>
          <w:tcPr>
            <w:tcW w:w="0" w:type="dxa"/>
            <w:vAlign w:val="bottom"/>
          </w:tcPr>
          <w:p>
            <w:pPr>
              <w:spacing w:after="0"/>
              <w:rPr>
                <w:sz w:val="1"/>
                <w:szCs w:val="1"/>
                <w:color w:val="auto"/>
              </w:rPr>
            </w:pPr>
          </w:p>
        </w:tc>
      </w:tr>
      <w:tr>
        <w:trPr>
          <w:trHeight w:val="200"/>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42,596</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42,596</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2,060,573</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48.37</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2,060,573</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420" w:type="dxa"/>
            <w:vAlign w:val="bottom"/>
          </w:tcPr>
          <w:p>
            <w:pPr>
              <w:jc w:val="right"/>
              <w:spacing w:after="0"/>
              <w:rPr>
                <w:sz w:val="20"/>
                <w:szCs w:val="20"/>
                <w:color w:val="auto"/>
              </w:rPr>
            </w:pPr>
            <w:r>
              <w:rPr>
                <w:rFonts w:ascii="Arial" w:cs="Arial" w:eastAsia="Arial" w:hAnsi="Arial"/>
                <w:sz w:val="14"/>
                <w:szCs w:val="14"/>
                <w:color w:val="auto"/>
              </w:rPr>
              <w:t>92,806</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87,407</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5,743,209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65.71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5,743,209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65.71</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420" w:type="dxa"/>
            <w:vAlign w:val="bottom"/>
          </w:tcPr>
          <w:p>
            <w:pPr>
              <w:jc w:val="right"/>
              <w:spacing w:after="0"/>
              <w:rPr>
                <w:sz w:val="20"/>
                <w:szCs w:val="20"/>
                <w:color w:val="auto"/>
              </w:rPr>
            </w:pPr>
            <w:r>
              <w:rPr>
                <w:rFonts w:ascii="Arial" w:cs="Arial" w:eastAsia="Arial" w:hAnsi="Arial"/>
                <w:sz w:val="14"/>
                <w:szCs w:val="14"/>
                <w:color w:val="auto"/>
              </w:rPr>
              <w:t>71,316</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45,106</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2,957,267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3,159,837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70.05</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420" w:type="dxa"/>
            <w:vAlign w:val="bottom"/>
          </w:tcPr>
          <w:p>
            <w:pPr>
              <w:jc w:val="right"/>
              <w:spacing w:after="0"/>
              <w:rPr>
                <w:sz w:val="20"/>
                <w:szCs w:val="20"/>
                <w:color w:val="auto"/>
              </w:rPr>
            </w:pPr>
            <w:r>
              <w:rPr>
                <w:rFonts w:ascii="Arial" w:cs="Arial" w:eastAsia="Arial" w:hAnsi="Arial"/>
                <w:sz w:val="14"/>
                <w:szCs w:val="14"/>
                <w:color w:val="auto"/>
              </w:rPr>
              <w:t>87,899</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75,233</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5,248,340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69.76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5,248,341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69.76</w:t>
            </w:r>
          </w:p>
        </w:tc>
        <w:tc>
          <w:tcPr>
            <w:tcW w:w="0" w:type="dxa"/>
            <w:vAlign w:val="bottom"/>
          </w:tcPr>
          <w:p>
            <w:pPr>
              <w:spacing w:after="0"/>
              <w:rPr>
                <w:sz w:val="1"/>
                <w:szCs w:val="1"/>
                <w:color w:val="auto"/>
              </w:rPr>
            </w:pPr>
          </w:p>
        </w:tc>
      </w:tr>
      <w:tr>
        <w:trPr>
          <w:trHeight w:val="207"/>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130,410</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123,914</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8,965,080</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9,062,018</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73.13</w:t>
            </w:r>
          </w:p>
        </w:tc>
        <w:tc>
          <w:tcPr>
            <w:tcW w:w="0" w:type="dxa"/>
            <w:vAlign w:val="bottom"/>
          </w:tcPr>
          <w:p>
            <w:pPr>
              <w:spacing w:after="0"/>
              <w:rPr>
                <w:sz w:val="1"/>
                <w:szCs w:val="1"/>
                <w:color w:val="auto"/>
              </w:rPr>
            </w:pPr>
          </w:p>
        </w:tc>
      </w:tr>
      <w:tr>
        <w:trPr>
          <w:trHeight w:val="200"/>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382,431</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331,659</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22,913,895</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69.09</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23,213,404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69.99</w:t>
            </w:r>
          </w:p>
        </w:tc>
        <w:tc>
          <w:tcPr>
            <w:tcW w:w="0" w:type="dxa"/>
            <w:vAlign w:val="bottom"/>
          </w:tcPr>
          <w:p>
            <w:pPr>
              <w:spacing w:after="0"/>
              <w:rPr>
                <w:sz w:val="1"/>
                <w:szCs w:val="1"/>
                <w:color w:val="auto"/>
              </w:rPr>
            </w:pPr>
          </w:p>
        </w:tc>
      </w:tr>
      <w:tr>
        <w:trPr>
          <w:trHeight w:val="21"/>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15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4"/>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BXP’s Share</w:t>
            </w: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42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15"/>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620,191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620,191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164.33</w:t>
            </w:r>
          </w:p>
        </w:tc>
        <w:tc>
          <w:tcPr>
            <w:tcW w:w="0" w:type="dxa"/>
            <w:vAlign w:val="bottom"/>
          </w:tcPr>
          <w:p>
            <w:pPr>
              <w:spacing w:after="0"/>
              <w:rPr>
                <w:sz w:val="1"/>
                <w:szCs w:val="1"/>
                <w:color w:val="auto"/>
              </w:rPr>
            </w:pPr>
          </w:p>
        </w:tc>
      </w:tr>
      <w:tr>
        <w:trPr>
          <w:trHeight w:val="200"/>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620,191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620,191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164.33</w:t>
            </w: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420" w:type="dxa"/>
            <w:vAlign w:val="bottom"/>
          </w:tcPr>
          <w:p>
            <w:pPr>
              <w:jc w:val="right"/>
              <w:spacing w:after="0"/>
              <w:rPr>
                <w:sz w:val="20"/>
                <w:szCs w:val="20"/>
                <w:color w:val="auto"/>
              </w:rPr>
            </w:pPr>
            <w:r>
              <w:rPr>
                <w:rFonts w:ascii="Arial" w:cs="Arial" w:eastAsia="Arial" w:hAnsi="Arial"/>
                <w:sz w:val="14"/>
                <w:szCs w:val="14"/>
                <w:color w:val="auto"/>
              </w:rPr>
              <w:t>7,384</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7,384</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731,635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99.08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731,635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99.08</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420" w:type="dxa"/>
            <w:vAlign w:val="bottom"/>
          </w:tcPr>
          <w:p>
            <w:pPr>
              <w:jc w:val="right"/>
              <w:spacing w:after="0"/>
              <w:rPr>
                <w:sz w:val="20"/>
                <w:szCs w:val="20"/>
                <w:color w:val="auto"/>
              </w:rPr>
            </w:pPr>
            <w:r>
              <w:rPr>
                <w:rFonts w:ascii="Arial" w:cs="Arial" w:eastAsia="Arial" w:hAnsi="Arial"/>
                <w:sz w:val="14"/>
                <w:szCs w:val="14"/>
                <w:color w:val="auto"/>
              </w:rPr>
              <w:t>18,831</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18,516</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1,797,905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97.10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1,797,905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97.10</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420" w:type="dxa"/>
            <w:vAlign w:val="bottom"/>
          </w:tcPr>
          <w:p>
            <w:pPr>
              <w:jc w:val="right"/>
              <w:spacing w:after="0"/>
              <w:rPr>
                <w:sz w:val="20"/>
                <w:szCs w:val="20"/>
                <w:color w:val="auto"/>
              </w:rPr>
            </w:pPr>
            <w:r>
              <w:rPr>
                <w:rFonts w:ascii="Arial" w:cs="Arial" w:eastAsia="Arial" w:hAnsi="Arial"/>
                <w:sz w:val="14"/>
                <w:szCs w:val="14"/>
                <w:color w:val="auto"/>
              </w:rPr>
              <w:t>959</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959</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15,000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207"/>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792,504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419.09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809,191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427.92</w:t>
            </w:r>
          </w:p>
        </w:tc>
        <w:tc>
          <w:tcPr>
            <w:tcW w:w="0" w:type="dxa"/>
            <w:vAlign w:val="bottom"/>
          </w:tcPr>
          <w:p>
            <w:pPr>
              <w:spacing w:after="0"/>
              <w:rPr>
                <w:sz w:val="1"/>
                <w:szCs w:val="1"/>
                <w:color w:val="auto"/>
              </w:rPr>
            </w:pPr>
          </w:p>
        </w:tc>
      </w:tr>
      <w:tr>
        <w:trPr>
          <w:trHeight w:val="200"/>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29,065</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28,750</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3,337,044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3,353,731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116.65</w:t>
            </w: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32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BXP’s Share</w:t>
            </w: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0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46,370</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46,370</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2,680,764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57.81</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2,680,764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57.81</w:t>
            </w:r>
          </w:p>
        </w:tc>
        <w:tc>
          <w:tcPr>
            <w:tcW w:w="0" w:type="dxa"/>
            <w:vAlign w:val="bottom"/>
          </w:tcPr>
          <w:p>
            <w:pPr>
              <w:spacing w:after="0"/>
              <w:rPr>
                <w:sz w:val="1"/>
                <w:szCs w:val="1"/>
                <w:color w:val="auto"/>
              </w:rPr>
            </w:pPr>
          </w:p>
        </w:tc>
      </w:tr>
      <w:tr>
        <w:trPr>
          <w:trHeight w:val="200"/>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46,370</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46,370</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2,680,764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57.81</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2,680,764</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57.81</w:t>
            </w:r>
          </w:p>
        </w:tc>
        <w:tc>
          <w:tcPr>
            <w:tcW w:w="0" w:type="dxa"/>
            <w:vAlign w:val="bottom"/>
          </w:tcPr>
          <w:p>
            <w:pPr>
              <w:spacing w:after="0"/>
              <w:rPr>
                <w:sz w:val="1"/>
                <w:szCs w:val="1"/>
                <w:color w:val="auto"/>
              </w:rPr>
            </w:pPr>
          </w:p>
        </w:tc>
      </w:tr>
      <w:tr>
        <w:trPr>
          <w:trHeight w:val="21"/>
        </w:trPr>
        <w:tc>
          <w:tcPr>
            <w:tcW w:w="158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420" w:type="dxa"/>
            <w:vAlign w:val="bottom"/>
          </w:tcPr>
          <w:p>
            <w:pPr>
              <w:jc w:val="right"/>
              <w:spacing w:after="0"/>
              <w:rPr>
                <w:sz w:val="20"/>
                <w:szCs w:val="20"/>
                <w:color w:val="auto"/>
              </w:rPr>
            </w:pPr>
            <w:r>
              <w:rPr>
                <w:rFonts w:ascii="Arial" w:cs="Arial" w:eastAsia="Arial" w:hAnsi="Arial"/>
                <w:sz w:val="14"/>
                <w:szCs w:val="14"/>
                <w:color w:val="auto"/>
              </w:rPr>
              <w:t>100,190</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94,791</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6,474,844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6,474,844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68.31</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420" w:type="dxa"/>
            <w:vAlign w:val="bottom"/>
          </w:tcPr>
          <w:p>
            <w:pPr>
              <w:jc w:val="right"/>
              <w:spacing w:after="0"/>
              <w:rPr>
                <w:sz w:val="20"/>
                <w:szCs w:val="20"/>
                <w:color w:val="auto"/>
              </w:rPr>
            </w:pPr>
            <w:r>
              <w:rPr>
                <w:rFonts w:ascii="Arial" w:cs="Arial" w:eastAsia="Arial" w:hAnsi="Arial"/>
                <w:sz w:val="14"/>
                <w:szCs w:val="14"/>
                <w:color w:val="auto"/>
              </w:rPr>
              <w:t>90,147</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63,622</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4,755,172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74.74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4,957,742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77.92</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420" w:type="dxa"/>
            <w:vAlign w:val="bottom"/>
          </w:tcPr>
          <w:p>
            <w:pPr>
              <w:jc w:val="right"/>
              <w:spacing w:after="0"/>
              <w:rPr>
                <w:sz w:val="20"/>
                <w:szCs w:val="20"/>
                <w:color w:val="auto"/>
              </w:rPr>
            </w:pPr>
            <w:r>
              <w:rPr>
                <w:rFonts w:ascii="Arial" w:cs="Arial" w:eastAsia="Arial" w:hAnsi="Arial"/>
                <w:sz w:val="14"/>
                <w:szCs w:val="14"/>
                <w:color w:val="auto"/>
              </w:rPr>
              <w:t>88,858</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76,192</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5,263,340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5,263,341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69.08</w:t>
            </w:r>
          </w:p>
        </w:tc>
        <w:tc>
          <w:tcPr>
            <w:tcW w:w="0" w:type="dxa"/>
            <w:vAlign w:val="bottom"/>
          </w:tcPr>
          <w:p>
            <w:pPr>
              <w:spacing w:after="0"/>
              <w:rPr>
                <w:sz w:val="1"/>
                <w:szCs w:val="1"/>
                <w:color w:val="auto"/>
              </w:rPr>
            </w:pPr>
          </w:p>
        </w:tc>
      </w:tr>
      <w:tr>
        <w:trPr>
          <w:trHeight w:val="20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132,301</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125,805</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9,757,584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77.56</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9,871,209</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78.46</w:t>
            </w:r>
          </w:p>
        </w:tc>
        <w:tc>
          <w:tcPr>
            <w:tcW w:w="0" w:type="dxa"/>
            <w:vAlign w:val="bottom"/>
          </w:tcPr>
          <w:p>
            <w:pPr>
              <w:spacing w:after="0"/>
              <w:rPr>
                <w:sz w:val="1"/>
                <w:szCs w:val="1"/>
                <w:color w:val="auto"/>
              </w:rPr>
            </w:pPr>
          </w:p>
        </w:tc>
      </w:tr>
      <w:tr>
        <w:trPr>
          <w:trHeight w:val="200"/>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411,496</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360,409</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26,250,939</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26,567,135</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73.71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12"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ind w:left="80" w:right="200" w:hanging="81"/>
        <w:spacing w:after="0" w:line="279" w:lineRule="auto"/>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092" w:gutter="0" w:footer="0" w:header="0"/>
        </w:sectPr>
      </w:pPr>
    </w:p>
    <w:p>
      <w:pPr>
        <w:spacing w:after="0" w:line="200" w:lineRule="exact"/>
        <w:rPr>
          <w:sz w:val="20"/>
          <w:szCs w:val="20"/>
          <w:color w:val="auto"/>
        </w:rPr>
      </w:pPr>
    </w:p>
    <w:p>
      <w:pPr>
        <w:spacing w:after="0" w:line="2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265" w:right="339" w:bottom="1092" w:gutter="0" w:footer="0" w:header="0"/>
          <w:type w:val="continuous"/>
        </w:sectPr>
      </w:pPr>
    </w:p>
    <w:bookmarkStart w:id="48" w:name="page49"/>
    <w:bookmarkEnd w:id="48"/>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Los Angeles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224"/>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$/PSF</w:t>
            </w:r>
          </w:p>
        </w:tc>
        <w:tc>
          <w:tcPr>
            <w:tcW w:w="1620" w:type="dxa"/>
            <w:vAlign w:val="bottom"/>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51,290</w:t>
            </w: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66.96</w:t>
            </w:r>
          </w:p>
        </w:tc>
        <w:tc>
          <w:tcPr>
            <w:tcW w:w="180" w:type="dxa"/>
            <w:vAlign w:val="bottom"/>
          </w:tcPr>
          <w:p>
            <w:pPr>
              <w:spacing w:after="0"/>
              <w:rPr>
                <w:sz w:val="16"/>
                <w:szCs w:val="16"/>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51,290</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66.96</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166,991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166,991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11,526,583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69.03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11,533,311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69.07</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7,367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7,367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305,388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41.45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316,294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42.93</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299,852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202,055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15,784,916</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78.12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17,135,800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84.81</w:t>
            </w:r>
          </w:p>
        </w:tc>
      </w:tr>
      <w:tr>
        <w:trPr>
          <w:trHeight w:val="202"/>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417,056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242,100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17,519,838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72.37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19,514,626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80.61</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54,433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54,433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3,327,633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61.13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3,873,202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71.16</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7,752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7,752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540,350</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69.70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638,831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82.41</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246,667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127,701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10,876,902</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85.18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13,253,593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103.79</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186,894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93,447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6,578,697</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70.40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11,108,262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118.87</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3,739</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236,697</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63.30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299,537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80.11</w:t>
            </w:r>
          </w:p>
        </w:tc>
      </w:tr>
      <w:tr>
        <w:trPr>
          <w:trHeight w:val="203"/>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494,641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494,641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38,649,280</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78.14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45,954,721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92.91</w:t>
            </w:r>
          </w:p>
        </w:tc>
      </w:tr>
      <w:tr>
        <w:trPr>
          <w:trHeight w:val="533"/>
        </w:trPr>
        <w:tc>
          <w:tcPr>
            <w:tcW w:w="1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$/PSF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480" w:type="dxa"/>
            <w:vAlign w:val="bottom"/>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19,188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9,594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135,600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14.13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135,600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14.13</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38,118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38,118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2,313,480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60.69</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2,504,232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65.70</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11,364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11,364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1,333,803</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117.37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1,445,678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127.22</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19,993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9,997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248,448</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24.85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248,448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24.85</w:t>
            </w:r>
          </w:p>
        </w:tc>
      </w:tr>
      <w:tr>
        <w:trPr>
          <w:trHeight w:val="203"/>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13,870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13,870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1,308,795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94.36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1,420,420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102.41</w:t>
            </w:r>
          </w:p>
        </w:tc>
      </w:tr>
      <w:tr>
        <w:trPr>
          <w:trHeight w:val="533"/>
        </w:trPr>
        <w:tc>
          <w:tcPr>
            <w:tcW w:w="3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$/PSF</w:t>
            </w:r>
          </w:p>
        </w:tc>
        <w:tc>
          <w:tcPr>
            <w:tcW w:w="1620" w:type="dxa"/>
            <w:vAlign w:val="bottom"/>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51,290</w:t>
            </w: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66.96</w:t>
            </w:r>
          </w:p>
        </w:tc>
        <w:tc>
          <w:tcPr>
            <w:tcW w:w="180" w:type="dxa"/>
            <w:vAlign w:val="bottom"/>
          </w:tcPr>
          <w:p>
            <w:pPr>
              <w:spacing w:after="0"/>
              <w:rPr>
                <w:sz w:val="16"/>
                <w:szCs w:val="16"/>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51,290</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66.96</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186,179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176,585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11,662,183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66.04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11,668,911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66.08</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7,367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7,367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305,388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41.45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316,294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42.93</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299,852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202,055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15,784,916</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78.12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17,135,800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84.81</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455,174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280,218</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19,833,318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70.78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22,018,858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78.58</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65,797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65,797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4,661,436</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70.85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5,318,880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80.84</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7,752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7,752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540,350</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69.70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638,831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82.41</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246,667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127,701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10,876,902</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85.17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13,253,593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103.79</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186,894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93,447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6,578,697</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70.40</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11,108,262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118.87</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23,732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13,736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485,145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35.32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547,985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39.89</w:t>
            </w:r>
          </w:p>
        </w:tc>
      </w:tr>
      <w:tr>
        <w:trPr>
          <w:trHeight w:val="203"/>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508,511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508,511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39,958,075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78.58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47,375,141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93.16</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7"/>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265" w:right="339" w:bottom="1440" w:gutter="0" w:footer="0" w:header="0"/>
          <w:type w:val="continuous"/>
        </w:sectPr>
      </w:pPr>
    </w:p>
    <w:bookmarkStart w:id="49" w:name="page50"/>
    <w:bookmarkEnd w:id="49"/>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Los Angeles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2025</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51,290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51,290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66.96</w:t>
            </w:r>
          </w:p>
        </w:tc>
      </w:tr>
      <w:tr>
        <w:trPr>
          <w:trHeight w:val="20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2025</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51,290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51,290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66.96</w:t>
            </w:r>
          </w:p>
        </w:tc>
      </w:tr>
      <w:tr>
        <w:trPr>
          <w:trHeight w:val="21"/>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6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160,397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160,397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11,215,534</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69.92</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11,215,534</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69.92</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2026</w:t>
            </w:r>
          </w:p>
        </w:tc>
        <w:tc>
          <w:tcPr>
            <w:tcW w:w="1240" w:type="dxa"/>
            <w:vAlign w:val="bottom"/>
          </w:tcPr>
          <w:p>
            <w:pPr>
              <w:jc w:val="right"/>
              <w:spacing w:after="0"/>
              <w:rPr>
                <w:sz w:val="20"/>
                <w:szCs w:val="20"/>
                <w:color w:val="auto"/>
              </w:rPr>
            </w:pPr>
            <w:r>
              <w:rPr>
                <w:rFonts w:ascii="Arial" w:cs="Arial" w:eastAsia="Arial" w:hAnsi="Arial"/>
                <w:sz w:val="14"/>
                <w:szCs w:val="14"/>
                <w:color w:val="auto"/>
              </w:rPr>
              <w:t>3,708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3,708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129,389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34.89</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132,362</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35.70</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181,660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62.95</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185,416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64.25</w:t>
            </w:r>
          </w:p>
        </w:tc>
      </w:tr>
      <w:tr>
        <w:trPr>
          <w:trHeight w:val="200"/>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166,991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166,991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11,526,583</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69.03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11,533,311</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69.07</w:t>
            </w: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18"/>
        </w:trPr>
        <w:tc>
          <w:tcPr>
            <w:tcW w:w="18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RETAIL</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Q1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Q2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Q3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rPr>
              <w:t>Q4 2025</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1660" w:type="dxa"/>
            <w:vAlign w:val="bottom"/>
            <w:gridSpan w:val="4"/>
          </w:tcPr>
          <w:p>
            <w:pPr>
              <w:jc w:val="center"/>
              <w:ind w:right="200"/>
              <w:spacing w:after="0"/>
              <w:rPr>
                <w:sz w:val="20"/>
                <w:szCs w:val="20"/>
                <w:color w:val="auto"/>
              </w:rPr>
            </w:pPr>
            <w:r>
              <w:rPr>
                <w:rFonts w:ascii="Arial" w:cs="Arial" w:eastAsia="Arial" w:hAnsi="Arial"/>
                <w:sz w:val="14"/>
                <w:szCs w:val="14"/>
                <w:color w:val="auto"/>
                <w:w w:val="99"/>
              </w:rPr>
              <w:t>Total 2025</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6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Q1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Q2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Q3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19,188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9,594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135,600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14.13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135,600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14.13</w:t>
            </w:r>
          </w:p>
        </w:tc>
      </w:tr>
      <w:tr>
        <w:trPr>
          <w:trHeight w:val="207"/>
        </w:trPr>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rPr>
              <w:t>Q4 2026</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19,188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9,594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135,600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14.13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135,600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14.13</w:t>
            </w:r>
          </w:p>
        </w:tc>
      </w:tr>
      <w:tr>
        <w:trPr>
          <w:trHeight w:val="20"/>
        </w:trPr>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18"/>
        </w:trPr>
        <w:tc>
          <w:tcPr>
            <w:tcW w:w="18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2025</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51,290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51,290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66.96</w:t>
            </w:r>
          </w:p>
        </w:tc>
      </w:tr>
      <w:tr>
        <w:trPr>
          <w:trHeight w:val="20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2025</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51,290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51,290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66.96</w:t>
            </w:r>
          </w:p>
        </w:tc>
      </w:tr>
      <w:tr>
        <w:trPr>
          <w:trHeight w:val="20"/>
        </w:trPr>
        <w:tc>
          <w:tcPr>
            <w:tcW w:w="164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64"/>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160,397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160,397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11,215,534</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69.92</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11,215,534</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69.92</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2026</w:t>
            </w:r>
          </w:p>
        </w:tc>
        <w:tc>
          <w:tcPr>
            <w:tcW w:w="1240" w:type="dxa"/>
            <w:vAlign w:val="bottom"/>
          </w:tcPr>
          <w:p>
            <w:pPr>
              <w:jc w:val="right"/>
              <w:spacing w:after="0"/>
              <w:rPr>
                <w:sz w:val="20"/>
                <w:szCs w:val="20"/>
                <w:color w:val="auto"/>
              </w:rPr>
            </w:pPr>
            <w:r>
              <w:rPr>
                <w:rFonts w:ascii="Arial" w:cs="Arial" w:eastAsia="Arial" w:hAnsi="Arial"/>
                <w:sz w:val="14"/>
                <w:szCs w:val="14"/>
                <w:color w:val="auto"/>
              </w:rPr>
              <w:t>3,708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3,708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129,389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34.89</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132,362</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35.70</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19,188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9,594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135,600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14.13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135,600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14.13</w:t>
            </w:r>
          </w:p>
        </w:tc>
      </w:tr>
      <w:tr>
        <w:trPr>
          <w:trHeight w:val="20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181,660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62.95</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185,416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64.25</w:t>
            </w:r>
          </w:p>
        </w:tc>
      </w:tr>
      <w:tr>
        <w:trPr>
          <w:trHeight w:val="200"/>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186,179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176,585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11,662,183</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66.04</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11,668,911</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66.08</w:t>
            </w:r>
          </w:p>
        </w:tc>
      </w:tr>
      <w:tr>
        <w:trPr>
          <w:trHeight w:val="21"/>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8"/>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265" w:right="339" w:bottom="1440" w:gutter="0" w:footer="0" w:header="0"/>
          <w:type w:val="continuous"/>
        </w:sectPr>
      </w:pPr>
    </w:p>
    <w:bookmarkStart w:id="50" w:name="page51"/>
    <w:bookmarkEnd w:id="50"/>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New York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6"/>
                <w:szCs w:val="16"/>
                <w:color w:val="auto"/>
              </w:rPr>
            </w:pPr>
          </w:p>
        </w:tc>
        <w:tc>
          <w:tcPr>
            <w:tcW w:w="30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58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2"/>
          </w:tcPr>
          <w:p>
            <w:pPr>
              <w:ind w:left="42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60" w:type="dxa"/>
            <w:vAlign w:val="bottom"/>
            <w:tcBorders>
              <w:right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31,836</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31,836</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2,603,948</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81.79</w:t>
            </w:r>
          </w:p>
        </w:tc>
        <w:tc>
          <w:tcPr>
            <w:tcW w:w="200" w:type="dxa"/>
            <w:vAlign w:val="bottom"/>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2,603,948</w:t>
            </w:r>
          </w:p>
        </w:tc>
        <w:tc>
          <w:tcPr>
            <w:tcW w:w="160" w:type="dxa"/>
            <w:vAlign w:val="bottom"/>
          </w:tcPr>
          <w:p>
            <w:pPr>
              <w:spacing w:after="0"/>
              <w:rPr>
                <w:sz w:val="16"/>
                <w:szCs w:val="16"/>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81.79</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212,910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192,681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11,972,447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62.14</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12,051,713</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62.55</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380,020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341,729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20,934,872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61.26</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21,051,816</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61.60</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334,140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276,583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24,487,976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88.54</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24,470,605</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88.47</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939,595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727,252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62,706,478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86.22</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64,385,737</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88.53</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594,153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521,126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49,158,699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94.33</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50,670,812</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97.23</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630,623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548,341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45,924,237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83.75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48,339,562</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88.16</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352,472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262,197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18,846,257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71.88</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19,554,892</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74.58</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416,853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372,262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39,580,574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106.32</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43,326,941</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116.39</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1,318,258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1,041,996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112,854,063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108.31</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122,140,132</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117.22</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5,018,030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3,556,395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334,632,214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94.09</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384,432,911</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108.10</w:t>
            </w:r>
          </w:p>
        </w:tc>
        <w:tc>
          <w:tcPr>
            <w:tcW w:w="0" w:type="dxa"/>
            <w:vAlign w:val="bottom"/>
          </w:tcPr>
          <w:p>
            <w:pPr>
              <w:spacing w:after="0"/>
              <w:rPr>
                <w:sz w:val="1"/>
                <w:szCs w:val="1"/>
                <w:color w:val="auto"/>
              </w:rPr>
            </w:pPr>
          </w:p>
        </w:tc>
      </w:tr>
      <w:tr>
        <w:trPr>
          <w:trHeight w:val="533"/>
        </w:trPr>
        <w:tc>
          <w:tcPr>
            <w:tcW w:w="1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6"/>
                <w:szCs w:val="16"/>
                <w:color w:val="auto"/>
              </w:rPr>
            </w:pPr>
          </w:p>
        </w:tc>
        <w:tc>
          <w:tcPr>
            <w:tcW w:w="30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vMerge w:val="restart"/>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auto"/>
              </w:rPr>
              <w:t>$/PSF</w:t>
            </w:r>
          </w:p>
        </w:tc>
        <w:tc>
          <w:tcPr>
            <w:tcW w:w="1620" w:type="dxa"/>
            <w:vAlign w:val="bottom"/>
            <w:vMerge w:val="restart"/>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line="20" w:lineRule="exact"/>
              <w:rPr>
                <w:sz w:val="1"/>
                <w:szCs w:val="1"/>
                <w:color w:val="auto"/>
              </w:rPr>
            </w:pPr>
          </w:p>
        </w:tc>
        <w:tc>
          <w:tcPr>
            <w:tcW w:w="1260" w:type="dxa"/>
            <w:vAlign w:val="bottom"/>
            <w:tcBorders>
              <w:right w:val="single" w:sz="8" w:color="auto"/>
            </w:tcBorders>
            <w:vMerge w:val="restart"/>
          </w:tcPr>
          <w:p>
            <w:pPr>
              <w:jc w:val="right"/>
              <w:ind w:right="38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line="20" w:lineRule="exact"/>
              <w:rPr>
                <w:sz w:val="1"/>
                <w:szCs w:val="1"/>
                <w:color w:val="auto"/>
              </w:rPr>
            </w:pPr>
          </w:p>
        </w:tc>
      </w:tr>
      <w:tr>
        <w:trPr>
          <w:trHeight w:val="177"/>
        </w:trPr>
        <w:tc>
          <w:tcPr>
            <w:tcW w:w="1660" w:type="dxa"/>
            <w:vAlign w:val="bottom"/>
            <w:gridSpan w:val="2"/>
            <w:vMerge w:val="continue"/>
          </w:tcPr>
          <w:p>
            <w:pPr>
              <w:spacing w:after="0"/>
              <w:rPr>
                <w:sz w:val="15"/>
                <w:szCs w:val="15"/>
                <w:color w:val="auto"/>
              </w:rPr>
            </w:pPr>
          </w:p>
        </w:tc>
        <w:tc>
          <w:tcPr>
            <w:tcW w:w="1520" w:type="dxa"/>
            <w:vAlign w:val="bottom"/>
            <w:tcBorders>
              <w:right w:val="single" w:sz="8" w:color="auto"/>
            </w:tcBorders>
            <w:gridSpan w:val="2"/>
          </w:tcPr>
          <w:p>
            <w:pPr>
              <w:jc w:val="center"/>
              <w:ind w:right="220"/>
              <w:spacing w:after="0" w:line="177"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00" w:type="dxa"/>
            <w:vAlign w:val="bottom"/>
            <w:gridSpan w:val="4"/>
          </w:tcPr>
          <w:p>
            <w:pPr>
              <w:jc w:val="center"/>
              <w:ind w:right="240"/>
              <w:spacing w:after="0" w:line="177"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4,179</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4,179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114.86</w:t>
            </w:r>
          </w:p>
        </w:tc>
        <w:tc>
          <w:tcPr>
            <w:tcW w:w="200" w:type="dxa"/>
            <w:vAlign w:val="bottom"/>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480,000</w:t>
            </w:r>
          </w:p>
        </w:tc>
        <w:tc>
          <w:tcPr>
            <w:tcW w:w="160" w:type="dxa"/>
            <w:vAlign w:val="bottom"/>
          </w:tcPr>
          <w:p>
            <w:pPr>
              <w:spacing w:after="0"/>
              <w:rPr>
                <w:sz w:val="16"/>
                <w:szCs w:val="16"/>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114.86</w:t>
            </w:r>
          </w:p>
        </w:tc>
        <w:tc>
          <w:tcPr>
            <w:tcW w:w="0" w:type="dxa"/>
            <w:vAlign w:val="bottom"/>
          </w:tcPr>
          <w:p>
            <w:pPr>
              <w:spacing w:after="0"/>
              <w:rPr>
                <w:sz w:val="1"/>
                <w:szCs w:val="1"/>
                <w:color w:val="auto"/>
              </w:rPr>
            </w:pPr>
          </w:p>
        </w:tc>
      </w:tr>
      <w:tr>
        <w:trPr>
          <w:trHeight w:val="28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15,044</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12,423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9,468,098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762.13</w:t>
            </w:r>
          </w:p>
        </w:tc>
        <w:tc>
          <w:tcPr>
            <w:tcW w:w="2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9,468,098</w:t>
            </w:r>
          </w:p>
        </w:tc>
        <w:tc>
          <w:tcPr>
            <w:tcW w:w="16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762.13</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8,162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4,489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33,000</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2,424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211,395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326.75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211,395</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326.75</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9,577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1,805,467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318.37</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1,956,628</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345.02</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1,512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1,512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390,270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258.12</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476,962</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315.45</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20,784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14,468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5,208,746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360.03</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5,745,604</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397.14</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12,182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11,064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1,074,466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97.11</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1,253,759</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113.32</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20,928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20,928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4,534,012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216.65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5,132,010</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245.22</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139,214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85,037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21,228,854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249.64</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25,500,984</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299.88</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219,678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143,217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26,512,826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185.12</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21,657,102</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151.22</w:t>
            </w:r>
          </w:p>
        </w:tc>
        <w:tc>
          <w:tcPr>
            <w:tcW w:w="0" w:type="dxa"/>
            <w:vAlign w:val="bottom"/>
          </w:tcPr>
          <w:p>
            <w:pPr>
              <w:spacing w:after="0"/>
              <w:rPr>
                <w:sz w:val="1"/>
                <w:szCs w:val="1"/>
                <w:color w:val="auto"/>
              </w:rPr>
            </w:pPr>
          </w:p>
        </w:tc>
      </w:tr>
      <w:tr>
        <w:trPr>
          <w:trHeight w:val="776"/>
        </w:trPr>
        <w:tc>
          <w:tcPr>
            <w:tcW w:w="3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6"/>
                <w:szCs w:val="16"/>
                <w:color w:val="auto"/>
              </w:rPr>
            </w:pPr>
          </w:p>
        </w:tc>
        <w:tc>
          <w:tcPr>
            <w:tcW w:w="30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58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2"/>
          </w:tcPr>
          <w:p>
            <w:pPr>
              <w:ind w:left="42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60" w:type="dxa"/>
            <w:vAlign w:val="bottom"/>
            <w:tcBorders>
              <w:right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36,015</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36,015</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3,083,948</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85.63</w:t>
            </w:r>
          </w:p>
        </w:tc>
        <w:tc>
          <w:tcPr>
            <w:tcW w:w="200" w:type="dxa"/>
            <w:vAlign w:val="bottom"/>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3,083,948</w:t>
            </w:r>
          </w:p>
        </w:tc>
        <w:tc>
          <w:tcPr>
            <w:tcW w:w="160" w:type="dxa"/>
            <w:vAlign w:val="bottom"/>
          </w:tcPr>
          <w:p>
            <w:pPr>
              <w:spacing w:after="0"/>
              <w:rPr>
                <w:sz w:val="16"/>
                <w:szCs w:val="16"/>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85.63</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227,954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205,104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21,440,545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104.53</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21,519,811</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104.92</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388,182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346,218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20,967,872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60.56</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21,084,816</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60.90</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336,564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277,230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24,699,371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89.09</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24,682,000</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89.03</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949,172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732,923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64,511,945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88.02</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66,342,365</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90.52</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595,665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522,638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49,548,969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94.81</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51,147,774</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97.86</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651,407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562,809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51,132,983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90.85</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54,085,166</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96.10</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364,654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273,261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19,920,723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72.90</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20,808,651</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76.15</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437,781</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393,190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44,114,586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112.20</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48,458,951</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123.25</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1,457,472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1,127,033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134,082,917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118.97</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147,641,116</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131.00</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5,237,708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3,699,612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361,145,040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97.62</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406,090,013</w:t>
            </w:r>
          </w:p>
        </w:tc>
        <w:tc>
          <w:tcPr>
            <w:tcW w:w="1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109.77</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9"/>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ind w:left="80" w:right="200" w:hanging="81"/>
        <w:spacing w:after="0" w:line="229"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Does not include data for leases expiring in a particular year when leases for the same space have already been signed with replacement clients with future commencement 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7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265" w:right="339" w:bottom="1440" w:gutter="0" w:footer="0" w:header="0"/>
          <w:type w:val="continuous"/>
        </w:sectPr>
      </w:pPr>
    </w:p>
    <w:bookmarkStart w:id="51" w:name="page52"/>
    <w:bookmarkEnd w:id="51"/>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New York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6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31,836</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31,836</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2,603,948</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81.79</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2,603,948</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81.79</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31,836</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31,836</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2,603,948</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81.79</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2,603,948</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81.79</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400" w:type="dxa"/>
            <w:vAlign w:val="bottom"/>
          </w:tcPr>
          <w:p>
            <w:pPr>
              <w:jc w:val="right"/>
              <w:spacing w:after="0"/>
              <w:rPr>
                <w:sz w:val="20"/>
                <w:szCs w:val="20"/>
                <w:color w:val="auto"/>
              </w:rPr>
            </w:pPr>
            <w:r>
              <w:rPr>
                <w:rFonts w:ascii="Arial" w:cs="Arial" w:eastAsia="Arial" w:hAnsi="Arial"/>
                <w:sz w:val="14"/>
                <w:szCs w:val="14"/>
                <w:color w:val="auto"/>
              </w:rPr>
              <w:t>99,800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94,391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6,641,064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70.36</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6,695,334</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70.93</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400" w:type="dxa"/>
            <w:vAlign w:val="bottom"/>
          </w:tcPr>
          <w:p>
            <w:pPr>
              <w:jc w:val="right"/>
              <w:spacing w:after="0"/>
              <w:rPr>
                <w:sz w:val="20"/>
                <w:szCs w:val="20"/>
                <w:color w:val="auto"/>
              </w:rPr>
            </w:pPr>
            <w:r>
              <w:rPr>
                <w:rFonts w:ascii="Arial" w:cs="Arial" w:eastAsia="Arial" w:hAnsi="Arial"/>
                <w:sz w:val="14"/>
                <w:szCs w:val="14"/>
                <w:color w:val="auto"/>
              </w:rPr>
              <w:t>9,157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8,310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363,533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43.75</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364,553</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400" w:type="dxa"/>
            <w:vAlign w:val="bottom"/>
          </w:tcPr>
          <w:p>
            <w:pPr>
              <w:jc w:val="right"/>
              <w:spacing w:after="0"/>
              <w:rPr>
                <w:sz w:val="20"/>
                <w:szCs w:val="20"/>
                <w:color w:val="auto"/>
              </w:rPr>
            </w:pPr>
            <w:r>
              <w:rPr>
                <w:rFonts w:ascii="Arial" w:cs="Arial" w:eastAsia="Arial" w:hAnsi="Arial"/>
                <w:sz w:val="14"/>
                <w:szCs w:val="14"/>
                <w:color w:val="auto"/>
              </w:rPr>
              <w:t>43,993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33,832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2,304,582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68.12</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2,306,120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68.16</w:t>
            </w:r>
          </w:p>
        </w:tc>
        <w:tc>
          <w:tcPr>
            <w:tcW w:w="0" w:type="dxa"/>
            <w:vAlign w:val="bottom"/>
          </w:tcPr>
          <w:p>
            <w:pPr>
              <w:spacing w:after="0"/>
              <w:rPr>
                <w:sz w:val="1"/>
                <w:szCs w:val="1"/>
                <w:color w:val="auto"/>
              </w:rPr>
            </w:pPr>
          </w:p>
        </w:tc>
      </w:tr>
      <w:tr>
        <w:trPr>
          <w:trHeight w:val="207"/>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59,960</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56,149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2,663,267</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2,685,706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47.83</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212,910</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192,681</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11,972,447</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62.14</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12,051,713</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62.55</w:t>
            </w: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164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6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480,000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114.86</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480,000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114.86</w:t>
            </w: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400" w:type="dxa"/>
            <w:vAlign w:val="bottom"/>
          </w:tcPr>
          <w:p>
            <w:pPr>
              <w:jc w:val="right"/>
              <w:spacing w:after="0"/>
              <w:rPr>
                <w:sz w:val="20"/>
                <w:szCs w:val="20"/>
                <w:color w:val="auto"/>
              </w:rPr>
            </w:pPr>
            <w:r>
              <w:rPr>
                <w:rFonts w:ascii="Arial" w:cs="Arial" w:eastAsia="Arial" w:hAnsi="Arial"/>
                <w:sz w:val="14"/>
                <w:szCs w:val="14"/>
                <w:color w:val="auto"/>
              </w:rPr>
              <w:t>6,552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5,700,000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1,449.94</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5,700,000</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1,449.94</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400" w:type="dxa"/>
            <w:vAlign w:val="bottom"/>
          </w:tcPr>
          <w:p>
            <w:pPr>
              <w:jc w:val="right"/>
              <w:spacing w:after="0"/>
              <w:rPr>
                <w:sz w:val="20"/>
                <w:szCs w:val="20"/>
                <w:color w:val="auto"/>
              </w:rPr>
            </w:pPr>
            <w:r>
              <w:rPr>
                <w:rFonts w:ascii="Arial" w:cs="Arial" w:eastAsia="Arial" w:hAnsi="Arial"/>
                <w:sz w:val="14"/>
                <w:szCs w:val="14"/>
                <w:color w:val="auto"/>
              </w:rPr>
              <w:t>715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41.96</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30,000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41.96</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400" w:type="dxa"/>
            <w:vAlign w:val="bottom"/>
          </w:tcPr>
          <w:p>
            <w:pPr>
              <w:jc w:val="right"/>
              <w:spacing w:after="0"/>
              <w:rPr>
                <w:sz w:val="20"/>
                <w:szCs w:val="20"/>
                <w:color w:val="auto"/>
              </w:rPr>
            </w:pPr>
            <w:r>
              <w:rPr>
                <w:rFonts w:ascii="Arial" w:cs="Arial" w:eastAsia="Arial" w:hAnsi="Arial"/>
                <w:sz w:val="14"/>
                <w:szCs w:val="14"/>
                <w:color w:val="auto"/>
              </w:rPr>
              <w:t>3,244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3,244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2,711,835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835.95</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2,711,835</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835.95</w:t>
            </w:r>
          </w:p>
        </w:tc>
        <w:tc>
          <w:tcPr>
            <w:tcW w:w="0" w:type="dxa"/>
            <w:vAlign w:val="bottom"/>
          </w:tcPr>
          <w:p>
            <w:pPr>
              <w:spacing w:after="0"/>
              <w:rPr>
                <w:sz w:val="1"/>
                <w:szCs w:val="1"/>
                <w:color w:val="auto"/>
              </w:rPr>
            </w:pPr>
          </w:p>
        </w:tc>
      </w:tr>
      <w:tr>
        <w:trPr>
          <w:trHeight w:val="207"/>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4,533</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4,533</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1,026,263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226.40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1,026,263</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226.40</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15,044</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12,423</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9,468,098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762.13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9,468,098</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762.13</w:t>
            </w: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326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36,015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3,083,948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3,083,948</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85.63</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36,015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3,083,948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3,083,948</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85.63</w:t>
            </w:r>
          </w:p>
        </w:tc>
        <w:tc>
          <w:tcPr>
            <w:tcW w:w="0" w:type="dxa"/>
            <w:vAlign w:val="bottom"/>
          </w:tcPr>
          <w:p>
            <w:pPr>
              <w:spacing w:after="0"/>
              <w:rPr>
                <w:sz w:val="1"/>
                <w:szCs w:val="1"/>
                <w:color w:val="auto"/>
              </w:rPr>
            </w:pPr>
          </w:p>
        </w:tc>
      </w:tr>
      <w:tr>
        <w:trPr>
          <w:trHeight w:val="21"/>
        </w:trPr>
        <w:tc>
          <w:tcPr>
            <w:tcW w:w="164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400" w:type="dxa"/>
            <w:vAlign w:val="bottom"/>
          </w:tcPr>
          <w:p>
            <w:pPr>
              <w:jc w:val="right"/>
              <w:spacing w:after="0"/>
              <w:rPr>
                <w:sz w:val="20"/>
                <w:szCs w:val="20"/>
                <w:color w:val="auto"/>
              </w:rPr>
            </w:pPr>
            <w:r>
              <w:rPr>
                <w:rFonts w:ascii="Arial" w:cs="Arial" w:eastAsia="Arial" w:hAnsi="Arial"/>
                <w:sz w:val="14"/>
                <w:szCs w:val="14"/>
                <w:color w:val="auto"/>
              </w:rPr>
              <w:t>106,352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98,322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12,341,064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125.52</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12,395,334</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126.07</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400" w:type="dxa"/>
            <w:vAlign w:val="bottom"/>
          </w:tcPr>
          <w:p>
            <w:pPr>
              <w:jc w:val="right"/>
              <w:spacing w:after="0"/>
              <w:rPr>
                <w:sz w:val="20"/>
                <w:szCs w:val="20"/>
                <w:color w:val="auto"/>
              </w:rPr>
            </w:pPr>
            <w:r>
              <w:rPr>
                <w:rFonts w:ascii="Arial" w:cs="Arial" w:eastAsia="Arial" w:hAnsi="Arial"/>
                <w:sz w:val="14"/>
                <w:szCs w:val="14"/>
                <w:color w:val="auto"/>
              </w:rPr>
              <w:t>9,872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9,025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393,533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43.60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394,553</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43.72</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400" w:type="dxa"/>
            <w:vAlign w:val="bottom"/>
          </w:tcPr>
          <w:p>
            <w:pPr>
              <w:jc w:val="right"/>
              <w:spacing w:after="0"/>
              <w:rPr>
                <w:sz w:val="20"/>
                <w:szCs w:val="20"/>
                <w:color w:val="auto"/>
              </w:rPr>
            </w:pPr>
            <w:r>
              <w:rPr>
                <w:rFonts w:ascii="Arial" w:cs="Arial" w:eastAsia="Arial" w:hAnsi="Arial"/>
                <w:sz w:val="14"/>
                <w:szCs w:val="14"/>
                <w:color w:val="auto"/>
              </w:rPr>
              <w:t>47,237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37,076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5,016,417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135.30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5,017,955</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135.34</w:t>
            </w:r>
          </w:p>
        </w:tc>
        <w:tc>
          <w:tcPr>
            <w:tcW w:w="0" w:type="dxa"/>
            <w:vAlign w:val="bottom"/>
          </w:tcPr>
          <w:p>
            <w:pPr>
              <w:spacing w:after="0"/>
              <w:rPr>
                <w:sz w:val="1"/>
                <w:szCs w:val="1"/>
                <w:color w:val="auto"/>
              </w:rPr>
            </w:pPr>
          </w:p>
        </w:tc>
      </w:tr>
      <w:tr>
        <w:trPr>
          <w:trHeight w:val="20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64,493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60,682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3,689,530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3,711,969</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61.17</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227,954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205,104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21,440,545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104.53</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21,519,811</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104.92</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0"/>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265" w:right="339" w:bottom="1440" w:gutter="0" w:footer="0" w:header="0"/>
          <w:type w:val="continuous"/>
        </w:sectPr>
      </w:pPr>
    </w:p>
    <w:bookmarkStart w:id="52" w:name="page53"/>
    <w:bookmarkEnd w:id="52"/>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San Francisco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0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9"/>
        </w:trPr>
        <w:tc>
          <w:tcPr>
            <w:tcW w:w="1660" w:type="dxa"/>
            <w:vAlign w:val="bottom"/>
            <w:gridSpan w:val="3"/>
          </w:tcPr>
          <w:p>
            <w:pPr>
              <w:ind w:left="600"/>
              <w:spacing w:after="0"/>
              <w:rPr>
                <w:sz w:val="20"/>
                <w:szCs w:val="20"/>
                <w:color w:val="auto"/>
              </w:rPr>
            </w:pPr>
            <w:r>
              <w:rPr>
                <w:rFonts w:ascii="Arial" w:cs="Arial" w:eastAsia="Arial" w:hAnsi="Arial"/>
                <w:sz w:val="13"/>
                <w:szCs w:val="13"/>
                <w:b w:val="1"/>
                <w:bCs w:val="1"/>
                <w:color w:val="auto"/>
              </w:rPr>
              <w:t>Year</w:t>
            </w:r>
          </w:p>
        </w:tc>
        <w:tc>
          <w:tcPr>
            <w:tcW w:w="15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ind w:left="30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20" w:type="dxa"/>
            <w:vAlign w:val="bottom"/>
            <w:tcBorders>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r>
      <w:tr>
        <w:trPr>
          <w:trHeight w:val="18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103,471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88,653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8,063,673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90.96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8,065,576</w:t>
            </w:r>
          </w:p>
        </w:tc>
        <w:tc>
          <w:tcPr>
            <w:tcW w:w="160" w:type="dxa"/>
            <w:vAlign w:val="bottom"/>
          </w:tcPr>
          <w:p>
            <w:pPr>
              <w:spacing w:after="0"/>
              <w:rPr>
                <w:sz w:val="16"/>
                <w:szCs w:val="16"/>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90.98</w:t>
            </w:r>
          </w:p>
        </w:tc>
      </w:tr>
      <w:tr>
        <w:trPr>
          <w:trHeight w:val="28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587,155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497,971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46,043,426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92.46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48,024,327</w:t>
            </w:r>
          </w:p>
        </w:tc>
        <w:tc>
          <w:tcPr>
            <w:tcW w:w="1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96.44</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534,806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515,272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49,687,804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96.43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51,391,774</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99.74</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460,357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440,599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44,746,698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46,909,392</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106.47</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677,990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616,178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54,470,935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58,683,652</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95.24</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480,894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450,665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39,916,450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88.57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44,773,935</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99.35</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1,000,704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973,998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107,408,356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115,738,463</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118.83</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405,461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369,063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31,644,456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85.74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37,525,178</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101.68</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629,131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622,903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67,516,878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75,077,797</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120.53</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331,223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213,621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21,335,893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99.88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26,577,563</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124.41</w:t>
            </w:r>
          </w:p>
        </w:tc>
      </w:tr>
      <w:tr>
        <w:trPr>
          <w:trHeight w:val="203"/>
        </w:trPr>
        <w:tc>
          <w:tcPr>
            <w:tcW w:w="166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439,094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437,053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42,932,058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56,355,705</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128.94</w:t>
            </w:r>
          </w:p>
        </w:tc>
      </w:tr>
      <w:tr>
        <w:trPr>
          <w:trHeight w:val="654"/>
        </w:trPr>
        <w:tc>
          <w:tcPr>
            <w:tcW w:w="1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
        </w:trPr>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gridSpan w:val="3"/>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8"/>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0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9"/>
        </w:trPr>
        <w:tc>
          <w:tcPr>
            <w:tcW w:w="16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ind w:left="32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20" w:type="dxa"/>
            <w:vAlign w:val="bottom"/>
            <w:tcBorders>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r>
      <w:tr>
        <w:trPr>
          <w:trHeight w:val="18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5,228</w:t>
            </w: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5,228</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12,000</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12,000</w:t>
            </w:r>
          </w:p>
        </w:tc>
        <w:tc>
          <w:tcPr>
            <w:tcW w:w="160" w:type="dxa"/>
            <w:vAlign w:val="bottom"/>
          </w:tcPr>
          <w:p>
            <w:pPr>
              <w:spacing w:after="0"/>
              <w:rPr>
                <w:sz w:val="16"/>
                <w:szCs w:val="16"/>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13,146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13,146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525,036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39.94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539,077</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41.01</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14,385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14,385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744,862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51.78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797,991</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55.47</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18,613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18,613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1,305,884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1,402,967</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75.38</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4,246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4,246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388,652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430,173</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101.31</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19,021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19,021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1,543,339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1,784,441</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93.81</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39,623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34,207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2,254,105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65.90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2,383,999</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69.69</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6,357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445,253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491,452</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77.31</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9,383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9,383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1,052,424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1,117,442</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119.09</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1660" w:type="dxa"/>
            <w:vAlign w:val="bottom"/>
            <w:gridSpan w:val="3"/>
          </w:tcPr>
          <w:p>
            <w:pPr>
              <w:jc w:val="center"/>
              <w:ind w:right="160"/>
              <w:spacing w:after="0"/>
              <w:rPr>
                <w:sz w:val="20"/>
                <w:szCs w:val="20"/>
                <w:color w:val="auto"/>
              </w:rPr>
            </w:pPr>
            <w:r>
              <w:rPr>
                <w:rFonts w:ascii="Arial" w:cs="Arial" w:eastAsia="Arial" w:hAnsi="Arial"/>
                <w:sz w:val="14"/>
                <w:szCs w:val="14"/>
                <w:color w:val="auto"/>
              </w:rPr>
              <w:t>Thereafter</w:t>
            </w:r>
          </w:p>
        </w:tc>
        <w:tc>
          <w:tcPr>
            <w:tcW w:w="15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627"/>
        </w:trPr>
        <w:tc>
          <w:tcPr>
            <w:tcW w:w="318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
        </w:trPr>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gridSpan w:val="3"/>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8"/>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0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200" w:type="dxa"/>
            <w:vAlign w:val="bottom"/>
            <w:gridSpan w:val="2"/>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8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2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r>
      <w:tr>
        <w:trPr>
          <w:trHeight w:val="188"/>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108,699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93,881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8,075,673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86.02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8,077,576</w:t>
            </w:r>
          </w:p>
        </w:tc>
        <w:tc>
          <w:tcPr>
            <w:tcW w:w="1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86.04</w:t>
            </w:r>
          </w:p>
        </w:tc>
      </w:tr>
      <w:tr>
        <w:trPr>
          <w:trHeight w:val="28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600,301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511,117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46,568,462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91.11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48,563,404</w:t>
            </w:r>
          </w:p>
        </w:tc>
        <w:tc>
          <w:tcPr>
            <w:tcW w:w="1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95.01</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549,191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529,657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50,432,666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52,189,765</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98.54</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478,970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459,212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46,052,582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48,312,359</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105.21</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682,236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620,424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54,859,587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88.42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59,113,825</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95.28</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499,915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469,686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41,459,789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46,558,376</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99.13</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1,040,327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1,008,205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109,662,461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108.77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118,122,462</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117.16</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411,818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375,420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32,089,709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85.48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38,016,630</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101.26</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638,514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632,286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68,569,302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76,195,239</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120.51</w:t>
            </w: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331,223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213,621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21,335,893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99.88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26,577,563</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124.41</w:t>
            </w:r>
          </w:p>
        </w:tc>
      </w:tr>
      <w:tr>
        <w:trPr>
          <w:trHeight w:val="203"/>
        </w:trPr>
        <w:tc>
          <w:tcPr>
            <w:tcW w:w="166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439,094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437,053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42,932,058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56,355,705</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128.94</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11"/>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12"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ind w:left="80" w:right="200" w:hanging="81"/>
        <w:spacing w:after="0" w:line="279" w:lineRule="auto"/>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265" w:right="339" w:bottom="1440" w:gutter="0" w:footer="0" w:header="0"/>
          <w:type w:val="continuous"/>
        </w:sectPr>
      </w:pPr>
    </w:p>
    <w:bookmarkStart w:id="53" w:name="page54"/>
    <w:bookmarkEnd w:id="53"/>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San Francisco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103,471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88,653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8,063,673</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8,065,576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90.98</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103,471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88,653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8,063,673</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90.96</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8,065,576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90.98</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400" w:type="dxa"/>
            <w:vAlign w:val="bottom"/>
          </w:tcPr>
          <w:p>
            <w:pPr>
              <w:jc w:val="right"/>
              <w:spacing w:after="0"/>
              <w:rPr>
                <w:sz w:val="20"/>
                <w:szCs w:val="20"/>
                <w:color w:val="auto"/>
              </w:rPr>
            </w:pPr>
            <w:r>
              <w:rPr>
                <w:rFonts w:ascii="Arial" w:cs="Arial" w:eastAsia="Arial" w:hAnsi="Arial"/>
                <w:sz w:val="14"/>
                <w:szCs w:val="14"/>
                <w:color w:val="auto"/>
              </w:rPr>
              <w:t>134,191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130,601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9,952,629</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76.21</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10,046,092</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76.92</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400" w:type="dxa"/>
            <w:vAlign w:val="bottom"/>
          </w:tcPr>
          <w:p>
            <w:pPr>
              <w:jc w:val="right"/>
              <w:spacing w:after="0"/>
              <w:rPr>
                <w:sz w:val="20"/>
                <w:szCs w:val="20"/>
                <w:color w:val="auto"/>
              </w:rPr>
            </w:pPr>
            <w:r>
              <w:rPr>
                <w:rFonts w:ascii="Arial" w:cs="Arial" w:eastAsia="Arial" w:hAnsi="Arial"/>
                <w:sz w:val="14"/>
                <w:szCs w:val="14"/>
                <w:color w:val="auto"/>
              </w:rPr>
              <w:t>209,755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192,459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18,601,221</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96.65</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20,787,777</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108.01</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400" w:type="dxa"/>
            <w:vAlign w:val="bottom"/>
          </w:tcPr>
          <w:p>
            <w:pPr>
              <w:jc w:val="right"/>
              <w:spacing w:after="0"/>
              <w:rPr>
                <w:sz w:val="20"/>
                <w:szCs w:val="20"/>
                <w:color w:val="auto"/>
              </w:rPr>
            </w:pPr>
            <w:r>
              <w:rPr>
                <w:rFonts w:ascii="Arial" w:cs="Arial" w:eastAsia="Arial" w:hAnsi="Arial"/>
                <w:sz w:val="14"/>
                <w:szCs w:val="14"/>
                <w:color w:val="auto"/>
              </w:rPr>
              <w:t>218,233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149,935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15,590,498</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103.98</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15,242,685</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101.66</w:t>
            </w:r>
          </w:p>
        </w:tc>
        <w:tc>
          <w:tcPr>
            <w:tcW w:w="0" w:type="dxa"/>
            <w:vAlign w:val="bottom"/>
          </w:tcPr>
          <w:p>
            <w:pPr>
              <w:spacing w:after="0"/>
              <w:rPr>
                <w:sz w:val="1"/>
                <w:szCs w:val="1"/>
                <w:color w:val="auto"/>
              </w:rPr>
            </w:pPr>
          </w:p>
        </w:tc>
      </w:tr>
      <w:tr>
        <w:trPr>
          <w:trHeight w:val="207"/>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24,976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24,976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1,899,077</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76.04</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1,947,774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77.99</w:t>
            </w:r>
          </w:p>
        </w:tc>
        <w:tc>
          <w:tcPr>
            <w:tcW w:w="0" w:type="dxa"/>
            <w:vAlign w:val="bottom"/>
          </w:tcPr>
          <w:p>
            <w:pPr>
              <w:spacing w:after="0"/>
              <w:rPr>
                <w:sz w:val="1"/>
                <w:szCs w:val="1"/>
                <w:color w:val="auto"/>
              </w:rPr>
            </w:pPr>
          </w:p>
        </w:tc>
      </w:tr>
      <w:tr>
        <w:trPr>
          <w:trHeight w:val="241"/>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587,155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497,971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46,043,426</w:t>
            </w:r>
          </w:p>
        </w:tc>
        <w:tc>
          <w:tcPr>
            <w:tcW w:w="18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92.46</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48,024,327</w:t>
            </w: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96.44</w:t>
            </w: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164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5,228</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12,000</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5,228</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12,000</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400" w:type="dxa"/>
            <w:vAlign w:val="bottom"/>
          </w:tcPr>
          <w:p>
            <w:pPr>
              <w:jc w:val="right"/>
              <w:spacing w:after="0"/>
              <w:rPr>
                <w:sz w:val="20"/>
                <w:szCs w:val="20"/>
                <w:color w:val="auto"/>
              </w:rPr>
            </w:pPr>
            <w:r>
              <w:rPr>
                <w:rFonts w:ascii="Arial" w:cs="Arial" w:eastAsia="Arial" w:hAnsi="Arial"/>
                <w:sz w:val="14"/>
                <w:szCs w:val="14"/>
                <w:color w:val="auto"/>
              </w:rPr>
              <w:t>1,821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37,056</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37,056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400" w:type="dxa"/>
            <w:vAlign w:val="bottom"/>
          </w:tcPr>
          <w:p>
            <w:pPr>
              <w:jc w:val="right"/>
              <w:spacing w:after="0"/>
              <w:rPr>
                <w:sz w:val="20"/>
                <w:szCs w:val="20"/>
                <w:color w:val="auto"/>
              </w:rPr>
            </w:pPr>
            <w:r>
              <w:rPr>
                <w:rFonts w:ascii="Arial" w:cs="Arial" w:eastAsia="Arial" w:hAnsi="Arial"/>
                <w:sz w:val="14"/>
                <w:szCs w:val="14"/>
                <w:color w:val="auto"/>
              </w:rPr>
              <w:t>1,613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163,440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101.33</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163,440</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101.33</w:t>
            </w:r>
          </w:p>
        </w:tc>
        <w:tc>
          <w:tcPr>
            <w:tcW w:w="0" w:type="dxa"/>
            <w:vAlign w:val="bottom"/>
          </w:tcPr>
          <w:p>
            <w:pPr>
              <w:spacing w:after="0"/>
              <w:rPr>
                <w:sz w:val="1"/>
                <w:szCs w:val="1"/>
                <w:color w:val="auto"/>
              </w:rPr>
            </w:pPr>
          </w:p>
        </w:tc>
      </w:tr>
      <w:tr>
        <w:trPr>
          <w:trHeight w:val="207"/>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9,712</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324,540</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338,580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34.86</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13,146</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13,146</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525,036</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39.94</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539,077</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326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2025</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108,699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93,881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8,075,673</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8,077,576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86.04</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108,699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93,881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8,075,673</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8,077,576</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86.04</w:t>
            </w:r>
          </w:p>
        </w:tc>
        <w:tc>
          <w:tcPr>
            <w:tcW w:w="0" w:type="dxa"/>
            <w:vAlign w:val="bottom"/>
          </w:tcPr>
          <w:p>
            <w:pPr>
              <w:spacing w:after="0"/>
              <w:rPr>
                <w:sz w:val="1"/>
                <w:szCs w:val="1"/>
                <w:color w:val="auto"/>
              </w:rPr>
            </w:pPr>
          </w:p>
        </w:tc>
      </w:tr>
      <w:tr>
        <w:trPr>
          <w:trHeight w:val="21"/>
        </w:trPr>
        <w:tc>
          <w:tcPr>
            <w:tcW w:w="164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400" w:type="dxa"/>
            <w:vAlign w:val="bottom"/>
          </w:tcPr>
          <w:p>
            <w:pPr>
              <w:jc w:val="right"/>
              <w:spacing w:after="0"/>
              <w:rPr>
                <w:sz w:val="20"/>
                <w:szCs w:val="20"/>
                <w:color w:val="auto"/>
              </w:rPr>
            </w:pPr>
            <w:r>
              <w:rPr>
                <w:rFonts w:ascii="Arial" w:cs="Arial" w:eastAsia="Arial" w:hAnsi="Arial"/>
                <w:sz w:val="14"/>
                <w:szCs w:val="14"/>
                <w:color w:val="auto"/>
              </w:rPr>
              <w:t>134,191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130,601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9,952,629</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76.21</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10,046,092</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76.92</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400" w:type="dxa"/>
            <w:vAlign w:val="bottom"/>
          </w:tcPr>
          <w:p>
            <w:pPr>
              <w:jc w:val="right"/>
              <w:spacing w:after="0"/>
              <w:rPr>
                <w:sz w:val="20"/>
                <w:szCs w:val="20"/>
                <w:color w:val="auto"/>
              </w:rPr>
            </w:pPr>
            <w:r>
              <w:rPr>
                <w:rFonts w:ascii="Arial" w:cs="Arial" w:eastAsia="Arial" w:hAnsi="Arial"/>
                <w:sz w:val="14"/>
                <w:szCs w:val="14"/>
                <w:color w:val="auto"/>
              </w:rPr>
              <w:t>211,576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194,280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18,638,277</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95.94</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20,824,833</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107.19</w:t>
            </w:r>
          </w:p>
        </w:tc>
        <w:tc>
          <w:tcPr>
            <w:tcW w:w="0" w:type="dxa"/>
            <w:vAlign w:val="bottom"/>
          </w:tcPr>
          <w:p>
            <w:pPr>
              <w:spacing w:after="0"/>
              <w:rPr>
                <w:sz w:val="1"/>
                <w:szCs w:val="1"/>
                <w:color w:val="auto"/>
              </w:rPr>
            </w:pPr>
          </w:p>
        </w:tc>
      </w:tr>
      <w:tr>
        <w:trPr>
          <w:trHeight w:val="20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400" w:type="dxa"/>
            <w:vAlign w:val="bottom"/>
          </w:tcPr>
          <w:p>
            <w:pPr>
              <w:jc w:val="right"/>
              <w:spacing w:after="0"/>
              <w:rPr>
                <w:sz w:val="20"/>
                <w:szCs w:val="20"/>
                <w:color w:val="auto"/>
              </w:rPr>
            </w:pPr>
            <w:r>
              <w:rPr>
                <w:rFonts w:ascii="Arial" w:cs="Arial" w:eastAsia="Arial" w:hAnsi="Arial"/>
                <w:sz w:val="14"/>
                <w:szCs w:val="14"/>
                <w:color w:val="auto"/>
              </w:rPr>
              <w:t>219,846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151,548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15,753,938</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103.95</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15,406,125</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101.66</w:t>
            </w:r>
          </w:p>
        </w:tc>
        <w:tc>
          <w:tcPr>
            <w:tcW w:w="0" w:type="dxa"/>
            <w:vAlign w:val="bottom"/>
          </w:tcPr>
          <w:p>
            <w:pPr>
              <w:spacing w:after="0"/>
              <w:rPr>
                <w:sz w:val="1"/>
                <w:szCs w:val="1"/>
                <w:color w:val="auto"/>
              </w:rPr>
            </w:pPr>
          </w:p>
        </w:tc>
      </w:tr>
      <w:tr>
        <w:trPr>
          <w:trHeight w:val="20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34,688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34,688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2,223,617</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64.10</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2,286,354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65.91</w:t>
            </w:r>
          </w:p>
        </w:tc>
        <w:tc>
          <w:tcPr>
            <w:tcW w:w="0" w:type="dxa"/>
            <w:vAlign w:val="bottom"/>
          </w:tcPr>
          <w:p>
            <w:pPr>
              <w:spacing w:after="0"/>
              <w:rPr>
                <w:sz w:val="1"/>
                <w:szCs w:val="1"/>
                <w:color w:val="auto"/>
              </w:rPr>
            </w:pPr>
          </w:p>
        </w:tc>
      </w:tr>
      <w:tr>
        <w:trPr>
          <w:trHeight w:val="20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600,301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511,117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46,568,462</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91.11</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48,563,404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95.01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2"/>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159"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265" w:right="339" w:bottom="1159" w:gutter="0" w:footer="0" w:header="0"/>
          <w:type w:val="continuous"/>
        </w:sectPr>
      </w:pPr>
    </w:p>
    <w:bookmarkStart w:id="54" w:name="page55"/>
    <w:bookmarkEnd w:id="54"/>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Seattle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224"/>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$/PSF</w:t>
            </w:r>
          </w:p>
        </w:tc>
        <w:tc>
          <w:tcPr>
            <w:tcW w:w="1620" w:type="dxa"/>
            <w:vAlign w:val="bottom"/>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56,677</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19,083</w:t>
            </w: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948,190</w:t>
            </w: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49.69</w:t>
            </w:r>
          </w:p>
        </w:tc>
        <w:tc>
          <w:tcPr>
            <w:tcW w:w="180" w:type="dxa"/>
            <w:vAlign w:val="bottom"/>
          </w:tcPr>
          <w:p>
            <w:pPr>
              <w:spacing w:after="0"/>
              <w:rPr>
                <w:sz w:val="16"/>
                <w:szCs w:val="16"/>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948,190</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49.69</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71,003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67,221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4,010,729</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59.66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4,097,839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60.96</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77,785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74,224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4,315,791</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58.15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4,471,476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60.24</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601,382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302,445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17,037,863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56.33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17,863,556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59.06</w:t>
            </w:r>
          </w:p>
        </w:tc>
      </w:tr>
      <w:tr>
        <w:trPr>
          <w:trHeight w:val="202"/>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232,381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212,323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11,523,253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54.27</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11,975,105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56.40</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40,707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40,707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2,413,273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59.28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2,655,900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65.24</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23,485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16,646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898,162</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53.96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996,832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59.89</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70,933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57,584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4,211,558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73.14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4,866,692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84.51</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63,925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23,614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1,638,595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69.39</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2,006,913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84.99</w:t>
            </w:r>
          </w:p>
        </w:tc>
      </w:tr>
      <w:tr>
        <w:trPr>
          <w:trHeight w:val="641"/>
        </w:trPr>
        <w:tc>
          <w:tcPr>
            <w:tcW w:w="1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$/PSF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480" w:type="dxa"/>
            <w:vAlign w:val="bottom"/>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51,431</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54.42</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55,873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59.12</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1,121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7,306</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19.36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7,306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19.36</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6,734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4,289</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288,475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67.26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322,123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75.10</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641"/>
        </w:trPr>
        <w:tc>
          <w:tcPr>
            <w:tcW w:w="3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$/PSF</w:t>
            </w:r>
          </w:p>
        </w:tc>
        <w:tc>
          <w:tcPr>
            <w:tcW w:w="1620" w:type="dxa"/>
            <w:vAlign w:val="bottom"/>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56,677</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19,083</w:t>
            </w:r>
          </w:p>
        </w:tc>
        <w:tc>
          <w:tcPr>
            <w:tcW w:w="20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948,190</w:t>
            </w: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49.69</w:t>
            </w:r>
          </w:p>
        </w:tc>
        <w:tc>
          <w:tcPr>
            <w:tcW w:w="180" w:type="dxa"/>
            <w:vAlign w:val="bottom"/>
          </w:tcPr>
          <w:p>
            <w:pPr>
              <w:spacing w:after="0"/>
              <w:rPr>
                <w:sz w:val="16"/>
                <w:szCs w:val="16"/>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948,190</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49.69</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71,003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67,221</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4,010,729</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59.66</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4,097,839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60.96</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77,785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74,224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4,315,791</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58.15</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4,471,476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60.24</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602,327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303,390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17,089,294</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56.33</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17,919,429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59.06</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233,502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212,700</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11,530,559</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54.21</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11,982,411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56.33</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40,707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40,707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2,413,273</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59.28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2,655,900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65.24</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30,219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20,935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1,186,637</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56.68</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1,318,955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63.00</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70,933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57,584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4,211,558</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73.14</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4,866,692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84.51</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63,925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23,614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1,638,595</w:t>
            </w:r>
          </w:p>
        </w:tc>
        <w:tc>
          <w:tcPr>
            <w:tcW w:w="2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69.39</w:t>
            </w:r>
          </w:p>
        </w:tc>
        <w:tc>
          <w:tcPr>
            <w:tcW w:w="1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2,006,913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84.99</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3"/>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265" w:right="339" w:bottom="1440" w:gutter="0" w:footer="0" w:header="0"/>
          <w:type w:val="continuous"/>
        </w:sectPr>
      </w:pPr>
    </w:p>
    <w:bookmarkStart w:id="55" w:name="page56"/>
    <w:bookmarkEnd w:id="55"/>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Seattle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2025</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56,677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948,190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948,190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49.69</w:t>
            </w:r>
          </w:p>
        </w:tc>
      </w:tr>
      <w:tr>
        <w:trPr>
          <w:trHeight w:val="20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2025</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56,677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948,190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948,190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49.69</w:t>
            </w: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6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1,309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29,363</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66.58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30,009</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68.05</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2026</w:t>
            </w:r>
          </w:p>
        </w:tc>
        <w:tc>
          <w:tcPr>
            <w:tcW w:w="1240" w:type="dxa"/>
            <w:vAlign w:val="bottom"/>
          </w:tcPr>
          <w:p>
            <w:pPr>
              <w:jc w:val="right"/>
              <w:spacing w:after="0"/>
              <w:rPr>
                <w:sz w:val="20"/>
                <w:szCs w:val="20"/>
                <w:color w:val="auto"/>
              </w:rPr>
            </w:pPr>
            <w:r>
              <w:rPr>
                <w:rFonts w:ascii="Arial" w:cs="Arial" w:eastAsia="Arial" w:hAnsi="Arial"/>
                <w:sz w:val="14"/>
                <w:szCs w:val="14"/>
                <w:color w:val="auto"/>
              </w:rPr>
              <w:t>39,138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39,138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2,291,477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2,330,096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59.54</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1,689,889</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1,737,734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62.87</w:t>
            </w:r>
          </w:p>
        </w:tc>
      </w:tr>
      <w:tr>
        <w:trPr>
          <w:trHeight w:val="200"/>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2026</w:t>
            </w:r>
          </w:p>
        </w:tc>
        <w:tc>
          <w:tcPr>
            <w:tcW w:w="1240" w:type="dxa"/>
            <w:vAlign w:val="bottom"/>
          </w:tcPr>
          <w:p>
            <w:pPr>
              <w:jc w:val="right"/>
              <w:spacing w:after="0"/>
              <w:rPr>
                <w:sz w:val="20"/>
                <w:szCs w:val="20"/>
                <w:color w:val="auto"/>
              </w:rPr>
            </w:pPr>
            <w:r>
              <w:rPr>
                <w:rFonts w:ascii="Arial" w:cs="Arial" w:eastAsia="Arial" w:hAnsi="Arial"/>
                <w:sz w:val="14"/>
                <w:szCs w:val="14"/>
                <w:color w:val="auto"/>
              </w:rPr>
              <w:t>71,003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67,221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4,010,729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4,097,839</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60.96</w:t>
            </w:r>
          </w:p>
        </w:tc>
      </w:tr>
      <w:tr>
        <w:trPr>
          <w:trHeight w:val="21"/>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26"/>
        </w:trPr>
        <w:tc>
          <w:tcPr>
            <w:tcW w:w="18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RETAIL</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6"/>
                <w:szCs w:val="16"/>
                <w:color w:val="auto"/>
              </w:rPr>
            </w:pPr>
          </w:p>
        </w:tc>
        <w:tc>
          <w:tcPr>
            <w:tcW w:w="2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9"/>
        </w:trPr>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Q1 2025</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Q2 2025</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Q3 2025</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rPr>
              <w:t>Q4 2025</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1660" w:type="dxa"/>
            <w:vAlign w:val="bottom"/>
            <w:gridSpan w:val="4"/>
          </w:tcPr>
          <w:p>
            <w:pPr>
              <w:jc w:val="center"/>
              <w:ind w:right="200"/>
              <w:spacing w:after="0"/>
              <w:rPr>
                <w:sz w:val="20"/>
                <w:szCs w:val="20"/>
                <w:color w:val="auto"/>
              </w:rPr>
            </w:pPr>
            <w:r>
              <w:rPr>
                <w:rFonts w:ascii="Arial" w:cs="Arial" w:eastAsia="Arial" w:hAnsi="Arial"/>
                <w:sz w:val="14"/>
                <w:szCs w:val="14"/>
                <w:color w:val="auto"/>
                <w:w w:val="99"/>
              </w:rPr>
              <w:t>Total 2025</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6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Q1 2026</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Q2 2026</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6"/>
        </w:trPr>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rPr>
              <w:t>Q4 2026</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2026</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26"/>
        </w:trPr>
        <w:tc>
          <w:tcPr>
            <w:tcW w:w="18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2025</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2025</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56,677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948,190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948,190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49.69</w:t>
            </w:r>
          </w:p>
        </w:tc>
      </w:tr>
      <w:tr>
        <w:trPr>
          <w:trHeight w:val="20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2025</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56,677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948,190</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948,190</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49.69</w:t>
            </w:r>
          </w:p>
        </w:tc>
      </w:tr>
      <w:tr>
        <w:trPr>
          <w:trHeight w:val="20"/>
        </w:trPr>
        <w:tc>
          <w:tcPr>
            <w:tcW w:w="164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64"/>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1,309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29,363</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66.58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30,009</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68.05</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2026</w:t>
            </w:r>
          </w:p>
        </w:tc>
        <w:tc>
          <w:tcPr>
            <w:tcW w:w="1240" w:type="dxa"/>
            <w:vAlign w:val="bottom"/>
          </w:tcPr>
          <w:p>
            <w:pPr>
              <w:jc w:val="right"/>
              <w:spacing w:after="0"/>
              <w:rPr>
                <w:sz w:val="20"/>
                <w:szCs w:val="20"/>
                <w:color w:val="auto"/>
              </w:rPr>
            </w:pPr>
            <w:r>
              <w:rPr>
                <w:rFonts w:ascii="Arial" w:cs="Arial" w:eastAsia="Arial" w:hAnsi="Arial"/>
                <w:sz w:val="14"/>
                <w:szCs w:val="14"/>
                <w:color w:val="auto"/>
              </w:rPr>
              <w:t>39,138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39,138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2,291,477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2,330,096</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59.54</w:t>
            </w:r>
          </w:p>
        </w:tc>
      </w:tr>
      <w:tr>
        <w:trPr>
          <w:trHeight w:val="20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1,689,889</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1,737,734</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62.87</w:t>
            </w:r>
          </w:p>
        </w:tc>
      </w:tr>
      <w:tr>
        <w:trPr>
          <w:trHeight w:val="200"/>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2026</w:t>
            </w:r>
          </w:p>
        </w:tc>
        <w:tc>
          <w:tcPr>
            <w:tcW w:w="1240" w:type="dxa"/>
            <w:vAlign w:val="bottom"/>
          </w:tcPr>
          <w:p>
            <w:pPr>
              <w:jc w:val="right"/>
              <w:spacing w:after="0"/>
              <w:rPr>
                <w:sz w:val="20"/>
                <w:szCs w:val="20"/>
                <w:color w:val="auto"/>
              </w:rPr>
            </w:pPr>
            <w:r>
              <w:rPr>
                <w:rFonts w:ascii="Arial" w:cs="Arial" w:eastAsia="Arial" w:hAnsi="Arial"/>
                <w:sz w:val="14"/>
                <w:szCs w:val="14"/>
                <w:color w:val="auto"/>
              </w:rPr>
              <w:t>71,003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67,221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4,010,729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59.66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4,097,839</w:t>
            </w: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60.96</w:t>
            </w: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4"/>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265" w:right="339" w:bottom="1440" w:gutter="0" w:footer="0" w:header="0"/>
          <w:type w:val="continuous"/>
        </w:sectPr>
      </w:pPr>
    </w:p>
    <w:bookmarkStart w:id="56" w:name="page57"/>
    <w:bookmarkEnd w:id="56"/>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Washington, DC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60" w:type="dxa"/>
            <w:vAlign w:val="bottom"/>
            <w:tcBorders>
              <w:right w:val="single" w:sz="8" w:color="auto"/>
            </w:tcBorders>
            <w:gridSpan w:val="8"/>
          </w:tcPr>
          <w:p>
            <w:pPr>
              <w:jc w:val="center"/>
              <w:ind w:right="60"/>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60" w:type="dxa"/>
            <w:vAlign w:val="bottom"/>
            <w:tcBorders>
              <w:bottom w:val="single" w:sz="8" w:color="auto"/>
              <w:right w:val="single" w:sz="8" w:color="auto"/>
            </w:tcBorders>
            <w:gridSpan w:val="8"/>
          </w:tcPr>
          <w:p>
            <w:pPr>
              <w:jc w:val="center"/>
              <w:ind w:right="40"/>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660" w:type="dxa"/>
            <w:vAlign w:val="bottom"/>
            <w:gridSpan w:val="3"/>
          </w:tcPr>
          <w:p>
            <w:pPr>
              <w:ind w:left="600"/>
              <w:spacing w:after="0"/>
              <w:rPr>
                <w:sz w:val="20"/>
                <w:szCs w:val="20"/>
                <w:color w:val="auto"/>
              </w:rPr>
            </w:pPr>
            <w:r>
              <w:rPr>
                <w:rFonts w:ascii="Arial" w:cs="Arial" w:eastAsia="Arial" w:hAnsi="Arial"/>
                <w:sz w:val="13"/>
                <w:szCs w:val="13"/>
                <w:b w:val="1"/>
                <w:bCs w:val="1"/>
                <w:color w:val="auto"/>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80" w:type="dxa"/>
            <w:vAlign w:val="bottom"/>
          </w:tcPr>
          <w:p>
            <w:pPr>
              <w:jc w:val="right"/>
              <w:ind w:right="66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4"/>
          </w:tcPr>
          <w:p>
            <w:pPr>
              <w:ind w:left="460"/>
              <w:spacing w:after="0"/>
              <w:rPr>
                <w:sz w:val="20"/>
                <w:szCs w:val="20"/>
                <w:color w:val="auto"/>
              </w:rPr>
            </w:pPr>
            <w:r>
              <w:rPr>
                <w:rFonts w:ascii="Arial" w:cs="Arial" w:eastAsia="Arial" w:hAnsi="Arial"/>
                <w:sz w:val="13"/>
                <w:szCs w:val="13"/>
                <w:b w:val="1"/>
                <w:bCs w:val="1"/>
                <w:color w:val="auto"/>
              </w:rPr>
              <w:t>$/PSF</w:t>
            </w:r>
          </w:p>
        </w:tc>
        <w:tc>
          <w:tcPr>
            <w:tcW w:w="1500" w:type="dxa"/>
            <w:vAlign w:val="bottom"/>
          </w:tcPr>
          <w:p>
            <w:pPr>
              <w:jc w:val="right"/>
              <w:ind w:right="58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right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18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4,881,227</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4,881,227</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174,053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147,054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9,188,910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62.49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9,255,648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466,854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428,751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25,645,158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59.81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26,575,951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352,948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218,537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16,068,198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73.53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17,815,914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243,346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212,480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12,396,423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13,428,185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199,355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187,546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11,299,477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12,494,606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298,977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276,778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15,983,641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57.75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17,987,509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657,486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635,001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43,386,599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49,178,260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1,177,023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1,171,299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71,711,020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84,924,059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297,024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297,024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17,357,102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20,639,225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3,487,698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3,107,885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193,761,469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62.35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239,938,771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1"/>
        </w:trPr>
        <w:tc>
          <w:tcPr>
            <w:tcW w:w="1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60" w:type="dxa"/>
            <w:vAlign w:val="bottom"/>
            <w:tcBorders>
              <w:right w:val="single" w:sz="8" w:color="auto"/>
            </w:tcBorders>
            <w:gridSpan w:val="8"/>
          </w:tcPr>
          <w:p>
            <w:pPr>
              <w:jc w:val="center"/>
              <w:ind w:right="40"/>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right w:val="single" w:sz="8" w:color="auto"/>
            </w:tcBorders>
            <w:gridSpan w:val="8"/>
          </w:tcPr>
          <w:p>
            <w:pPr>
              <w:jc w:val="center"/>
              <w:ind w:right="40"/>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vMerge w:val="restart"/>
          </w:tcPr>
          <w:p>
            <w:pPr>
              <w:spacing w:after="0" w:line="20" w:lineRule="exact"/>
              <w:rPr>
                <w:sz w:val="1"/>
                <w:szCs w:val="1"/>
                <w:color w:val="auto"/>
              </w:rPr>
            </w:pPr>
          </w:p>
        </w:tc>
        <w:tc>
          <w:tcPr>
            <w:tcW w:w="1520" w:type="dxa"/>
            <w:vAlign w:val="bottom"/>
            <w:tcBorders>
              <w:right w:val="single" w:sz="8" w:color="auto"/>
            </w:tcBorders>
            <w:gridSpan w:val="2"/>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vMerge w:val="restart"/>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00" w:type="dxa"/>
            <w:vAlign w:val="bottom"/>
            <w:vMerge w:val="restart"/>
          </w:tcPr>
          <w:p>
            <w:pPr>
              <w:jc w:val="right"/>
              <w:ind w:right="60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line="20" w:lineRule="exact"/>
              <w:rPr>
                <w:sz w:val="1"/>
                <w:szCs w:val="1"/>
                <w:color w:val="auto"/>
              </w:rPr>
            </w:pPr>
          </w:p>
        </w:tc>
      </w:tr>
      <w:tr>
        <w:trPr>
          <w:trHeight w:val="179"/>
        </w:trPr>
        <w:tc>
          <w:tcPr>
            <w:tcW w:w="148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30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60" w:type="dxa"/>
            <w:vAlign w:val="bottom"/>
          </w:tcPr>
          <w:p>
            <w:pPr>
              <w:jc w:val="center"/>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780" w:type="dxa"/>
            <w:vAlign w:val="bottom"/>
            <w:gridSpan w:val="6"/>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22,319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20,502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970,565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973,846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53,134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3,263,922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66.57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3,271,685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32,691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32,691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2,240,198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2,270,968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48,496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48,496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3,565,294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73.52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3,756,703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40,520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40,520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2,932,068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72.36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3,066,320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35,736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35,736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2,576,723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72.10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2,783,470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22,679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22,679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1,470,299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64.83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1,694,589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146,146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146,146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4,778,031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32.69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4,718,128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38,076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38,076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2,475,937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65.03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2,704,819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94,773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91,652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5,738,689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6,853,885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1"/>
        </w:trPr>
        <w:tc>
          <w:tcPr>
            <w:tcW w:w="31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7"/>
          </w:tcPr>
          <w:p>
            <w:pPr>
              <w:jc w:val="right"/>
              <w:ind w:right="248"/>
              <w:spacing w:after="0"/>
              <w:rPr>
                <w:sz w:val="20"/>
                <w:szCs w:val="20"/>
                <w:color w:val="auto"/>
              </w:rPr>
            </w:pPr>
            <w:r>
              <w:rPr>
                <w:rFonts w:ascii="Arial" w:cs="Arial" w:eastAsia="Arial" w:hAnsi="Arial"/>
                <w:sz w:val="13"/>
                <w:szCs w:val="13"/>
                <w:b w:val="1"/>
                <w:bCs w:val="1"/>
                <w:color w:val="auto"/>
              </w:rPr>
              <w:t>Annualized Rental Obligations Under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00" w:type="dxa"/>
            <w:vAlign w:val="bottom"/>
            <w:tcBorders>
              <w:bottom w:val="single" w:sz="8" w:color="auto"/>
              <w:right w:val="single" w:sz="8" w:color="auto"/>
            </w:tcBorders>
            <w:gridSpan w:val="7"/>
          </w:tcPr>
          <w:p>
            <w:pPr>
              <w:jc w:val="right"/>
              <w:ind w:right="268"/>
              <w:spacing w:after="0"/>
              <w:rPr>
                <w:sz w:val="20"/>
                <w:szCs w:val="20"/>
                <w:color w:val="auto"/>
              </w:rPr>
            </w:pPr>
            <w:r>
              <w:rPr>
                <w:rFonts w:ascii="Arial" w:cs="Arial" w:eastAsia="Arial" w:hAnsi="Arial"/>
                <w:sz w:val="13"/>
                <w:szCs w:val="13"/>
                <w:b w:val="1"/>
                <w:bCs w:val="1"/>
                <w:color w:val="auto"/>
              </w:rPr>
              <w:t>Expiring Leases with future step-ups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80" w:type="dxa"/>
            <w:vAlign w:val="bottom"/>
          </w:tcPr>
          <w:p>
            <w:pPr>
              <w:jc w:val="right"/>
              <w:ind w:right="66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4"/>
          </w:tcPr>
          <w:p>
            <w:pPr>
              <w:ind w:left="460"/>
              <w:spacing w:after="0"/>
              <w:rPr>
                <w:sz w:val="20"/>
                <w:szCs w:val="20"/>
                <w:color w:val="auto"/>
              </w:rPr>
            </w:pPr>
            <w:r>
              <w:rPr>
                <w:rFonts w:ascii="Arial" w:cs="Arial" w:eastAsia="Arial" w:hAnsi="Arial"/>
                <w:sz w:val="13"/>
                <w:szCs w:val="13"/>
                <w:b w:val="1"/>
                <w:bCs w:val="1"/>
                <w:color w:val="auto"/>
              </w:rPr>
              <w:t>$/PSF</w:t>
            </w:r>
          </w:p>
        </w:tc>
        <w:tc>
          <w:tcPr>
            <w:tcW w:w="1500" w:type="dxa"/>
            <w:vAlign w:val="bottom"/>
          </w:tcPr>
          <w:p>
            <w:pPr>
              <w:jc w:val="right"/>
              <w:ind w:right="64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4,881,227</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4,881,227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80.75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196,372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167,556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10,159,475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60.63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10,229,494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519,988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477,783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28,909,080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29,847,636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62.47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385,639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251,228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18,308,396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72.88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20,086,882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79.95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291,842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260,976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15,961,717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17,184,888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65.85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239,875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228,066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14,231,545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15,560,926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68.23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334,713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312,514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18,560,364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20,770,979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66.46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680,165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657,680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44,856,898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50,872,849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1,323,169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1,317,445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76,489,051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58.06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89,642,187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68.04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335,100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335,100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19,833,039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59.19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23,344,044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69.66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3,582,471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3,199,537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199,500,158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62.35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246,792,656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5"/>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265" w:right="339" w:bottom="1440" w:gutter="0" w:footer="0" w:header="0"/>
          <w:type w:val="continuous"/>
        </w:sectPr>
      </w:pPr>
    </w:p>
    <w:bookmarkStart w:id="57" w:name="page58"/>
    <w:bookmarkEnd w:id="57"/>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Washington, DC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BXP’s Share</w:t>
            </w: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8"/>
          </w:tcPr>
          <w:p>
            <w:pPr>
              <w:jc w:val="center"/>
              <w:ind w:right="20"/>
              <w:spacing w:after="0"/>
              <w:rPr>
                <w:sz w:val="20"/>
                <w:szCs w:val="20"/>
                <w:color w:val="auto"/>
              </w:rPr>
            </w:pPr>
            <w:r>
              <w:rPr>
                <w:rFonts w:ascii="Arial" w:cs="Arial" w:eastAsia="Arial" w:hAnsi="Arial"/>
                <w:sz w:val="13"/>
                <w:szCs w:val="13"/>
                <w:b w:val="1"/>
                <w:bCs w:val="1"/>
                <w:color w:val="auto"/>
              </w:rPr>
              <w:t>Current Annualized Rental Obligations Under</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tcBorders>
              <w:right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Annualized Rental Obligations Under</w:t>
            </w:r>
          </w:p>
        </w:tc>
        <w:tc>
          <w:tcPr>
            <w:tcW w:w="60" w:type="dxa"/>
            <w:vAlign w:val="bottom"/>
          </w:tcPr>
          <w:p>
            <w:pPr>
              <w:spacing w:after="0"/>
              <w:rPr>
                <w:sz w:val="19"/>
                <w:szCs w:val="19"/>
                <w:color w:val="auto"/>
              </w:rPr>
            </w:pPr>
          </w:p>
        </w:tc>
      </w:tr>
      <w:tr>
        <w:trPr>
          <w:trHeight w:val="186"/>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rPr>
              <w:t>Rentable Square</w:t>
            </w: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Rentable Square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00" w:type="dxa"/>
            <w:vAlign w:val="bottom"/>
            <w:tcBorders>
              <w:bottom w:val="single" w:sz="8" w:color="auto"/>
              <w:right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Expiring Leases with future step-ups</w:t>
            </w:r>
          </w:p>
        </w:tc>
        <w:tc>
          <w:tcPr>
            <w:tcW w:w="60" w:type="dxa"/>
            <w:vAlign w:val="bottom"/>
          </w:tcPr>
          <w:p>
            <w:pPr>
              <w:spacing w:after="0"/>
              <w:rPr>
                <w:sz w:val="16"/>
                <w:szCs w:val="16"/>
                <w:color w:val="auto"/>
              </w:rPr>
            </w:pPr>
          </w:p>
        </w:tc>
      </w:tr>
      <w:tr>
        <w:trPr>
          <w:trHeight w:val="199"/>
        </w:trPr>
        <w:tc>
          <w:tcPr>
            <w:tcW w:w="40" w:type="dxa"/>
            <w:vAlign w:val="bottom"/>
          </w:tcPr>
          <w:p>
            <w:pPr>
              <w:spacing w:after="0"/>
              <w:rPr>
                <w:sz w:val="17"/>
                <w:szCs w:val="17"/>
                <w:color w:val="auto"/>
              </w:rPr>
            </w:pPr>
          </w:p>
        </w:tc>
        <w:tc>
          <w:tcPr>
            <w:tcW w:w="14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3"/>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gridSpan w:val="2"/>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4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3"/>
          </w:tcPr>
          <w:p>
            <w:pPr>
              <w:spacing w:after="0"/>
              <w:rPr>
                <w:sz w:val="17"/>
                <w:szCs w:val="17"/>
                <w:color w:val="auto"/>
              </w:rPr>
            </w:pPr>
          </w:p>
        </w:tc>
        <w:tc>
          <w:tcPr>
            <w:tcW w:w="144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r>
      <w:tr>
        <w:trPr>
          <w:trHeight w:val="188"/>
        </w:trPr>
        <w:tc>
          <w:tcPr>
            <w:tcW w:w="40" w:type="dxa"/>
            <w:vAlign w:val="bottom"/>
          </w:tcPr>
          <w:p>
            <w:pPr>
              <w:spacing w:after="0"/>
              <w:rPr>
                <w:sz w:val="16"/>
                <w:szCs w:val="16"/>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Q1 2025</w:t>
            </w:r>
          </w:p>
        </w:tc>
        <w:tc>
          <w:tcPr>
            <w:tcW w:w="148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6"/>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Q2 2025</w:t>
            </w:r>
          </w:p>
        </w:tc>
        <w:tc>
          <w:tcPr>
            <w:tcW w:w="148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Q3 2025</w:t>
            </w:r>
          </w:p>
        </w:tc>
        <w:tc>
          <w:tcPr>
            <w:tcW w:w="148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6"/>
        </w:trPr>
        <w:tc>
          <w:tcPr>
            <w:tcW w:w="40" w:type="dxa"/>
            <w:vAlign w:val="bottom"/>
          </w:tcPr>
          <w:p>
            <w:pPr>
              <w:spacing w:after="0"/>
              <w:rPr>
                <w:sz w:val="17"/>
                <w:szCs w:val="17"/>
                <w:color w:val="auto"/>
              </w:rPr>
            </w:pPr>
          </w:p>
        </w:tc>
        <w:tc>
          <w:tcPr>
            <w:tcW w:w="1640" w:type="dxa"/>
            <w:vAlign w:val="bottom"/>
            <w:gridSpan w:val="6"/>
          </w:tcPr>
          <w:p>
            <w:pPr>
              <w:jc w:val="center"/>
              <w:ind w:right="200"/>
              <w:spacing w:after="0"/>
              <w:rPr>
                <w:sz w:val="20"/>
                <w:szCs w:val="20"/>
                <w:color w:val="auto"/>
              </w:rPr>
            </w:pPr>
            <w:r>
              <w:rPr>
                <w:rFonts w:ascii="Arial" w:cs="Arial" w:eastAsia="Arial" w:hAnsi="Arial"/>
                <w:sz w:val="14"/>
                <w:szCs w:val="14"/>
                <w:color w:val="auto"/>
              </w:rPr>
              <w:t>Q4 2025</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40" w:type="dxa"/>
            <w:vAlign w:val="bottom"/>
            <w:tcBorders>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4,881,227</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gridSpan w:val="3"/>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4,881,227</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80.75</w:t>
            </w:r>
          </w:p>
        </w:tc>
        <w:tc>
          <w:tcPr>
            <w:tcW w:w="60" w:type="dxa"/>
            <w:vAlign w:val="bottom"/>
          </w:tcPr>
          <w:p>
            <w:pPr>
              <w:spacing w:after="0"/>
              <w:rPr>
                <w:sz w:val="17"/>
                <w:szCs w:val="17"/>
                <w:color w:val="auto"/>
              </w:rPr>
            </w:pPr>
          </w:p>
        </w:tc>
      </w:tr>
      <w:tr>
        <w:trPr>
          <w:trHeight w:val="200"/>
        </w:trPr>
        <w:tc>
          <w:tcPr>
            <w:tcW w:w="40" w:type="dxa"/>
            <w:vAlign w:val="bottom"/>
          </w:tcPr>
          <w:p>
            <w:pPr>
              <w:spacing w:after="0"/>
              <w:rPr>
                <w:sz w:val="17"/>
                <w:szCs w:val="17"/>
                <w:color w:val="auto"/>
              </w:rPr>
            </w:pPr>
          </w:p>
        </w:tc>
        <w:tc>
          <w:tcPr>
            <w:tcW w:w="1640" w:type="dxa"/>
            <w:vAlign w:val="bottom"/>
            <w:gridSpan w:val="6"/>
          </w:tcPr>
          <w:p>
            <w:pPr>
              <w:jc w:val="center"/>
              <w:ind w:right="180"/>
              <w:spacing w:after="0"/>
              <w:rPr>
                <w:sz w:val="20"/>
                <w:szCs w:val="20"/>
                <w:color w:val="auto"/>
              </w:rPr>
            </w:pPr>
            <w:r>
              <w:rPr>
                <w:rFonts w:ascii="Arial" w:cs="Arial" w:eastAsia="Arial" w:hAnsi="Arial"/>
                <w:sz w:val="14"/>
                <w:szCs w:val="14"/>
                <w:color w:val="auto"/>
                <w:w w:val="99"/>
              </w:rPr>
              <w:t>Total 2025</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40" w:type="dxa"/>
            <w:vAlign w:val="bottom"/>
            <w:tcBorders>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4,881,227</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gridSpan w:val="3"/>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4,881,227</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80.75</w:t>
            </w:r>
          </w:p>
        </w:tc>
        <w:tc>
          <w:tcPr>
            <w:tcW w:w="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0" w:type="dxa"/>
            <w:vAlign w:val="bottom"/>
          </w:tcPr>
          <w:p>
            <w:pPr>
              <w:spacing w:after="0"/>
              <w:rPr>
                <w:sz w:val="24"/>
                <w:szCs w:val="24"/>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Q1 2026</w:t>
            </w:r>
          </w:p>
        </w:tc>
        <w:tc>
          <w:tcPr>
            <w:tcW w:w="1240" w:type="dxa"/>
            <w:vAlign w:val="bottom"/>
          </w:tcPr>
          <w:p>
            <w:pPr>
              <w:jc w:val="right"/>
              <w:spacing w:after="0"/>
              <w:rPr>
                <w:sz w:val="20"/>
                <w:szCs w:val="20"/>
                <w:color w:val="auto"/>
              </w:rPr>
            </w:pPr>
            <w:r>
              <w:rPr>
                <w:rFonts w:ascii="Arial" w:cs="Arial" w:eastAsia="Arial" w:hAnsi="Arial"/>
                <w:sz w:val="14"/>
                <w:szCs w:val="14"/>
                <w:color w:val="auto"/>
              </w:rPr>
              <w:t>25,534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22,738</w:t>
            </w:r>
          </w:p>
        </w:tc>
        <w:tc>
          <w:tcPr>
            <w:tcW w:w="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892,661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897,532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39.47</w:t>
            </w:r>
          </w:p>
        </w:tc>
        <w:tc>
          <w:tcPr>
            <w:tcW w:w="6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Q2 2026</w:t>
            </w:r>
          </w:p>
        </w:tc>
        <w:tc>
          <w:tcPr>
            <w:tcW w:w="1240" w:type="dxa"/>
            <w:vAlign w:val="bottom"/>
          </w:tcPr>
          <w:p>
            <w:pPr>
              <w:jc w:val="right"/>
              <w:spacing w:after="0"/>
              <w:rPr>
                <w:sz w:val="20"/>
                <w:szCs w:val="20"/>
                <w:color w:val="auto"/>
              </w:rPr>
            </w:pPr>
            <w:r>
              <w:rPr>
                <w:rFonts w:ascii="Arial" w:cs="Arial" w:eastAsia="Arial" w:hAnsi="Arial"/>
                <w:sz w:val="14"/>
                <w:szCs w:val="14"/>
                <w:color w:val="auto"/>
              </w:rPr>
              <w:t>40,827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40,827</w:t>
            </w:r>
          </w:p>
        </w:tc>
        <w:tc>
          <w:tcPr>
            <w:tcW w:w="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1,960,659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48.02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1,985,989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48.64</w:t>
            </w:r>
          </w:p>
        </w:tc>
        <w:tc>
          <w:tcPr>
            <w:tcW w:w="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Q3 2026</w:t>
            </w:r>
          </w:p>
        </w:tc>
        <w:tc>
          <w:tcPr>
            <w:tcW w:w="1240" w:type="dxa"/>
            <w:vAlign w:val="bottom"/>
          </w:tcPr>
          <w:p>
            <w:pPr>
              <w:jc w:val="right"/>
              <w:spacing w:after="0"/>
              <w:rPr>
                <w:sz w:val="20"/>
                <w:szCs w:val="20"/>
                <w:color w:val="auto"/>
              </w:rPr>
            </w:pPr>
            <w:r>
              <w:rPr>
                <w:rFonts w:ascii="Arial" w:cs="Arial" w:eastAsia="Arial" w:hAnsi="Arial"/>
                <w:sz w:val="14"/>
                <w:szCs w:val="14"/>
                <w:color w:val="auto"/>
              </w:rPr>
              <w:t>28,188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26,893</w:t>
            </w:r>
          </w:p>
        </w:tc>
        <w:tc>
          <w:tcPr>
            <w:tcW w:w="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2,365,962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2,321,900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86.34</w:t>
            </w:r>
          </w:p>
        </w:tc>
        <w:tc>
          <w:tcPr>
            <w:tcW w:w="60" w:type="dxa"/>
            <w:vAlign w:val="bottom"/>
          </w:tcPr>
          <w:p>
            <w:pPr>
              <w:spacing w:after="0"/>
              <w:rPr>
                <w:sz w:val="17"/>
                <w:szCs w:val="17"/>
                <w:color w:val="auto"/>
              </w:rPr>
            </w:pPr>
          </w:p>
        </w:tc>
      </w:tr>
      <w:tr>
        <w:trPr>
          <w:trHeight w:val="207"/>
        </w:trPr>
        <w:tc>
          <w:tcPr>
            <w:tcW w:w="40" w:type="dxa"/>
            <w:vAlign w:val="bottom"/>
          </w:tcPr>
          <w:p>
            <w:pPr>
              <w:spacing w:after="0"/>
              <w:rPr>
                <w:sz w:val="17"/>
                <w:szCs w:val="17"/>
                <w:color w:val="auto"/>
              </w:rPr>
            </w:pPr>
          </w:p>
        </w:tc>
        <w:tc>
          <w:tcPr>
            <w:tcW w:w="1640" w:type="dxa"/>
            <w:vAlign w:val="bottom"/>
            <w:gridSpan w:val="6"/>
          </w:tcPr>
          <w:p>
            <w:pPr>
              <w:jc w:val="center"/>
              <w:ind w:right="200"/>
              <w:spacing w:after="0"/>
              <w:rPr>
                <w:sz w:val="20"/>
                <w:szCs w:val="20"/>
                <w:color w:val="auto"/>
              </w:rPr>
            </w:pPr>
            <w:r>
              <w:rPr>
                <w:rFonts w:ascii="Arial" w:cs="Arial" w:eastAsia="Arial" w:hAnsi="Arial"/>
                <w:sz w:val="14"/>
                <w:szCs w:val="14"/>
                <w:color w:val="auto"/>
              </w:rPr>
              <w:t>Q4 2026</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79,504</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56,597</w:t>
            </w:r>
          </w:p>
        </w:tc>
        <w:tc>
          <w:tcPr>
            <w:tcW w:w="40" w:type="dxa"/>
            <w:vAlign w:val="bottom"/>
            <w:tcBorders>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3,969,628</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70.14</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gridSpan w:val="3"/>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4,050,226</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71.56</w:t>
            </w:r>
          </w:p>
        </w:tc>
        <w:tc>
          <w:tcPr>
            <w:tcW w:w="60" w:type="dxa"/>
            <w:vAlign w:val="bottom"/>
          </w:tcPr>
          <w:p>
            <w:pPr>
              <w:spacing w:after="0"/>
              <w:rPr>
                <w:sz w:val="17"/>
                <w:szCs w:val="17"/>
                <w:color w:val="auto"/>
              </w:rPr>
            </w:pPr>
          </w:p>
        </w:tc>
      </w:tr>
      <w:tr>
        <w:trPr>
          <w:trHeight w:val="200"/>
        </w:trPr>
        <w:tc>
          <w:tcPr>
            <w:tcW w:w="40" w:type="dxa"/>
            <w:vAlign w:val="bottom"/>
          </w:tcPr>
          <w:p>
            <w:pPr>
              <w:spacing w:after="0"/>
              <w:rPr>
                <w:sz w:val="17"/>
                <w:szCs w:val="17"/>
                <w:color w:val="auto"/>
              </w:rPr>
            </w:pPr>
          </w:p>
        </w:tc>
        <w:tc>
          <w:tcPr>
            <w:tcW w:w="1780" w:type="dxa"/>
            <w:vAlign w:val="bottom"/>
            <w:gridSpan w:val="7"/>
          </w:tcPr>
          <w:p>
            <w:pPr>
              <w:jc w:val="center"/>
              <w:ind w:right="320"/>
              <w:spacing w:after="0"/>
              <w:rPr>
                <w:sz w:val="20"/>
                <w:szCs w:val="20"/>
                <w:color w:val="auto"/>
              </w:rPr>
            </w:pPr>
            <w:r>
              <w:rPr>
                <w:rFonts w:ascii="Arial" w:cs="Arial" w:eastAsia="Arial" w:hAnsi="Arial"/>
                <w:sz w:val="14"/>
                <w:szCs w:val="14"/>
                <w:color w:val="auto"/>
                <w:w w:val="99"/>
              </w:rPr>
              <w:t>Total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174,053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147,054</w:t>
            </w:r>
          </w:p>
        </w:tc>
        <w:tc>
          <w:tcPr>
            <w:tcW w:w="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9,188,910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9,255,648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62.94</w:t>
            </w:r>
          </w:p>
        </w:tc>
        <w:tc>
          <w:tcPr>
            <w:tcW w:w="6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6"/>
        </w:trPr>
        <w:tc>
          <w:tcPr>
            <w:tcW w:w="1820" w:type="dxa"/>
            <w:vAlign w:val="bottom"/>
            <w:gridSpan w:val="8"/>
          </w:tcPr>
          <w:p>
            <w:pPr>
              <w:spacing w:after="0"/>
              <w:rPr>
                <w:sz w:val="20"/>
                <w:szCs w:val="20"/>
                <w:color w:val="auto"/>
              </w:rPr>
            </w:pPr>
            <w:r>
              <w:rPr>
                <w:rFonts w:ascii="Arial" w:cs="Arial" w:eastAsia="Arial" w:hAnsi="Arial"/>
                <w:sz w:val="14"/>
                <w:szCs w:val="14"/>
                <w:b w:val="1"/>
                <w:bCs w:val="1"/>
                <w:i w:val="1"/>
                <w:iCs w:val="1"/>
                <w:color w:val="auto"/>
              </w:rPr>
              <w:t>RETAIL</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
        </w:trPr>
        <w:tc>
          <w:tcPr>
            <w:tcW w:w="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188"/>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BXP’s Share</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9"/>
          </w:tcPr>
          <w:p>
            <w:pPr>
              <w:jc w:val="center"/>
              <w:ind w:right="60"/>
              <w:spacing w:after="0"/>
              <w:rPr>
                <w:sz w:val="20"/>
                <w:szCs w:val="20"/>
                <w:color w:val="auto"/>
              </w:rPr>
            </w:pPr>
            <w:r>
              <w:rPr>
                <w:rFonts w:ascii="Arial" w:cs="Arial" w:eastAsia="Arial" w:hAnsi="Arial"/>
                <w:sz w:val="13"/>
                <w:szCs w:val="13"/>
                <w:b w:val="1"/>
                <w:bCs w:val="1"/>
                <w:color w:val="auto"/>
              </w:rPr>
              <w:t>Current Annualized Rental Obligations Under</w:t>
            </w:r>
          </w:p>
        </w:tc>
        <w:tc>
          <w:tcPr>
            <w:tcW w:w="120" w:type="dxa"/>
            <w:vAlign w:val="bottom"/>
          </w:tcPr>
          <w:p>
            <w:pPr>
              <w:spacing w:after="0"/>
              <w:rPr>
                <w:sz w:val="19"/>
                <w:szCs w:val="19"/>
                <w:color w:val="auto"/>
              </w:rPr>
            </w:pPr>
          </w:p>
        </w:tc>
        <w:tc>
          <w:tcPr>
            <w:tcW w:w="3020" w:type="dxa"/>
            <w:vAlign w:val="bottom"/>
            <w:tcBorders>
              <w:right w:val="single" w:sz="8" w:color="auto"/>
            </w:tcBorders>
            <w:gridSpan w:val="10"/>
          </w:tcPr>
          <w:p>
            <w:pPr>
              <w:jc w:val="center"/>
              <w:ind w:right="20"/>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right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rPr>
              <w:t>Rentable Square</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Rentable Square</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Expiring Leases</w:t>
            </w:r>
          </w:p>
        </w:tc>
        <w:tc>
          <w:tcPr>
            <w:tcW w:w="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right w:val="single" w:sz="8" w:color="auto"/>
            </w:tcBorders>
            <w:gridSpan w:val="8"/>
          </w:tcPr>
          <w:p>
            <w:pPr>
              <w:jc w:val="center"/>
              <w:ind w:right="60"/>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3"/>
          </w:tcPr>
          <w:p>
            <w:pPr>
              <w:spacing w:after="0"/>
              <w:rPr>
                <w:sz w:val="17"/>
                <w:szCs w:val="17"/>
                <w:color w:val="auto"/>
              </w:rPr>
            </w:pPr>
          </w:p>
        </w:tc>
        <w:tc>
          <w:tcPr>
            <w:tcW w:w="16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3"/>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gridSpan w:val="3"/>
          </w:tcPr>
          <w:p>
            <w:pPr>
              <w:jc w:val="right"/>
              <w:ind w:right="629"/>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$/PSF</w:t>
            </w:r>
          </w:p>
        </w:tc>
      </w:tr>
      <w:tr>
        <w:trPr>
          <w:trHeight w:val="188"/>
        </w:trPr>
        <w:tc>
          <w:tcPr>
            <w:tcW w:w="40" w:type="dxa"/>
            <w:vAlign w:val="bottom"/>
          </w:tcPr>
          <w:p>
            <w:pPr>
              <w:spacing w:after="0"/>
              <w:rPr>
                <w:sz w:val="16"/>
                <w:szCs w:val="16"/>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Q1 2025</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Q2 2025</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Q3 2025</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7"/>
        </w:trPr>
        <w:tc>
          <w:tcPr>
            <w:tcW w:w="40" w:type="dxa"/>
            <w:vAlign w:val="bottom"/>
          </w:tcPr>
          <w:p>
            <w:pPr>
              <w:spacing w:after="0"/>
              <w:rPr>
                <w:sz w:val="17"/>
                <w:szCs w:val="17"/>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color w:val="auto"/>
              </w:rPr>
              <w:t>Q4 2025</w:t>
            </w:r>
          </w:p>
        </w:tc>
        <w:tc>
          <w:tcPr>
            <w:tcW w:w="16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7"/>
                <w:szCs w:val="17"/>
                <w:color w:val="auto"/>
              </w:rPr>
            </w:pPr>
          </w:p>
        </w:tc>
        <w:tc>
          <w:tcPr>
            <w:tcW w:w="4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3"/>
          </w:tcPr>
          <w:p>
            <w:pPr>
              <w:spacing w:after="0"/>
              <w:rPr>
                <w:sz w:val="17"/>
                <w:szCs w:val="17"/>
                <w:color w:val="auto"/>
              </w:rPr>
            </w:pPr>
          </w:p>
        </w:tc>
        <w:tc>
          <w:tcPr>
            <w:tcW w:w="40" w:type="dxa"/>
            <w:vAlign w:val="bottom"/>
            <w:tcBorders>
              <w:bottom w:val="single" w:sz="8" w:color="auto"/>
            </w:tcBorders>
            <w:gridSpan w:val="2"/>
          </w:tcPr>
          <w:p>
            <w:pPr>
              <w:spacing w:after="0"/>
              <w:rPr>
                <w:sz w:val="17"/>
                <w:szCs w:val="17"/>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0"/>
        </w:trPr>
        <w:tc>
          <w:tcPr>
            <w:tcW w:w="40" w:type="dxa"/>
            <w:vAlign w:val="bottom"/>
          </w:tcPr>
          <w:p>
            <w:pPr>
              <w:spacing w:after="0"/>
              <w:rPr>
                <w:sz w:val="17"/>
                <w:szCs w:val="17"/>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color w:val="auto"/>
                <w:w w:val="99"/>
              </w:rPr>
              <w:t>Total 2025</w:t>
            </w:r>
          </w:p>
        </w:tc>
        <w:tc>
          <w:tcPr>
            <w:tcW w:w="16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7"/>
                <w:szCs w:val="17"/>
                <w:color w:val="auto"/>
              </w:rPr>
            </w:pPr>
          </w:p>
        </w:tc>
        <w:tc>
          <w:tcPr>
            <w:tcW w:w="4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3"/>
          </w:tcPr>
          <w:p>
            <w:pPr>
              <w:spacing w:after="0"/>
              <w:rPr>
                <w:sz w:val="17"/>
                <w:szCs w:val="17"/>
                <w:color w:val="auto"/>
              </w:rPr>
            </w:pPr>
          </w:p>
        </w:tc>
        <w:tc>
          <w:tcPr>
            <w:tcW w:w="40" w:type="dxa"/>
            <w:vAlign w:val="bottom"/>
            <w:tcBorders>
              <w:bottom w:val="single" w:sz="8" w:color="auto"/>
            </w:tcBorders>
            <w:gridSpan w:val="2"/>
          </w:tcPr>
          <w:p>
            <w:pPr>
              <w:spacing w:after="0"/>
              <w:rPr>
                <w:sz w:val="17"/>
                <w:szCs w:val="17"/>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63"/>
        </w:trPr>
        <w:tc>
          <w:tcPr>
            <w:tcW w:w="40" w:type="dxa"/>
            <w:vAlign w:val="bottom"/>
          </w:tcPr>
          <w:p>
            <w:pPr>
              <w:spacing w:after="0"/>
              <w:rPr>
                <w:sz w:val="24"/>
                <w:szCs w:val="24"/>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Q1 2026</w:t>
            </w:r>
          </w:p>
        </w:tc>
        <w:tc>
          <w:tcPr>
            <w:tcW w:w="1240" w:type="dxa"/>
            <w:vAlign w:val="bottom"/>
          </w:tcPr>
          <w:p>
            <w:pPr>
              <w:jc w:val="right"/>
              <w:spacing w:after="0"/>
              <w:rPr>
                <w:sz w:val="20"/>
                <w:szCs w:val="20"/>
                <w:color w:val="auto"/>
              </w:rPr>
            </w:pPr>
            <w:r>
              <w:rPr>
                <w:rFonts w:ascii="Arial" w:cs="Arial" w:eastAsia="Arial" w:hAnsi="Arial"/>
                <w:sz w:val="14"/>
                <w:szCs w:val="14"/>
                <w:color w:val="auto"/>
              </w:rPr>
              <w:t>7,963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6,146</w:t>
            </w:r>
          </w:p>
        </w:tc>
        <w:tc>
          <w:tcPr>
            <w:tcW w:w="40" w:type="dxa"/>
            <w:vAlign w:val="bottom"/>
          </w:tcPr>
          <w:p>
            <w:pPr>
              <w:spacing w:after="0"/>
              <w:rPr>
                <w:sz w:val="24"/>
                <w:szCs w:val="24"/>
                <w:color w:val="auto"/>
              </w:rPr>
            </w:pPr>
          </w:p>
        </w:tc>
        <w:tc>
          <w:tcPr>
            <w:tcW w:w="1600" w:type="dxa"/>
            <w:vAlign w:val="bottom"/>
            <w:gridSpan w:val="3"/>
          </w:tcPr>
          <w:p>
            <w:pPr>
              <w:jc w:val="right"/>
              <w:ind w:right="9"/>
              <w:spacing w:after="0"/>
              <w:rPr>
                <w:sz w:val="20"/>
                <w:szCs w:val="20"/>
                <w:color w:val="auto"/>
              </w:rPr>
            </w:pPr>
            <w:r>
              <w:rPr>
                <w:rFonts w:ascii="Arial" w:cs="Arial" w:eastAsia="Arial" w:hAnsi="Arial"/>
                <w:sz w:val="14"/>
                <w:szCs w:val="14"/>
                <w:color w:val="auto"/>
              </w:rPr>
              <w:t>316,039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316,039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51.42</w:t>
            </w:r>
          </w:p>
        </w:tc>
        <w:tc>
          <w:tcPr>
            <w:tcW w:w="6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Q2 2026</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Q3 2026</w:t>
            </w:r>
          </w:p>
        </w:tc>
        <w:tc>
          <w:tcPr>
            <w:tcW w:w="1240" w:type="dxa"/>
            <w:vAlign w:val="bottom"/>
          </w:tcPr>
          <w:p>
            <w:pPr>
              <w:jc w:val="right"/>
              <w:spacing w:after="0"/>
              <w:rPr>
                <w:sz w:val="20"/>
                <w:szCs w:val="20"/>
                <w:color w:val="auto"/>
              </w:rPr>
            </w:pPr>
            <w:r>
              <w:rPr>
                <w:rFonts w:ascii="Arial" w:cs="Arial" w:eastAsia="Arial" w:hAnsi="Arial"/>
                <w:sz w:val="14"/>
                <w:szCs w:val="14"/>
                <w:color w:val="auto"/>
              </w:rPr>
              <w:t>3,872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3,872</w:t>
            </w:r>
          </w:p>
        </w:tc>
        <w:tc>
          <w:tcPr>
            <w:tcW w:w="40" w:type="dxa"/>
            <w:vAlign w:val="bottom"/>
          </w:tcPr>
          <w:p>
            <w:pPr>
              <w:spacing w:after="0"/>
              <w:rPr>
                <w:sz w:val="17"/>
                <w:szCs w:val="17"/>
                <w:color w:val="auto"/>
              </w:rPr>
            </w:pPr>
          </w:p>
        </w:tc>
        <w:tc>
          <w:tcPr>
            <w:tcW w:w="1600" w:type="dxa"/>
            <w:vAlign w:val="bottom"/>
            <w:gridSpan w:val="3"/>
          </w:tcPr>
          <w:p>
            <w:pPr>
              <w:jc w:val="right"/>
              <w:ind w:right="9"/>
              <w:spacing w:after="0"/>
              <w:rPr>
                <w:sz w:val="20"/>
                <w:szCs w:val="20"/>
                <w:color w:val="auto"/>
              </w:rPr>
            </w:pPr>
            <w:r>
              <w:rPr>
                <w:rFonts w:ascii="Arial" w:cs="Arial" w:eastAsia="Arial" w:hAnsi="Arial"/>
                <w:sz w:val="14"/>
                <w:szCs w:val="14"/>
                <w:color w:val="auto"/>
              </w:rPr>
              <w:t>230,945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59.64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230,945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59.64</w:t>
            </w:r>
          </w:p>
        </w:tc>
        <w:tc>
          <w:tcPr>
            <w:tcW w:w="6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color w:val="auto"/>
              </w:rPr>
              <w:t>Q4 2026</w:t>
            </w:r>
          </w:p>
        </w:tc>
        <w:tc>
          <w:tcPr>
            <w:tcW w:w="16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10,484</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423,581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426,863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40.72</w:t>
            </w:r>
          </w:p>
        </w:tc>
        <w:tc>
          <w:tcPr>
            <w:tcW w:w="60" w:type="dxa"/>
            <w:vAlign w:val="bottom"/>
            <w:tcBorders>
              <w:bottom w:val="single" w:sz="8" w:color="auto"/>
            </w:tcBorders>
          </w:tcPr>
          <w:p>
            <w:pPr>
              <w:spacing w:after="0"/>
              <w:rPr>
                <w:sz w:val="17"/>
                <w:szCs w:val="17"/>
                <w:color w:val="auto"/>
              </w:rPr>
            </w:pPr>
          </w:p>
        </w:tc>
      </w:tr>
      <w:tr>
        <w:trPr>
          <w:trHeight w:val="200"/>
        </w:trPr>
        <w:tc>
          <w:tcPr>
            <w:tcW w:w="40" w:type="dxa"/>
            <w:vAlign w:val="bottom"/>
          </w:tcPr>
          <w:p>
            <w:pPr>
              <w:spacing w:after="0"/>
              <w:rPr>
                <w:sz w:val="17"/>
                <w:szCs w:val="17"/>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w w:val="99"/>
              </w:rPr>
              <w:t>Total 2026</w:t>
            </w:r>
          </w:p>
        </w:tc>
        <w:tc>
          <w:tcPr>
            <w:tcW w:w="1240" w:type="dxa"/>
            <w:vAlign w:val="bottom"/>
          </w:tcPr>
          <w:p>
            <w:pPr>
              <w:jc w:val="right"/>
              <w:spacing w:after="0"/>
              <w:rPr>
                <w:sz w:val="20"/>
                <w:szCs w:val="20"/>
                <w:color w:val="auto"/>
              </w:rPr>
            </w:pPr>
            <w:r>
              <w:rPr>
                <w:rFonts w:ascii="Arial" w:cs="Arial" w:eastAsia="Arial" w:hAnsi="Arial"/>
                <w:sz w:val="14"/>
                <w:szCs w:val="14"/>
                <w:color w:val="auto"/>
              </w:rPr>
              <w:t>22,319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20,502</w:t>
            </w:r>
          </w:p>
        </w:tc>
        <w:tc>
          <w:tcPr>
            <w:tcW w:w="40" w:type="dxa"/>
            <w:vAlign w:val="bottom"/>
          </w:tcPr>
          <w:p>
            <w:pPr>
              <w:spacing w:after="0"/>
              <w:rPr>
                <w:sz w:val="17"/>
                <w:szCs w:val="17"/>
                <w:color w:val="auto"/>
              </w:rPr>
            </w:pPr>
          </w:p>
        </w:tc>
        <w:tc>
          <w:tcPr>
            <w:tcW w:w="1600" w:type="dxa"/>
            <w:vAlign w:val="bottom"/>
            <w:gridSpan w:val="3"/>
          </w:tcPr>
          <w:p>
            <w:pPr>
              <w:jc w:val="right"/>
              <w:ind w:right="9"/>
              <w:spacing w:after="0"/>
              <w:rPr>
                <w:sz w:val="20"/>
                <w:szCs w:val="20"/>
                <w:color w:val="auto"/>
              </w:rPr>
            </w:pPr>
            <w:r>
              <w:rPr>
                <w:rFonts w:ascii="Arial" w:cs="Arial" w:eastAsia="Arial" w:hAnsi="Arial"/>
                <w:sz w:val="14"/>
                <w:szCs w:val="14"/>
                <w:color w:val="auto"/>
              </w:rPr>
              <w:t>970,565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973,846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47.50</w:t>
            </w:r>
          </w:p>
        </w:tc>
        <w:tc>
          <w:tcPr>
            <w:tcW w:w="60" w:type="dxa"/>
            <w:vAlign w:val="bottom"/>
          </w:tcPr>
          <w:p>
            <w:pPr>
              <w:spacing w:after="0"/>
              <w:rPr>
                <w:sz w:val="17"/>
                <w:szCs w:val="17"/>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626"/>
        </w:trPr>
        <w:tc>
          <w:tcPr>
            <w:tcW w:w="1820" w:type="dxa"/>
            <w:vAlign w:val="bottom"/>
            <w:gridSpan w:val="8"/>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
        </w:trPr>
        <w:tc>
          <w:tcPr>
            <w:tcW w:w="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188"/>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BXP’s Share</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9"/>
          </w:tcPr>
          <w:p>
            <w:pPr>
              <w:jc w:val="center"/>
              <w:ind w:right="40"/>
              <w:spacing w:after="0"/>
              <w:rPr>
                <w:sz w:val="20"/>
                <w:szCs w:val="20"/>
                <w:color w:val="auto"/>
              </w:rPr>
            </w:pPr>
            <w:r>
              <w:rPr>
                <w:rFonts w:ascii="Arial" w:cs="Arial" w:eastAsia="Arial" w:hAnsi="Arial"/>
                <w:sz w:val="13"/>
                <w:szCs w:val="13"/>
                <w:b w:val="1"/>
                <w:bCs w:val="1"/>
                <w:color w:val="auto"/>
              </w:rPr>
              <w:t>Current Annualized Rental Obligations Under</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tcBorders>
              <w:right w:val="single" w:sz="8" w:color="auto"/>
            </w:tcBorders>
            <w:gridSpan w:val="8"/>
          </w:tcPr>
          <w:p>
            <w:pPr>
              <w:jc w:val="center"/>
              <w:ind w:right="60"/>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6"/>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right w:val="single" w:sz="8" w:color="auto"/>
            </w:tcBorders>
            <w:gridSpan w:val="5"/>
          </w:tcPr>
          <w:p>
            <w:pPr>
              <w:jc w:val="center"/>
              <w:ind w:right="420"/>
              <w:spacing w:after="0"/>
              <w:rPr>
                <w:sz w:val="20"/>
                <w:szCs w:val="20"/>
                <w:color w:val="auto"/>
              </w:rPr>
            </w:pPr>
            <w:r>
              <w:rPr>
                <w:rFonts w:ascii="Arial" w:cs="Arial" w:eastAsia="Arial" w:hAnsi="Arial"/>
                <w:sz w:val="13"/>
                <w:szCs w:val="13"/>
                <w:b w:val="1"/>
                <w:bCs w:val="1"/>
                <w:color w:val="auto"/>
              </w:rPr>
              <w:t>Rentable Square</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Rentable Square</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right w:val="single" w:sz="8" w:color="auto"/>
            </w:tcBorders>
            <w:gridSpan w:val="8"/>
          </w:tcPr>
          <w:p>
            <w:pPr>
              <w:jc w:val="center"/>
              <w:ind w:right="80"/>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9"/>
        </w:trPr>
        <w:tc>
          <w:tcPr>
            <w:tcW w:w="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3"/>
          </w:tcPr>
          <w:p>
            <w:pPr>
              <w:spacing w:after="0"/>
              <w:rPr>
                <w:sz w:val="17"/>
                <w:szCs w:val="17"/>
                <w:color w:val="auto"/>
              </w:rPr>
            </w:pPr>
          </w:p>
        </w:tc>
        <w:tc>
          <w:tcPr>
            <w:tcW w:w="180" w:type="dxa"/>
            <w:vAlign w:val="bottom"/>
            <w:tcBorders>
              <w:bottom w:val="single" w:sz="8" w:color="auto"/>
            </w:tcBorders>
            <w:gridSpan w:val="3"/>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40" w:type="dxa"/>
            <w:vAlign w:val="bottom"/>
            <w:tcBorders>
              <w:right w:val="single" w:sz="8" w:color="auto"/>
            </w:tcBorders>
            <w:gridSpan w:val="4"/>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$/PSF</w:t>
            </w: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460" w:type="dxa"/>
            <w:vAlign w:val="bottom"/>
            <w:tcBorders>
              <w:bottom w:val="single" w:sz="8" w:color="auto"/>
            </w:tcBorders>
            <w:gridSpan w:val="2"/>
          </w:tcPr>
          <w:p>
            <w:pPr>
              <w:jc w:val="right"/>
              <w:ind w:right="609"/>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$/PSF</w:t>
            </w:r>
          </w:p>
        </w:tc>
      </w:tr>
      <w:tr>
        <w:trPr>
          <w:trHeight w:val="188"/>
        </w:trPr>
        <w:tc>
          <w:tcPr>
            <w:tcW w:w="40" w:type="dxa"/>
            <w:vAlign w:val="bottom"/>
          </w:tcPr>
          <w:p>
            <w:pPr>
              <w:spacing w:after="0"/>
              <w:rPr>
                <w:sz w:val="16"/>
                <w:szCs w:val="16"/>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Q1 2025</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6"/>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Q2 2025</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Q3 2025</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7"/>
        </w:trPr>
        <w:tc>
          <w:tcPr>
            <w:tcW w:w="40" w:type="dxa"/>
            <w:vAlign w:val="bottom"/>
          </w:tcPr>
          <w:p>
            <w:pPr>
              <w:spacing w:after="0"/>
              <w:rPr>
                <w:sz w:val="17"/>
                <w:szCs w:val="17"/>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color w:val="auto"/>
              </w:rPr>
              <w:t>Q4 2025</w:t>
            </w:r>
          </w:p>
        </w:tc>
        <w:tc>
          <w:tcPr>
            <w:tcW w:w="180" w:type="dxa"/>
            <w:vAlign w:val="bottom"/>
            <w:tcBorders>
              <w:bottom w:val="single" w:sz="8" w:color="auto"/>
            </w:tcBorders>
            <w:gridSpan w:val="3"/>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4,881,227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4,881,227</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60" w:type="dxa"/>
            <w:vAlign w:val="bottom"/>
            <w:tcBorders>
              <w:bottom w:val="single" w:sz="8" w:color="auto"/>
            </w:tcBorders>
          </w:tcPr>
          <w:p>
            <w:pPr>
              <w:spacing w:after="0"/>
              <w:rPr>
                <w:sz w:val="17"/>
                <w:szCs w:val="17"/>
                <w:color w:val="auto"/>
              </w:rPr>
            </w:pPr>
          </w:p>
        </w:tc>
      </w:tr>
      <w:tr>
        <w:trPr>
          <w:trHeight w:val="200"/>
        </w:trPr>
        <w:tc>
          <w:tcPr>
            <w:tcW w:w="40" w:type="dxa"/>
            <w:vAlign w:val="bottom"/>
          </w:tcPr>
          <w:p>
            <w:pPr>
              <w:spacing w:after="0"/>
              <w:rPr>
                <w:sz w:val="17"/>
                <w:szCs w:val="17"/>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color w:val="auto"/>
                <w:w w:val="99"/>
              </w:rPr>
              <w:t>Total 2025</w:t>
            </w:r>
          </w:p>
        </w:tc>
        <w:tc>
          <w:tcPr>
            <w:tcW w:w="180" w:type="dxa"/>
            <w:vAlign w:val="bottom"/>
            <w:tcBorders>
              <w:bottom w:val="single" w:sz="8" w:color="auto"/>
            </w:tcBorders>
            <w:gridSpan w:val="3"/>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60,452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4,881,227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4,881,227</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w:t>
            </w:r>
          </w:p>
        </w:tc>
        <w:tc>
          <w:tcPr>
            <w:tcW w:w="60" w:type="dxa"/>
            <w:vAlign w:val="bottom"/>
            <w:tcBorders>
              <w:bottom w:val="single" w:sz="8" w:color="auto"/>
            </w:tcBorders>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3"/>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64"/>
        </w:trPr>
        <w:tc>
          <w:tcPr>
            <w:tcW w:w="40" w:type="dxa"/>
            <w:vAlign w:val="bottom"/>
          </w:tcPr>
          <w:p>
            <w:pPr>
              <w:spacing w:after="0"/>
              <w:rPr>
                <w:sz w:val="24"/>
                <w:szCs w:val="24"/>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Q1 2026</w:t>
            </w:r>
          </w:p>
        </w:tc>
        <w:tc>
          <w:tcPr>
            <w:tcW w:w="1240" w:type="dxa"/>
            <w:vAlign w:val="bottom"/>
          </w:tcPr>
          <w:p>
            <w:pPr>
              <w:jc w:val="right"/>
              <w:spacing w:after="0"/>
              <w:rPr>
                <w:sz w:val="20"/>
                <w:szCs w:val="20"/>
                <w:color w:val="auto"/>
              </w:rPr>
            </w:pPr>
            <w:r>
              <w:rPr>
                <w:rFonts w:ascii="Arial" w:cs="Arial" w:eastAsia="Arial" w:hAnsi="Arial"/>
                <w:sz w:val="14"/>
                <w:szCs w:val="14"/>
                <w:color w:val="auto"/>
              </w:rPr>
              <w:t>33,497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28,884</w:t>
            </w:r>
          </w:p>
        </w:tc>
        <w:tc>
          <w:tcPr>
            <w:tcW w:w="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1,208,700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41.85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1,213,571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42.02</w:t>
            </w:r>
          </w:p>
        </w:tc>
        <w:tc>
          <w:tcPr>
            <w:tcW w:w="60" w:type="dxa"/>
            <w:vAlign w:val="bottom"/>
          </w:tcPr>
          <w:p>
            <w:pPr>
              <w:spacing w:after="0"/>
              <w:rPr>
                <w:sz w:val="24"/>
                <w:szCs w:val="24"/>
                <w:color w:val="auto"/>
              </w:rPr>
            </w:pPr>
          </w:p>
        </w:tc>
      </w:tr>
      <w:tr>
        <w:trPr>
          <w:trHeight w:val="202"/>
        </w:trPr>
        <w:tc>
          <w:tcPr>
            <w:tcW w:w="40" w:type="dxa"/>
            <w:vAlign w:val="bottom"/>
          </w:tcPr>
          <w:p>
            <w:pPr>
              <w:spacing w:after="0"/>
              <w:rPr>
                <w:sz w:val="17"/>
                <w:szCs w:val="17"/>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Q2 2026</w:t>
            </w:r>
          </w:p>
        </w:tc>
        <w:tc>
          <w:tcPr>
            <w:tcW w:w="1240" w:type="dxa"/>
            <w:vAlign w:val="bottom"/>
          </w:tcPr>
          <w:p>
            <w:pPr>
              <w:jc w:val="right"/>
              <w:spacing w:after="0"/>
              <w:rPr>
                <w:sz w:val="20"/>
                <w:szCs w:val="20"/>
                <w:color w:val="auto"/>
              </w:rPr>
            </w:pPr>
            <w:r>
              <w:rPr>
                <w:rFonts w:ascii="Arial" w:cs="Arial" w:eastAsia="Arial" w:hAnsi="Arial"/>
                <w:sz w:val="14"/>
                <w:szCs w:val="14"/>
                <w:color w:val="auto"/>
              </w:rPr>
              <w:t>40,827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40,827</w:t>
            </w:r>
          </w:p>
        </w:tc>
        <w:tc>
          <w:tcPr>
            <w:tcW w:w="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1,960,659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48.02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1,985,989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48.64</w:t>
            </w:r>
          </w:p>
        </w:tc>
        <w:tc>
          <w:tcPr>
            <w:tcW w:w="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Q3 2026</w:t>
            </w:r>
          </w:p>
        </w:tc>
        <w:tc>
          <w:tcPr>
            <w:tcW w:w="1240" w:type="dxa"/>
            <w:vAlign w:val="bottom"/>
          </w:tcPr>
          <w:p>
            <w:pPr>
              <w:jc w:val="right"/>
              <w:spacing w:after="0"/>
              <w:rPr>
                <w:sz w:val="20"/>
                <w:szCs w:val="20"/>
                <w:color w:val="auto"/>
              </w:rPr>
            </w:pPr>
            <w:r>
              <w:rPr>
                <w:rFonts w:ascii="Arial" w:cs="Arial" w:eastAsia="Arial" w:hAnsi="Arial"/>
                <w:sz w:val="14"/>
                <w:szCs w:val="14"/>
                <w:color w:val="auto"/>
              </w:rPr>
              <w:t>32,060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30,765</w:t>
            </w:r>
          </w:p>
        </w:tc>
        <w:tc>
          <w:tcPr>
            <w:tcW w:w="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2,596,907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2,552,845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82.98</w:t>
            </w:r>
          </w:p>
        </w:tc>
        <w:tc>
          <w:tcPr>
            <w:tcW w:w="6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3"/>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67,081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4,393,209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65.49</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4,477,089</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66.74</w:t>
            </w:r>
          </w:p>
        </w:tc>
        <w:tc>
          <w:tcPr>
            <w:tcW w:w="60" w:type="dxa"/>
            <w:vAlign w:val="bottom"/>
            <w:tcBorders>
              <w:bottom w:val="single" w:sz="8" w:color="auto"/>
            </w:tcBorders>
          </w:tcPr>
          <w:p>
            <w:pPr>
              <w:spacing w:after="0"/>
              <w:rPr>
                <w:sz w:val="17"/>
                <w:szCs w:val="17"/>
                <w:color w:val="auto"/>
              </w:rPr>
            </w:pPr>
          </w:p>
        </w:tc>
      </w:tr>
      <w:tr>
        <w:trPr>
          <w:trHeight w:val="200"/>
        </w:trPr>
        <w:tc>
          <w:tcPr>
            <w:tcW w:w="40" w:type="dxa"/>
            <w:vAlign w:val="bottom"/>
          </w:tcPr>
          <w:p>
            <w:pPr>
              <w:spacing w:after="0"/>
              <w:rPr>
                <w:sz w:val="17"/>
                <w:szCs w:val="17"/>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w w:val="99"/>
              </w:rPr>
              <w:t>Total 2026</w:t>
            </w:r>
          </w:p>
        </w:tc>
        <w:tc>
          <w:tcPr>
            <w:tcW w:w="1240" w:type="dxa"/>
            <w:vAlign w:val="bottom"/>
          </w:tcPr>
          <w:p>
            <w:pPr>
              <w:jc w:val="right"/>
              <w:spacing w:after="0"/>
              <w:rPr>
                <w:sz w:val="20"/>
                <w:szCs w:val="20"/>
                <w:color w:val="auto"/>
              </w:rPr>
            </w:pPr>
            <w:r>
              <w:rPr>
                <w:rFonts w:ascii="Arial" w:cs="Arial" w:eastAsia="Arial" w:hAnsi="Arial"/>
                <w:sz w:val="14"/>
                <w:szCs w:val="14"/>
                <w:color w:val="auto"/>
              </w:rPr>
              <w:t>196,372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167,556</w:t>
            </w:r>
          </w:p>
        </w:tc>
        <w:tc>
          <w:tcPr>
            <w:tcW w:w="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10,159,475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60.63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10,229,494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61.05</w:t>
            </w:r>
          </w:p>
        </w:tc>
        <w:tc>
          <w:tcPr>
            <w:tcW w:w="6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6"/>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265" w:right="339" w:bottom="1440" w:gutter="0" w:footer="0" w:header="0"/>
          <w:type w:val="continuous"/>
        </w:sectPr>
      </w:pPr>
    </w:p>
    <w:bookmarkStart w:id="58" w:name="page59"/>
    <w:bookmarkEnd w:id="58"/>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CBD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Boston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206"/>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65"/>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line="165" w:lineRule="exact"/>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line="16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14,253</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14,253</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1,167,867</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81.94</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1,167,867</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81.94</w:t>
            </w:r>
          </w:p>
        </w:tc>
      </w:tr>
      <w:tr>
        <w:trPr>
          <w:trHeight w:val="28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268,670</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217,583</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16,556,201</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76.09</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16,730,531</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76.89</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356,135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340,960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31,611,322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92.71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32,152,457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94.30</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650,518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625,289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73,158,294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117.00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77,334,695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123.68</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787,449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653,288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59,135,415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90.52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61,722,719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94.48</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1,211,977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1,160,123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87,283,855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75.24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91,569,049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78.93</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57,461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49,909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4,212,754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84.41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4,639,666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92.96</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863,930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863,339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71,698,071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83.05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88,880,537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102.95</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587,671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528,845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45,594,804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86.22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69,648,806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131.70</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1,264,793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1,083,697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97,676,057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90.13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108,626,955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100.24</w:t>
            </w:r>
          </w:p>
        </w:tc>
      </w:tr>
      <w:tr>
        <w:trPr>
          <w:trHeight w:val="203"/>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4,564,615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3,622,562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318,390,589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87.89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397,304,650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109.68</w:t>
            </w:r>
          </w:p>
        </w:tc>
      </w:tr>
      <w:tr>
        <w:trPr>
          <w:trHeight w:val="533"/>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Los Angeles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85"/>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line="185" w:lineRule="exact"/>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line="18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766</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766</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51,290</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66.96</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51,290</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66.96</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186,179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176,585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11,662,183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66.04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11,668,911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66.08</w:t>
            </w: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7,367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7,367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305,388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41.45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316,294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42.93</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299,852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202,055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15,784,916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78.12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17,135,800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84.81</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455,174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280,218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19,833,318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70.78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22,018,858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78.58</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65,797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65,797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4,661,436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70.85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5,318,880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80.84</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7,752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7,752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540,350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69.7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638,831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82.41</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246,667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127,701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10,876,902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85.18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13,253,593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103.79</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186,894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93,447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6,578,697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11,108,262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118.87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23,732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13,736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485,145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35.32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547,985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39.90</w:t>
            </w:r>
          </w:p>
        </w:tc>
      </w:tr>
      <w:tr>
        <w:trPr>
          <w:trHeight w:val="203"/>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508,511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508,511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39,958,075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78.58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47,375,141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93.16</w:t>
            </w:r>
          </w:p>
        </w:tc>
      </w:tr>
      <w:tr>
        <w:trPr>
          <w:trHeight w:val="695"/>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New York</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85"/>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line="185" w:lineRule="exact"/>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line="18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32,944</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32,944</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2,992,843</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90.85</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2,992,843</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90.85</w:t>
            </w:r>
          </w:p>
        </w:tc>
      </w:tr>
      <w:tr>
        <w:trPr>
          <w:trHeight w:val="284"/>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103,021</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80,172</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16,480,631</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205.57</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16,534,901</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206.24</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165,431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123,467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12,404,512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100.47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12,372,484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100.21</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231,633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172,299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20,539,374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119.21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20,585,687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119.48</w:t>
            </w: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790,423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574,174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58,866,662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102.52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60,445,103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105.27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470,522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397,495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44,527,535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112.02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45,871,317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115.40</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465,739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377,140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43,543,414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115.46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46,149,939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122.37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251,528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160,135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15,414,602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96.26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16,109,450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100.60</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396,861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352,270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42,561,437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120.82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46,763,611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132.75</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1,457,472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1,127,034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134,082,917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118.97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147,641,116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131</w:t>
            </w:r>
          </w:p>
        </w:tc>
      </w:tr>
      <w:tr>
        <w:trPr>
          <w:trHeight w:val="203"/>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4,739,186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3,201,090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341,026,898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106.53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383,980,754</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119.95</w:t>
            </w: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265" w:right="339" w:bottom="1440" w:gutter="0" w:footer="0" w:header="0"/>
        </w:sectPr>
      </w:pPr>
    </w:p>
    <w:bookmarkStart w:id="59" w:name="page60"/>
    <w:bookmarkEnd w:id="59"/>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CBD properties (continued)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 Francisco</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197"/>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08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85"/>
        </w:trPr>
        <w:tc>
          <w:tcPr>
            <w:tcW w:w="1540" w:type="dxa"/>
            <w:vAlign w:val="bottom"/>
            <w:gridSpan w:val="3"/>
          </w:tcPr>
          <w:p>
            <w:pPr>
              <w:ind w:left="540"/>
              <w:spacing w:after="0"/>
              <w:rPr>
                <w:sz w:val="20"/>
                <w:szCs w:val="20"/>
                <w:color w:val="auto"/>
              </w:rPr>
            </w:pPr>
            <w:r>
              <w:rPr>
                <w:rFonts w:ascii="Arial" w:cs="Arial" w:eastAsia="Arial" w:hAnsi="Arial"/>
                <w:sz w:val="13"/>
                <w:szCs w:val="13"/>
                <w:b w:val="1"/>
                <w:bCs w:val="1"/>
                <w:color w:val="auto"/>
              </w:rPr>
              <w:t>Year</w:t>
            </w:r>
          </w:p>
        </w:tc>
        <w:tc>
          <w:tcPr>
            <w:tcW w:w="1520" w:type="dxa"/>
            <w:vAlign w:val="bottom"/>
            <w:tcBorders>
              <w:right w:val="single" w:sz="8" w:color="auto"/>
            </w:tcBorders>
            <w:gridSpan w:val="3"/>
          </w:tcPr>
          <w:p>
            <w:pPr>
              <w:jc w:val="center"/>
              <w:ind w:right="220"/>
              <w:spacing w:after="0" w:line="18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3"/>
          </w:tcPr>
          <w:p>
            <w:pPr>
              <w:jc w:val="center"/>
              <w:ind w:right="220"/>
              <w:spacing w:after="0" w:line="18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$/PSF</w:t>
            </w:r>
          </w:p>
        </w:tc>
        <w:tc>
          <w:tcPr>
            <w:tcW w:w="1600" w:type="dxa"/>
            <w:vAlign w:val="bottom"/>
            <w:gridSpan w:val="2"/>
          </w:tcPr>
          <w:p>
            <w:pPr>
              <w:jc w:val="right"/>
              <w:ind w:right="692"/>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right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$/PSF</w:t>
            </w:r>
          </w:p>
        </w:tc>
      </w:tr>
      <w:tr>
        <w:trPr>
          <w:trHeight w:val="188"/>
        </w:trPr>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27,932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27,932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2,573,771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92.14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2,573,771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92.14</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306,367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306,367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30,189,836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98.54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32,154,058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104.95</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390,545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390,545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41,158,860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105.39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42,536,200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108.91</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357,968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357,968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40,845,965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114.11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43,192,933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120.66</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502,652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502,652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47,779,156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95.05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51,405,269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102.27</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347,638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347,638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33,908,791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97.54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38,055,019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109.47</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963,365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963,365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106,560,802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110.61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115,192,003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119.57</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339,022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339,022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29,672,972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87.53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35,349,034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104.27</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626,058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626,058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68,165,764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108.88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75,758,430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121.01</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100,631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100,631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8,216,811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81.65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10,342,472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102.78</w:t>
            </w:r>
          </w:p>
        </w:tc>
      </w:tr>
      <w:tr>
        <w:trPr>
          <w:trHeight w:val="203"/>
        </w:trPr>
        <w:tc>
          <w:tcPr>
            <w:tcW w:w="154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435,011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435,011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42,830,391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98.46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56,223,053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129.25</w:t>
            </w:r>
          </w:p>
        </w:tc>
      </w:tr>
      <w:tr>
        <w:trPr>
          <w:trHeight w:val="694"/>
        </w:trPr>
        <w:tc>
          <w:tcPr>
            <w:tcW w:w="1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Seattle</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7"/>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08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20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65"/>
        </w:trPr>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4"/>
                <w:szCs w:val="14"/>
                <w:color w:val="auto"/>
              </w:rPr>
            </w:pPr>
          </w:p>
        </w:tc>
        <w:tc>
          <w:tcPr>
            <w:tcW w:w="1320" w:type="dxa"/>
            <w:vAlign w:val="bottom"/>
            <w:tcBorders>
              <w:bottom w:val="single" w:sz="8" w:color="auto"/>
            </w:tcBorders>
            <w:gridSpan w:val="2"/>
          </w:tcPr>
          <w:p>
            <w:pPr>
              <w:jc w:val="center"/>
              <w:spacing w:after="0" w:line="165" w:lineRule="exact"/>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200" w:type="dxa"/>
            <w:vAlign w:val="bottom"/>
            <w:tcBorders>
              <w:right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line="16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80" w:type="dxa"/>
            <w:vAlign w:val="bottom"/>
          </w:tcPr>
          <w:p>
            <w:pPr>
              <w:spacing w:after="0"/>
              <w:rPr>
                <w:sz w:val="14"/>
                <w:szCs w:val="14"/>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tcPr>
          <w:p>
            <w:pPr>
              <w:jc w:val="right"/>
              <w:ind w:right="692"/>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$/PSF</w:t>
            </w:r>
          </w:p>
        </w:tc>
      </w:tr>
      <w:tr>
        <w:trPr>
          <w:trHeight w:val="188"/>
        </w:trPr>
        <w:tc>
          <w:tcPr>
            <w:tcW w:w="1340" w:type="dxa"/>
            <w:vAlign w:val="bottom"/>
          </w:tcPr>
          <w:p>
            <w:pPr>
              <w:jc w:val="center"/>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56,677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19,083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948,190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49.69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948,190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49.69</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71,003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67,221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4,010,729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59.66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4,097,839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60.96</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77,785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74,224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4,315,791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58.15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4,471,476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60.24</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602,327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303,390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17,089,294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56.33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17,919,429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59.06</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233,502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212,700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11,530,560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54.21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11,982,412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56.33</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40,707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40,707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2,413,273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59.28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2,655,900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65.24</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30,219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20,935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1,186,637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56.68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1,318,955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63.00</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70,933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57,584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4,211,558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73.14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4,866,692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84.51</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3"/>
        </w:trPr>
        <w:tc>
          <w:tcPr>
            <w:tcW w:w="1540" w:type="dxa"/>
            <w:vAlign w:val="bottom"/>
            <w:gridSpan w:val="3"/>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63,925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23,614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1,638,595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69.39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2,006,913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84.99</w:t>
            </w:r>
          </w:p>
        </w:tc>
      </w:tr>
      <w:tr>
        <w:trPr>
          <w:trHeight w:val="452"/>
        </w:trPr>
        <w:tc>
          <w:tcPr>
            <w:tcW w:w="1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Washington, DC</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
        </w:trPr>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7"/>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7"/>
                <w:szCs w:val="17"/>
                <w:color w:val="auto"/>
              </w:rPr>
            </w:pPr>
          </w:p>
        </w:tc>
        <w:tc>
          <w:tcPr>
            <w:tcW w:w="308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85"/>
        </w:trPr>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200" w:type="dxa"/>
            <w:vAlign w:val="bottom"/>
            <w:tcBorders>
              <w:right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80" w:type="dxa"/>
            <w:vAlign w:val="bottom"/>
          </w:tcPr>
          <w:p>
            <w:pPr>
              <w:spacing w:after="0"/>
              <w:rPr>
                <w:sz w:val="16"/>
                <w:szCs w:val="16"/>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$/PSF</w:t>
            </w:r>
          </w:p>
        </w:tc>
      </w:tr>
      <w:tr>
        <w:trPr>
          <w:trHeight w:val="188"/>
        </w:trPr>
        <w:tc>
          <w:tcPr>
            <w:tcW w:w="1340" w:type="dxa"/>
            <w:vAlign w:val="bottom"/>
          </w:tcPr>
          <w:p>
            <w:pPr>
              <w:jc w:val="center"/>
              <w:spacing w:after="0"/>
              <w:rPr>
                <w:sz w:val="20"/>
                <w:szCs w:val="20"/>
                <w:color w:val="auto"/>
              </w:rPr>
            </w:pPr>
            <w:r>
              <w:rPr>
                <w:rFonts w:ascii="Arial" w:cs="Arial" w:eastAsia="Arial" w:hAnsi="Arial"/>
                <w:sz w:val="14"/>
                <w:szCs w:val="14"/>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60,452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60,452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4,881,227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80.75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4,881,227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80.75</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176,445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147,629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9,323,774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63.16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9,389,757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63.60</w:t>
            </w:r>
          </w:p>
        </w:tc>
      </w:tr>
      <w:tr>
        <w:trPr>
          <w:trHeight w:val="202"/>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504,412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462,207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28,093,911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60.78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29,027,637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62.80</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385,639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251,228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18,308,396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72.88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20,086,882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79.95</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278,257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247,391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15,362,985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62.10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16,539,617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66.86</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215,890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204,081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13,326,874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65.30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14,554,338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71.32</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320,350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298,151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18,000,860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60.37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20,144,278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67.56</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680,165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657,680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44,856,897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68.20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50,872,849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77.35</w:t>
            </w:r>
          </w:p>
        </w:tc>
      </w:tr>
      <w:tr>
        <w:trPr>
          <w:trHeight w:val="202"/>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1,251,425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1,245,701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74,705,620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59.97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87,840,317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70.51</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326,638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326,638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19,499,475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59.70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22,938,637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70.23</w:t>
            </w:r>
          </w:p>
        </w:tc>
      </w:tr>
      <w:tr>
        <w:trPr>
          <w:trHeight w:val="203"/>
        </w:trPr>
        <w:tc>
          <w:tcPr>
            <w:tcW w:w="1540" w:type="dxa"/>
            <w:vAlign w:val="bottom"/>
            <w:gridSpan w:val="3"/>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3,582,471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3,199,537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199,500,158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62.35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246,792,656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77.13</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Includes partially placed in-service leased space. Does not include residential units and hotel.</w:t>
      </w:r>
    </w:p>
    <w:p>
      <w:pPr>
        <w:spacing w:after="0" w:line="41" w:lineRule="exact"/>
        <w:rPr>
          <w:sz w:val="20"/>
          <w:szCs w:val="20"/>
          <w:color w:val="auto"/>
        </w:rPr>
      </w:pPr>
    </w:p>
    <w:p>
      <w:pPr>
        <w:ind w:left="80" w:right="200" w:hanging="72"/>
        <w:spacing w:after="0" w:line="238" w:lineRule="auto"/>
        <w:tabs>
          <w:tab w:leader="none" w:pos="78" w:val="left"/>
        </w:tabs>
        <w:numPr>
          <w:ilvl w:val="0"/>
          <w:numId w:val="118"/>
        </w:numPr>
        <w:rPr>
          <w:rFonts w:ascii="Arial" w:cs="Arial" w:eastAsia="Arial" w:hAnsi="Arial"/>
          <w:sz w:val="18"/>
          <w:szCs w:val="18"/>
          <w:color w:val="auto"/>
          <w:vertAlign w:val="superscript"/>
        </w:rPr>
      </w:pP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 dates. In those cases, the data is included in the year in which the replacement lease expires.</w:t>
      </w:r>
    </w:p>
    <w:p>
      <w:pPr>
        <w:ind w:left="80" w:hanging="72"/>
        <w:spacing w:after="0" w:line="223" w:lineRule="auto"/>
        <w:tabs>
          <w:tab w:leader="none" w:pos="80" w:val="left"/>
        </w:tabs>
        <w:numPr>
          <w:ilvl w:val="0"/>
          <w:numId w:val="119"/>
        </w:numPr>
        <w:rPr>
          <w:rFonts w:ascii="Arial" w:cs="Arial" w:eastAsia="Arial" w:hAnsi="Arial"/>
          <w:sz w:val="19"/>
          <w:szCs w:val="19"/>
          <w:color w:val="auto"/>
          <w:vertAlign w:val="superscript"/>
        </w:rPr>
      </w:pPr>
      <w:r>
        <w:rPr>
          <w:rFonts w:ascii="Arial" w:cs="Arial" w:eastAsia="Arial" w:hAnsi="Arial"/>
          <w:sz w:val="14"/>
          <w:szCs w:val="14"/>
          <w:color w:val="auto"/>
        </w:rPr>
        <w:t>Represents rentable square footage that is anticipated to become vacant in the noted period.</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265" w:right="339" w:bottom="1440" w:gutter="0" w:footer="0" w:header="0"/>
          <w:type w:val="continuous"/>
        </w:sectPr>
      </w:pPr>
    </w:p>
    <w:bookmarkStart w:id="60" w:name="page61"/>
    <w:bookmarkEnd w:id="60"/>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Suburban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Boston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206"/>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7"/>
                <w:szCs w:val="17"/>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65"/>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line="165" w:lineRule="exact"/>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line="16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32,117</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32,117</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1,512,898</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47.11</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1,512,898</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47.11</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142,826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142,826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9,694,739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67.88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9,836,605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68.87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173,158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173,158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10,956,110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63.27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11,243,282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64.93</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274,814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274,814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15,634,357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56.89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16,376,655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59.59</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474,940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474,940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23,639,927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49.77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25,929,409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54.60</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178,777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178,777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10,957,948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61.29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12,294,373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68.77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634,106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573,766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38,520,828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67.14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41,515,657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72.36</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213,282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213,282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12,696,998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59.53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14,151,759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66.35</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350,366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350,366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27,189,680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77.60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31,066,513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88.67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326,384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326,384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24,277,906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74.38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28,099,357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86.09</w:t>
            </w:r>
          </w:p>
        </w:tc>
      </w:tr>
      <w:tr>
        <w:trPr>
          <w:trHeight w:val="203"/>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502,785</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502,785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22,949,315</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45.64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29,552,996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58.78</w:t>
            </w:r>
          </w:p>
        </w:tc>
      </w:tr>
      <w:tr>
        <w:trPr>
          <w:trHeight w:val="640"/>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New York</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208"/>
        </w:trPr>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8"/>
                <w:szCs w:val="18"/>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64"/>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line="164" w:lineRule="exact"/>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line="164"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3,071</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3,071</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91,105</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29.67</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91,105</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29.67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124,933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124,933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4,959,914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39.70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4,984,911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39.90</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222,751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222,751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8,563,360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38.44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8,712,331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39.11</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104,931</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104,931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4,159,997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39.65</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4,096,313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39.04</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158,749</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158,749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5,645,283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35.56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5,897,263</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37.15</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125,143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125,143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5,021,434</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40.13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5,276,457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42.16</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185,668</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185,668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7,589,569</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40.88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7,935,227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42.74</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113,126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113,126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4,506,121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39.83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4,699,201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41.54</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40,920</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40,920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1,553,150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37.96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1,695,341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41.43</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498,522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498,522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20,118,143</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40.36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22,109,259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44.35</w:t>
            </w:r>
          </w:p>
        </w:tc>
      </w:tr>
      <w:tr>
        <w:trPr>
          <w:trHeight w:val="641"/>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San Francisco</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7"/>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85"/>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line="185" w:lineRule="exact"/>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line="18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80,767</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65,949</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5,501,902</w:t>
            </w:r>
          </w:p>
        </w:tc>
        <w:tc>
          <w:tcPr>
            <w:tcW w:w="180" w:type="dxa"/>
            <w:vAlign w:val="bottom"/>
          </w:tcPr>
          <w:p>
            <w:pPr>
              <w:spacing w:after="0"/>
              <w:rPr>
                <w:sz w:val="16"/>
                <w:szCs w:val="16"/>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83.43</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5,503,805</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83.46</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293,934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204,750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16,378,626</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79.99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16,409,346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80.14</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158,646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139,112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9,273,807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66.66</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9,653,566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69.39</w:t>
            </w: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121,002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101,244</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5,206,617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51.43</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5,119,426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50.57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179,584</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117,772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7,080,431</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60.12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7,708,556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65.45</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152,277</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122,048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7,550,998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61.87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8,503,358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69.67</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76,962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44,840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3,101,660</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69.17</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2,930,460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65.35</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72,796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36,398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2,416,737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66.40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2,667,595</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73.29</w:t>
            </w:r>
          </w:p>
        </w:tc>
      </w:tr>
      <w:tr>
        <w:trPr>
          <w:trHeight w:val="203"/>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12,456</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6,228</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403,538</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64.79</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436,809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70.14</w:t>
            </w:r>
          </w:p>
        </w:tc>
      </w:tr>
      <w:tr>
        <w:trPr>
          <w:trHeight w:val="202"/>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230,592</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112,990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13,119,082</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116.11</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16,235,091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143.69</w:t>
            </w:r>
          </w:p>
        </w:tc>
      </w:tr>
      <w:tr>
        <w:trPr>
          <w:trHeight w:val="203"/>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4,083</w:t>
            </w:r>
          </w:p>
        </w:tc>
        <w:tc>
          <w:tcPr>
            <w:tcW w:w="20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2,042</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101,667</w:t>
            </w:r>
          </w:p>
        </w:tc>
        <w:tc>
          <w:tcPr>
            <w:tcW w:w="180" w:type="dxa"/>
            <w:vAlign w:val="bottom"/>
          </w:tcPr>
          <w:p>
            <w:pPr>
              <w:spacing w:after="0"/>
              <w:rPr>
                <w:sz w:val="17"/>
                <w:szCs w:val="17"/>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49.80</w:t>
            </w: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132,652</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64.98</w:t>
            </w: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265" w:right="339" w:bottom="1440" w:gutter="0" w:footer="0" w:header="0"/>
        </w:sectPr>
      </w:pPr>
    </w:p>
    <w:bookmarkStart w:id="61" w:name="page62"/>
    <w:bookmarkEnd w:id="61"/>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-69850</wp:posOffset>
            </wp:positionV>
            <wp:extent cx="257175"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Suburban properties (continued)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Washington, DC</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BXP’s Share</w:t>
            </w:r>
          </w:p>
        </w:tc>
        <w:tc>
          <w:tcPr>
            <w:tcW w:w="1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197"/>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4"/>
          </w:tcPr>
          <w:p>
            <w:pPr>
              <w:ind w:left="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8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206"/>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ind w:left="1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right"/>
              <w:ind w:right="949"/>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7"/>
                <w:szCs w:val="17"/>
                <w:color w:val="auto"/>
              </w:rPr>
            </w:pPr>
          </w:p>
        </w:tc>
        <w:tc>
          <w:tcPr>
            <w:tcW w:w="3080" w:type="dxa"/>
            <w:vAlign w:val="bottom"/>
            <w:tcBorders>
              <w:bottom w:val="single" w:sz="8" w:color="auto"/>
              <w:right w:val="single" w:sz="8" w:color="auto"/>
            </w:tcBorders>
            <w:gridSpan w:val="3"/>
          </w:tcPr>
          <w:p>
            <w:pPr>
              <w:jc w:val="right"/>
              <w:ind w:right="588"/>
              <w:spacing w:after="0"/>
              <w:rPr>
                <w:sz w:val="20"/>
                <w:szCs w:val="20"/>
                <w:color w:val="auto"/>
              </w:rPr>
            </w:pPr>
            <w:r>
              <w:rPr>
                <w:rFonts w:ascii="Arial" w:cs="Arial" w:eastAsia="Arial" w:hAnsi="Arial"/>
                <w:sz w:val="13"/>
                <w:szCs w:val="13"/>
                <w:b w:val="1"/>
                <w:bCs w:val="1"/>
                <w:color w:val="auto"/>
              </w:rPr>
              <w:t>Leases with future step-ups</w:t>
            </w:r>
          </w:p>
        </w:tc>
      </w:tr>
      <w:tr>
        <w:trPr>
          <w:trHeight w:val="165"/>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200" w:type="dxa"/>
            <w:vAlign w:val="bottom"/>
          </w:tcPr>
          <w:p>
            <w:pPr>
              <w:spacing w:after="0"/>
              <w:rPr>
                <w:sz w:val="14"/>
                <w:szCs w:val="14"/>
                <w:color w:val="auto"/>
              </w:rPr>
            </w:pPr>
          </w:p>
        </w:tc>
        <w:tc>
          <w:tcPr>
            <w:tcW w:w="1300" w:type="dxa"/>
            <w:vAlign w:val="bottom"/>
            <w:tcBorders>
              <w:bottom w:val="single" w:sz="8" w:color="auto"/>
            </w:tcBorders>
          </w:tcPr>
          <w:p>
            <w:pPr>
              <w:jc w:val="right"/>
              <w:ind w:right="289"/>
              <w:spacing w:after="0" w:line="16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4"/>
                <w:szCs w:val="14"/>
                <w:color w:val="auto"/>
              </w:rPr>
            </w:pPr>
          </w:p>
        </w:tc>
        <w:tc>
          <w:tcPr>
            <w:tcW w:w="1280" w:type="dxa"/>
            <w:vAlign w:val="bottom"/>
            <w:tcBorders>
              <w:bottom w:val="single" w:sz="8" w:color="auto"/>
            </w:tcBorders>
          </w:tcPr>
          <w:p>
            <w:pPr>
              <w:jc w:val="right"/>
              <w:ind w:right="289"/>
              <w:spacing w:after="0" w:line="165"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200" w:type="dxa"/>
            <w:vAlign w:val="bottom"/>
          </w:tcPr>
          <w:p>
            <w:pPr>
              <w:spacing w:after="0"/>
              <w:rPr>
                <w:sz w:val="14"/>
                <w:szCs w:val="14"/>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188"/>
        </w:trPr>
        <w:tc>
          <w:tcPr>
            <w:tcW w:w="1340" w:type="dxa"/>
            <w:vAlign w:val="bottom"/>
          </w:tcPr>
          <w:p>
            <w:pPr>
              <w:jc w:val="center"/>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19,927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19,927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835,700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41.94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839,736</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42.14</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15,576</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15,576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815,169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52.33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819,999</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52.65</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20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13,585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13,585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598,732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44.07</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645,271</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47.50</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23,985</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23,985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904,671</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37.72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1,006,588</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41.97</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14,363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14,363</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559,504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38.95</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626,700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43.63</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20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71,744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71,744</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1,783,430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24.86</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1,801,870</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25.12</w:t>
            </w:r>
          </w:p>
        </w:tc>
      </w:tr>
      <w:tr>
        <w:trPr>
          <w:trHeight w:val="203"/>
        </w:trPr>
        <w:tc>
          <w:tcPr>
            <w:tcW w:w="1340" w:type="dxa"/>
            <w:vAlign w:val="bottom"/>
          </w:tcPr>
          <w:p>
            <w:pPr>
              <w:jc w:val="center"/>
              <w:spacing w:after="0"/>
              <w:rPr>
                <w:sz w:val="20"/>
                <w:szCs w:val="20"/>
                <w:color w:val="auto"/>
              </w:rPr>
            </w:pPr>
            <w:r>
              <w:rPr>
                <w:rFonts w:ascii="Arial" w:cs="Arial" w:eastAsia="Arial" w:hAnsi="Arial"/>
                <w:sz w:val="14"/>
                <w:szCs w:val="14"/>
                <w:color w:val="auto"/>
              </w:rPr>
              <w:t>2034</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8,462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8,462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333,564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39.42</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405,407</w:t>
            </w:r>
          </w:p>
        </w:tc>
        <w:tc>
          <w:tcPr>
            <w:tcW w:w="1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47.91</w:t>
            </w:r>
          </w:p>
        </w:tc>
      </w:tr>
      <w:tr>
        <w:trPr>
          <w:trHeight w:val="203"/>
        </w:trPr>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rPr>
              <w:t>Thereafter</w:t>
            </w: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20"/>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39"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ind w:left="80" w:right="200" w:hanging="81"/>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Does not include data for leases expiring in a particular year when leases for the same space have already been signed with replacement clients with future commencement dates. In those cases, the data is included in the year in which the replacement lease expires.</w:t>
      </w:r>
    </w:p>
    <w:p>
      <w:pPr>
        <w:spacing w:after="0" w:line="12"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Represents rentable square footage that is anticipated to become vacant in the noted period.</w:t>
      </w:r>
    </w:p>
    <w:p>
      <w:pPr>
        <w:sectPr>
          <w:pgSz w:w="11900" w:h="16838" w:orient="portrait"/>
          <w:cols w:equalWidth="0" w:num="1">
            <w:col w:w="11240"/>
          </w:cols>
          <w:pgMar w:left="320" w:top="265" w:right="339" w:bottom="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265" w:right="339" w:bottom="25" w:gutter="0" w:footer="0" w:header="0"/>
          <w:type w:val="continuous"/>
        </w:sectPr>
      </w:pPr>
    </w:p>
    <w:bookmarkStart w:id="62" w:name="page63"/>
    <w:bookmarkEnd w:id="62"/>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Research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With the exception of Green Street Advisors, an independent research firm, the equity analysts listed below are those analysts that, according to Thomson Reuters Corporation, have published research material on the Company and are listed as covering the Company. Please note that any opinions, estimates or forecasts regarding the Company’s performance made by the analysts listed below do not represent the opinions, estimates or forecasts of the Company or its management. The Company does not by its reference below imply its endorsement of or concurrence with any information, conclusions or recommendations made by any of such analysts.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Equity Research Coverage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Borders>
              <w:top w:val="single" w:sz="8" w:color="828282"/>
            </w:tcBorders>
          </w:tcPr>
          <w:p>
            <w:pPr>
              <w:ind w:left="20"/>
              <w:spacing w:after="0"/>
              <w:rPr>
                <w:sz w:val="20"/>
                <w:szCs w:val="20"/>
                <w:color w:val="auto"/>
              </w:rPr>
            </w:pPr>
            <w:r>
              <w:rPr>
                <w:rFonts w:ascii="Arial" w:cs="Arial" w:eastAsia="Arial" w:hAnsi="Arial"/>
                <w:sz w:val="14"/>
                <w:szCs w:val="14"/>
                <w:color w:val="auto"/>
              </w:rPr>
              <w:t>Bank of America Merrill Lynch</w:t>
            </w:r>
          </w:p>
        </w:tc>
        <w:tc>
          <w:tcPr>
            <w:tcW w:w="3400" w:type="dxa"/>
            <w:vAlign w:val="bottom"/>
            <w:tcBorders>
              <w:top w:val="single" w:sz="8" w:color="828282"/>
            </w:tcBorders>
          </w:tcPr>
          <w:p>
            <w:pPr>
              <w:ind w:left="280"/>
              <w:spacing w:after="0"/>
              <w:rPr>
                <w:sz w:val="20"/>
                <w:szCs w:val="20"/>
                <w:color w:val="auto"/>
              </w:rPr>
            </w:pPr>
            <w:r>
              <w:rPr>
                <w:rFonts w:ascii="Arial" w:cs="Arial" w:eastAsia="Arial" w:hAnsi="Arial"/>
                <w:sz w:val="14"/>
                <w:szCs w:val="14"/>
                <w:color w:val="auto"/>
              </w:rPr>
              <w:t>Jeffrey Spector / Jana Galan</w:t>
            </w:r>
          </w:p>
        </w:tc>
        <w:tc>
          <w:tcPr>
            <w:tcW w:w="4000" w:type="dxa"/>
            <w:vAlign w:val="bottom"/>
            <w:tcBorders>
              <w:top w:val="single" w:sz="8" w:color="828282"/>
            </w:tcBorders>
          </w:tcPr>
          <w:p>
            <w:pPr>
              <w:ind w:left="1180"/>
              <w:spacing w:after="0"/>
              <w:rPr>
                <w:sz w:val="20"/>
                <w:szCs w:val="20"/>
                <w:color w:val="auto"/>
              </w:rPr>
            </w:pPr>
            <w:r>
              <w:rPr>
                <w:rFonts w:ascii="Arial" w:cs="Arial" w:eastAsia="Arial" w:hAnsi="Arial"/>
                <w:sz w:val="14"/>
                <w:szCs w:val="14"/>
                <w:color w:val="auto"/>
              </w:rPr>
              <w:t>646.855.1363 / 646.855.5042</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Barclays</w:t>
            </w:r>
          </w:p>
        </w:tc>
        <w:tc>
          <w:tcPr>
            <w:tcW w:w="3400" w:type="dxa"/>
            <w:vAlign w:val="bottom"/>
          </w:tcPr>
          <w:p>
            <w:pPr>
              <w:ind w:left="280"/>
              <w:spacing w:after="0"/>
              <w:rPr>
                <w:sz w:val="20"/>
                <w:szCs w:val="20"/>
                <w:color w:val="auto"/>
              </w:rPr>
            </w:pPr>
            <w:r>
              <w:rPr>
                <w:rFonts w:ascii="Arial" w:cs="Arial" w:eastAsia="Arial" w:hAnsi="Arial"/>
                <w:sz w:val="14"/>
                <w:szCs w:val="14"/>
                <w:color w:val="auto"/>
              </w:rPr>
              <w:t>Brendan Lynch</w:t>
            </w:r>
          </w:p>
        </w:tc>
        <w:tc>
          <w:tcPr>
            <w:tcW w:w="4000" w:type="dxa"/>
            <w:vAlign w:val="bottom"/>
          </w:tcPr>
          <w:p>
            <w:pPr>
              <w:ind w:left="1180"/>
              <w:spacing w:after="0"/>
              <w:rPr>
                <w:sz w:val="20"/>
                <w:szCs w:val="20"/>
                <w:color w:val="auto"/>
              </w:rPr>
            </w:pPr>
            <w:r>
              <w:rPr>
                <w:rFonts w:ascii="Arial" w:cs="Arial" w:eastAsia="Arial" w:hAnsi="Arial"/>
                <w:sz w:val="14"/>
                <w:szCs w:val="14"/>
                <w:color w:val="auto"/>
              </w:rPr>
              <w:t>212.526.9428</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BMO Capital</w:t>
            </w:r>
          </w:p>
        </w:tc>
        <w:tc>
          <w:tcPr>
            <w:tcW w:w="3400" w:type="dxa"/>
            <w:vAlign w:val="bottom"/>
          </w:tcPr>
          <w:p>
            <w:pPr>
              <w:ind w:left="280"/>
              <w:spacing w:after="0"/>
              <w:rPr>
                <w:sz w:val="20"/>
                <w:szCs w:val="20"/>
                <w:color w:val="auto"/>
              </w:rPr>
            </w:pPr>
            <w:r>
              <w:rPr>
                <w:rFonts w:ascii="Arial" w:cs="Arial" w:eastAsia="Arial" w:hAnsi="Arial"/>
                <w:sz w:val="14"/>
                <w:szCs w:val="14"/>
                <w:color w:val="auto"/>
              </w:rPr>
              <w:t>John Kim</w:t>
            </w:r>
          </w:p>
        </w:tc>
        <w:tc>
          <w:tcPr>
            <w:tcW w:w="4000" w:type="dxa"/>
            <w:vAlign w:val="bottom"/>
          </w:tcPr>
          <w:p>
            <w:pPr>
              <w:ind w:left="1180"/>
              <w:spacing w:after="0"/>
              <w:rPr>
                <w:sz w:val="20"/>
                <w:szCs w:val="20"/>
                <w:color w:val="auto"/>
              </w:rPr>
            </w:pPr>
            <w:r>
              <w:rPr>
                <w:rFonts w:ascii="Arial" w:cs="Arial" w:eastAsia="Arial" w:hAnsi="Arial"/>
                <w:sz w:val="14"/>
                <w:szCs w:val="14"/>
                <w:color w:val="auto"/>
              </w:rPr>
              <w:t>212.885.4115</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BTIG</w:t>
            </w:r>
          </w:p>
        </w:tc>
        <w:tc>
          <w:tcPr>
            <w:tcW w:w="3400" w:type="dxa"/>
            <w:vAlign w:val="bottom"/>
          </w:tcPr>
          <w:p>
            <w:pPr>
              <w:ind w:left="280"/>
              <w:spacing w:after="0"/>
              <w:rPr>
                <w:sz w:val="20"/>
                <w:szCs w:val="20"/>
                <w:color w:val="auto"/>
              </w:rPr>
            </w:pPr>
            <w:r>
              <w:rPr>
                <w:rFonts w:ascii="Arial" w:cs="Arial" w:eastAsia="Arial" w:hAnsi="Arial"/>
                <w:sz w:val="14"/>
                <w:szCs w:val="14"/>
                <w:color w:val="auto"/>
              </w:rPr>
              <w:t>Tom Catherwood</w:t>
            </w:r>
          </w:p>
        </w:tc>
        <w:tc>
          <w:tcPr>
            <w:tcW w:w="4000" w:type="dxa"/>
            <w:vAlign w:val="bottom"/>
          </w:tcPr>
          <w:p>
            <w:pPr>
              <w:ind w:left="1180"/>
              <w:spacing w:after="0"/>
              <w:rPr>
                <w:sz w:val="20"/>
                <w:szCs w:val="20"/>
                <w:color w:val="auto"/>
              </w:rPr>
            </w:pPr>
            <w:r>
              <w:rPr>
                <w:rFonts w:ascii="Arial" w:cs="Arial" w:eastAsia="Arial" w:hAnsi="Arial"/>
                <w:sz w:val="14"/>
                <w:szCs w:val="14"/>
                <w:color w:val="auto"/>
              </w:rPr>
              <w:t>212.738.6140</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Cantor</w:t>
            </w:r>
          </w:p>
        </w:tc>
        <w:tc>
          <w:tcPr>
            <w:tcW w:w="3400" w:type="dxa"/>
            <w:vAlign w:val="bottom"/>
          </w:tcPr>
          <w:p>
            <w:pPr>
              <w:ind w:left="280"/>
              <w:spacing w:after="0"/>
              <w:rPr>
                <w:sz w:val="20"/>
                <w:szCs w:val="20"/>
                <w:color w:val="auto"/>
              </w:rPr>
            </w:pPr>
            <w:r>
              <w:rPr>
                <w:rFonts w:ascii="Arial" w:cs="Arial" w:eastAsia="Arial" w:hAnsi="Arial"/>
                <w:sz w:val="14"/>
                <w:szCs w:val="14"/>
                <w:color w:val="auto"/>
              </w:rPr>
              <w:t>Richard Anderson</w:t>
            </w:r>
          </w:p>
        </w:tc>
        <w:tc>
          <w:tcPr>
            <w:tcW w:w="4000" w:type="dxa"/>
            <w:vAlign w:val="bottom"/>
          </w:tcPr>
          <w:p>
            <w:pPr>
              <w:ind w:left="1180"/>
              <w:spacing w:after="0"/>
              <w:rPr>
                <w:sz w:val="20"/>
                <w:szCs w:val="20"/>
                <w:color w:val="auto"/>
              </w:rPr>
            </w:pPr>
            <w:r>
              <w:rPr>
                <w:rFonts w:ascii="Arial" w:cs="Arial" w:eastAsia="Arial" w:hAnsi="Arial"/>
                <w:sz w:val="14"/>
                <w:szCs w:val="14"/>
                <w:color w:val="auto"/>
              </w:rPr>
              <w:t>929.441.6927</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Citi</w:t>
            </w:r>
          </w:p>
        </w:tc>
        <w:tc>
          <w:tcPr>
            <w:tcW w:w="3400" w:type="dxa"/>
            <w:vAlign w:val="bottom"/>
          </w:tcPr>
          <w:p>
            <w:pPr>
              <w:ind w:left="280"/>
              <w:spacing w:after="0"/>
              <w:rPr>
                <w:sz w:val="20"/>
                <w:szCs w:val="20"/>
                <w:color w:val="auto"/>
              </w:rPr>
            </w:pPr>
            <w:r>
              <w:rPr>
                <w:rFonts w:ascii="Arial" w:cs="Arial" w:eastAsia="Arial" w:hAnsi="Arial"/>
                <w:sz w:val="14"/>
                <w:szCs w:val="14"/>
                <w:color w:val="auto"/>
              </w:rPr>
              <w:t>Nicholas Joseph / Seth Bergey</w:t>
            </w:r>
          </w:p>
        </w:tc>
        <w:tc>
          <w:tcPr>
            <w:tcW w:w="4000" w:type="dxa"/>
            <w:vAlign w:val="bottom"/>
          </w:tcPr>
          <w:p>
            <w:pPr>
              <w:ind w:left="1180"/>
              <w:spacing w:after="0"/>
              <w:rPr>
                <w:sz w:val="20"/>
                <w:szCs w:val="20"/>
                <w:color w:val="auto"/>
              </w:rPr>
            </w:pPr>
            <w:r>
              <w:rPr>
                <w:rFonts w:ascii="Arial" w:cs="Arial" w:eastAsia="Arial" w:hAnsi="Arial"/>
                <w:sz w:val="14"/>
                <w:szCs w:val="14"/>
                <w:color w:val="auto"/>
              </w:rPr>
              <w:t>212.816.1909 / 212.816.2066</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Compass Point Research &amp; Trading, LLC</w:t>
            </w:r>
          </w:p>
        </w:tc>
        <w:tc>
          <w:tcPr>
            <w:tcW w:w="3400" w:type="dxa"/>
            <w:vAlign w:val="bottom"/>
          </w:tcPr>
          <w:p>
            <w:pPr>
              <w:ind w:left="280"/>
              <w:spacing w:after="0"/>
              <w:rPr>
                <w:sz w:val="20"/>
                <w:szCs w:val="20"/>
                <w:color w:val="auto"/>
              </w:rPr>
            </w:pPr>
            <w:r>
              <w:rPr>
                <w:rFonts w:ascii="Arial" w:cs="Arial" w:eastAsia="Arial" w:hAnsi="Arial"/>
                <w:sz w:val="14"/>
                <w:szCs w:val="14"/>
                <w:color w:val="auto"/>
              </w:rPr>
              <w:t>Ken Billingsley</w:t>
            </w:r>
          </w:p>
        </w:tc>
        <w:tc>
          <w:tcPr>
            <w:tcW w:w="4000" w:type="dxa"/>
            <w:vAlign w:val="bottom"/>
          </w:tcPr>
          <w:p>
            <w:pPr>
              <w:ind w:left="1180"/>
              <w:spacing w:after="0"/>
              <w:rPr>
                <w:sz w:val="20"/>
                <w:szCs w:val="20"/>
                <w:color w:val="auto"/>
              </w:rPr>
            </w:pPr>
            <w:r>
              <w:rPr>
                <w:rFonts w:ascii="Arial" w:cs="Arial" w:eastAsia="Arial" w:hAnsi="Arial"/>
                <w:sz w:val="14"/>
                <w:szCs w:val="14"/>
                <w:color w:val="auto"/>
              </w:rPr>
              <w:t>202.534.1393</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Deutsche Bank</w:t>
            </w:r>
          </w:p>
        </w:tc>
        <w:tc>
          <w:tcPr>
            <w:tcW w:w="3400" w:type="dxa"/>
            <w:vAlign w:val="bottom"/>
          </w:tcPr>
          <w:p>
            <w:pPr>
              <w:ind w:left="280"/>
              <w:spacing w:after="0"/>
              <w:rPr>
                <w:sz w:val="20"/>
                <w:szCs w:val="20"/>
                <w:color w:val="auto"/>
              </w:rPr>
            </w:pPr>
            <w:r>
              <w:rPr>
                <w:rFonts w:ascii="Arial" w:cs="Arial" w:eastAsia="Arial" w:hAnsi="Arial"/>
                <w:sz w:val="14"/>
                <w:szCs w:val="14"/>
                <w:color w:val="auto"/>
              </w:rPr>
              <w:t>Omotayo Okusanya</w:t>
            </w:r>
          </w:p>
        </w:tc>
        <w:tc>
          <w:tcPr>
            <w:tcW w:w="4000" w:type="dxa"/>
            <w:vAlign w:val="bottom"/>
          </w:tcPr>
          <w:p>
            <w:pPr>
              <w:ind w:left="1180"/>
              <w:spacing w:after="0"/>
              <w:rPr>
                <w:sz w:val="20"/>
                <w:szCs w:val="20"/>
                <w:color w:val="auto"/>
              </w:rPr>
            </w:pPr>
            <w:r>
              <w:rPr>
                <w:rFonts w:ascii="Arial" w:cs="Arial" w:eastAsia="Arial" w:hAnsi="Arial"/>
                <w:sz w:val="14"/>
                <w:szCs w:val="14"/>
                <w:color w:val="auto"/>
              </w:rPr>
              <w:t>212.250.9284</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Evercore ISI</w:t>
            </w:r>
          </w:p>
        </w:tc>
        <w:tc>
          <w:tcPr>
            <w:tcW w:w="3400" w:type="dxa"/>
            <w:vAlign w:val="bottom"/>
          </w:tcPr>
          <w:p>
            <w:pPr>
              <w:ind w:left="280"/>
              <w:spacing w:after="0"/>
              <w:rPr>
                <w:sz w:val="20"/>
                <w:szCs w:val="20"/>
                <w:color w:val="auto"/>
              </w:rPr>
            </w:pPr>
            <w:r>
              <w:rPr>
                <w:rFonts w:ascii="Arial" w:cs="Arial" w:eastAsia="Arial" w:hAnsi="Arial"/>
                <w:sz w:val="14"/>
                <w:szCs w:val="14"/>
                <w:color w:val="auto"/>
              </w:rPr>
              <w:t>Steve Sakwa</w:t>
            </w:r>
          </w:p>
        </w:tc>
        <w:tc>
          <w:tcPr>
            <w:tcW w:w="4000" w:type="dxa"/>
            <w:vAlign w:val="bottom"/>
          </w:tcPr>
          <w:p>
            <w:pPr>
              <w:ind w:left="1180"/>
              <w:spacing w:after="0"/>
              <w:rPr>
                <w:sz w:val="20"/>
                <w:szCs w:val="20"/>
                <w:color w:val="auto"/>
              </w:rPr>
            </w:pPr>
            <w:r>
              <w:rPr>
                <w:rFonts w:ascii="Arial" w:cs="Arial" w:eastAsia="Arial" w:hAnsi="Arial"/>
                <w:sz w:val="14"/>
                <w:szCs w:val="14"/>
                <w:color w:val="auto"/>
              </w:rPr>
              <w:t>212.446.9462</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Goldman Sachs</w:t>
            </w:r>
          </w:p>
        </w:tc>
        <w:tc>
          <w:tcPr>
            <w:tcW w:w="3400" w:type="dxa"/>
            <w:vAlign w:val="bottom"/>
          </w:tcPr>
          <w:p>
            <w:pPr>
              <w:ind w:left="280"/>
              <w:spacing w:after="0"/>
              <w:rPr>
                <w:sz w:val="20"/>
                <w:szCs w:val="20"/>
                <w:color w:val="auto"/>
              </w:rPr>
            </w:pPr>
            <w:r>
              <w:rPr>
                <w:rFonts w:ascii="Arial" w:cs="Arial" w:eastAsia="Arial" w:hAnsi="Arial"/>
                <w:sz w:val="14"/>
                <w:szCs w:val="14"/>
                <w:color w:val="auto"/>
              </w:rPr>
              <w:t>Caitlin Burrows</w:t>
            </w:r>
          </w:p>
        </w:tc>
        <w:tc>
          <w:tcPr>
            <w:tcW w:w="4000" w:type="dxa"/>
            <w:vAlign w:val="bottom"/>
          </w:tcPr>
          <w:p>
            <w:pPr>
              <w:ind w:left="1180"/>
              <w:spacing w:after="0"/>
              <w:rPr>
                <w:sz w:val="20"/>
                <w:szCs w:val="20"/>
                <w:color w:val="auto"/>
              </w:rPr>
            </w:pPr>
            <w:r>
              <w:rPr>
                <w:rFonts w:ascii="Arial" w:cs="Arial" w:eastAsia="Arial" w:hAnsi="Arial"/>
                <w:sz w:val="14"/>
                <w:szCs w:val="14"/>
                <w:color w:val="auto"/>
              </w:rPr>
              <w:t>212.902.4736</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Green Street Advisors</w:t>
            </w:r>
          </w:p>
        </w:tc>
        <w:tc>
          <w:tcPr>
            <w:tcW w:w="3400" w:type="dxa"/>
            <w:vAlign w:val="bottom"/>
          </w:tcPr>
          <w:p>
            <w:pPr>
              <w:ind w:left="280"/>
              <w:spacing w:after="0"/>
              <w:rPr>
                <w:sz w:val="20"/>
                <w:szCs w:val="20"/>
                <w:color w:val="auto"/>
              </w:rPr>
            </w:pPr>
            <w:r>
              <w:rPr>
                <w:rFonts w:ascii="Arial" w:cs="Arial" w:eastAsia="Arial" w:hAnsi="Arial"/>
                <w:sz w:val="14"/>
                <w:szCs w:val="14"/>
                <w:color w:val="auto"/>
              </w:rPr>
              <w:t>Dylan Burzinski</w:t>
            </w:r>
          </w:p>
        </w:tc>
        <w:tc>
          <w:tcPr>
            <w:tcW w:w="4000" w:type="dxa"/>
            <w:vAlign w:val="bottom"/>
          </w:tcPr>
          <w:p>
            <w:pPr>
              <w:ind w:left="1180"/>
              <w:spacing w:after="0"/>
              <w:rPr>
                <w:sz w:val="20"/>
                <w:szCs w:val="20"/>
                <w:color w:val="auto"/>
              </w:rPr>
            </w:pPr>
            <w:r>
              <w:rPr>
                <w:rFonts w:ascii="Arial" w:cs="Arial" w:eastAsia="Arial" w:hAnsi="Arial"/>
                <w:sz w:val="14"/>
                <w:szCs w:val="14"/>
                <w:color w:val="auto"/>
              </w:rPr>
              <w:t>949.640.8780</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Jefferies</w:t>
            </w:r>
          </w:p>
        </w:tc>
        <w:tc>
          <w:tcPr>
            <w:tcW w:w="3400" w:type="dxa"/>
            <w:vAlign w:val="bottom"/>
          </w:tcPr>
          <w:p>
            <w:pPr>
              <w:ind w:left="280"/>
              <w:spacing w:after="0"/>
              <w:rPr>
                <w:sz w:val="20"/>
                <w:szCs w:val="20"/>
                <w:color w:val="auto"/>
              </w:rPr>
            </w:pPr>
            <w:r>
              <w:rPr>
                <w:rFonts w:ascii="Arial" w:cs="Arial" w:eastAsia="Arial" w:hAnsi="Arial"/>
                <w:sz w:val="14"/>
                <w:szCs w:val="14"/>
                <w:color w:val="auto"/>
              </w:rPr>
              <w:t>Peter Abramowitz</w:t>
            </w:r>
          </w:p>
        </w:tc>
        <w:tc>
          <w:tcPr>
            <w:tcW w:w="4000" w:type="dxa"/>
            <w:vAlign w:val="bottom"/>
          </w:tcPr>
          <w:p>
            <w:pPr>
              <w:ind w:left="1180"/>
              <w:spacing w:after="0"/>
              <w:rPr>
                <w:sz w:val="20"/>
                <w:szCs w:val="20"/>
                <w:color w:val="auto"/>
              </w:rPr>
            </w:pPr>
            <w:r>
              <w:rPr>
                <w:rFonts w:ascii="Arial" w:cs="Arial" w:eastAsia="Arial" w:hAnsi="Arial"/>
                <w:sz w:val="14"/>
                <w:szCs w:val="14"/>
                <w:color w:val="auto"/>
              </w:rPr>
              <w:t>212.336.7241</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J.P. Morgan Securities</w:t>
            </w:r>
          </w:p>
        </w:tc>
        <w:tc>
          <w:tcPr>
            <w:tcW w:w="3400" w:type="dxa"/>
            <w:vAlign w:val="bottom"/>
          </w:tcPr>
          <w:p>
            <w:pPr>
              <w:ind w:left="280"/>
              <w:spacing w:after="0"/>
              <w:rPr>
                <w:sz w:val="20"/>
                <w:szCs w:val="20"/>
                <w:color w:val="auto"/>
              </w:rPr>
            </w:pPr>
            <w:r>
              <w:rPr>
                <w:rFonts w:ascii="Arial" w:cs="Arial" w:eastAsia="Arial" w:hAnsi="Arial"/>
                <w:sz w:val="14"/>
                <w:szCs w:val="14"/>
                <w:color w:val="auto"/>
              </w:rPr>
              <w:t>Anthony Paolone</w:t>
            </w:r>
          </w:p>
        </w:tc>
        <w:tc>
          <w:tcPr>
            <w:tcW w:w="4000" w:type="dxa"/>
            <w:vAlign w:val="bottom"/>
          </w:tcPr>
          <w:p>
            <w:pPr>
              <w:ind w:left="1180"/>
              <w:spacing w:after="0"/>
              <w:rPr>
                <w:sz w:val="20"/>
                <w:szCs w:val="20"/>
                <w:color w:val="auto"/>
              </w:rPr>
            </w:pPr>
            <w:r>
              <w:rPr>
                <w:rFonts w:ascii="Arial" w:cs="Arial" w:eastAsia="Arial" w:hAnsi="Arial"/>
                <w:sz w:val="14"/>
                <w:szCs w:val="14"/>
                <w:color w:val="auto"/>
              </w:rPr>
              <w:t>212.622.6682</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Keybanc Capital Market</w:t>
            </w:r>
          </w:p>
        </w:tc>
        <w:tc>
          <w:tcPr>
            <w:tcW w:w="3400" w:type="dxa"/>
            <w:vAlign w:val="bottom"/>
          </w:tcPr>
          <w:p>
            <w:pPr>
              <w:ind w:left="280"/>
              <w:spacing w:after="0"/>
              <w:rPr>
                <w:sz w:val="20"/>
                <w:szCs w:val="20"/>
                <w:color w:val="auto"/>
              </w:rPr>
            </w:pPr>
            <w:r>
              <w:rPr>
                <w:rFonts w:ascii="Arial" w:cs="Arial" w:eastAsia="Arial" w:hAnsi="Arial"/>
                <w:sz w:val="14"/>
                <w:szCs w:val="14"/>
                <w:color w:val="auto"/>
              </w:rPr>
              <w:t>Todd Thomas / Upal Rana</w:t>
            </w:r>
          </w:p>
        </w:tc>
        <w:tc>
          <w:tcPr>
            <w:tcW w:w="4000" w:type="dxa"/>
            <w:vAlign w:val="bottom"/>
          </w:tcPr>
          <w:p>
            <w:pPr>
              <w:ind w:left="1180"/>
              <w:spacing w:after="0"/>
              <w:rPr>
                <w:sz w:val="20"/>
                <w:szCs w:val="20"/>
                <w:color w:val="auto"/>
              </w:rPr>
            </w:pPr>
            <w:r>
              <w:rPr>
                <w:rFonts w:ascii="Arial" w:cs="Arial" w:eastAsia="Arial" w:hAnsi="Arial"/>
                <w:sz w:val="14"/>
                <w:szCs w:val="14"/>
                <w:color w:val="auto"/>
              </w:rPr>
              <w:t>917.368.2286 / 917.368.2316</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Ladenburg Thalmann</w:t>
            </w:r>
          </w:p>
        </w:tc>
        <w:tc>
          <w:tcPr>
            <w:tcW w:w="3400" w:type="dxa"/>
            <w:vAlign w:val="bottom"/>
          </w:tcPr>
          <w:p>
            <w:pPr>
              <w:ind w:left="280"/>
              <w:spacing w:after="0"/>
              <w:rPr>
                <w:sz w:val="20"/>
                <w:szCs w:val="20"/>
                <w:color w:val="auto"/>
              </w:rPr>
            </w:pPr>
            <w:r>
              <w:rPr>
                <w:rFonts w:ascii="Arial" w:cs="Arial" w:eastAsia="Arial" w:hAnsi="Arial"/>
                <w:sz w:val="14"/>
                <w:szCs w:val="14"/>
                <w:color w:val="auto"/>
              </w:rPr>
              <w:t>Floris van Dijkum</w:t>
            </w:r>
          </w:p>
        </w:tc>
        <w:tc>
          <w:tcPr>
            <w:tcW w:w="4000" w:type="dxa"/>
            <w:vAlign w:val="bottom"/>
          </w:tcPr>
          <w:p>
            <w:pPr>
              <w:ind w:left="1180"/>
              <w:spacing w:after="0"/>
              <w:rPr>
                <w:sz w:val="20"/>
                <w:szCs w:val="20"/>
                <w:color w:val="auto"/>
              </w:rPr>
            </w:pPr>
            <w:r>
              <w:rPr>
                <w:rFonts w:ascii="Arial" w:cs="Arial" w:eastAsia="Arial" w:hAnsi="Arial"/>
                <w:sz w:val="14"/>
                <w:szCs w:val="14"/>
                <w:color w:val="auto"/>
              </w:rPr>
              <w:t>212.409.2075</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Mizuho Securities</w:t>
            </w:r>
          </w:p>
        </w:tc>
        <w:tc>
          <w:tcPr>
            <w:tcW w:w="3400" w:type="dxa"/>
            <w:vAlign w:val="bottom"/>
          </w:tcPr>
          <w:p>
            <w:pPr>
              <w:ind w:left="280"/>
              <w:spacing w:after="0"/>
              <w:rPr>
                <w:sz w:val="20"/>
                <w:szCs w:val="20"/>
                <w:color w:val="auto"/>
              </w:rPr>
            </w:pPr>
            <w:r>
              <w:rPr>
                <w:rFonts w:ascii="Arial" w:cs="Arial" w:eastAsia="Arial" w:hAnsi="Arial"/>
                <w:sz w:val="14"/>
                <w:szCs w:val="14"/>
                <w:color w:val="auto"/>
              </w:rPr>
              <w:t>Vikram Malhotra</w:t>
            </w:r>
          </w:p>
        </w:tc>
        <w:tc>
          <w:tcPr>
            <w:tcW w:w="4000" w:type="dxa"/>
            <w:vAlign w:val="bottom"/>
          </w:tcPr>
          <w:p>
            <w:pPr>
              <w:ind w:left="1180"/>
              <w:spacing w:after="0"/>
              <w:rPr>
                <w:sz w:val="20"/>
                <w:szCs w:val="20"/>
                <w:color w:val="auto"/>
              </w:rPr>
            </w:pPr>
            <w:r>
              <w:rPr>
                <w:rFonts w:ascii="Arial" w:cs="Arial" w:eastAsia="Arial" w:hAnsi="Arial"/>
                <w:sz w:val="14"/>
                <w:szCs w:val="14"/>
                <w:color w:val="auto"/>
              </w:rPr>
              <w:t>212.209.9300</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Morgan Stanley</w:t>
            </w:r>
          </w:p>
        </w:tc>
        <w:tc>
          <w:tcPr>
            <w:tcW w:w="3400" w:type="dxa"/>
            <w:vAlign w:val="bottom"/>
          </w:tcPr>
          <w:p>
            <w:pPr>
              <w:ind w:left="280"/>
              <w:spacing w:after="0"/>
              <w:rPr>
                <w:sz w:val="20"/>
                <w:szCs w:val="20"/>
                <w:color w:val="auto"/>
              </w:rPr>
            </w:pPr>
            <w:r>
              <w:rPr>
                <w:rFonts w:ascii="Arial" w:cs="Arial" w:eastAsia="Arial" w:hAnsi="Arial"/>
                <w:sz w:val="14"/>
                <w:szCs w:val="14"/>
                <w:color w:val="auto"/>
              </w:rPr>
              <w:t>Ronald Kamdem</w:t>
            </w:r>
          </w:p>
        </w:tc>
        <w:tc>
          <w:tcPr>
            <w:tcW w:w="4000" w:type="dxa"/>
            <w:vAlign w:val="bottom"/>
          </w:tcPr>
          <w:p>
            <w:pPr>
              <w:ind w:left="1180"/>
              <w:spacing w:after="0"/>
              <w:rPr>
                <w:sz w:val="20"/>
                <w:szCs w:val="20"/>
                <w:color w:val="auto"/>
              </w:rPr>
            </w:pPr>
            <w:r>
              <w:rPr>
                <w:rFonts w:ascii="Arial" w:cs="Arial" w:eastAsia="Arial" w:hAnsi="Arial"/>
                <w:sz w:val="14"/>
                <w:szCs w:val="14"/>
                <w:color w:val="auto"/>
              </w:rPr>
              <w:t>212.296.8319</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Piper Sandler Companies</w:t>
            </w:r>
          </w:p>
        </w:tc>
        <w:tc>
          <w:tcPr>
            <w:tcW w:w="3400" w:type="dxa"/>
            <w:vAlign w:val="bottom"/>
          </w:tcPr>
          <w:p>
            <w:pPr>
              <w:ind w:left="280"/>
              <w:spacing w:after="0"/>
              <w:rPr>
                <w:sz w:val="20"/>
                <w:szCs w:val="20"/>
                <w:color w:val="auto"/>
              </w:rPr>
            </w:pPr>
            <w:r>
              <w:rPr>
                <w:rFonts w:ascii="Arial" w:cs="Arial" w:eastAsia="Arial" w:hAnsi="Arial"/>
                <w:sz w:val="14"/>
                <w:szCs w:val="14"/>
                <w:color w:val="auto"/>
              </w:rPr>
              <w:t>Alexander Goldfarb</w:t>
            </w:r>
          </w:p>
        </w:tc>
        <w:tc>
          <w:tcPr>
            <w:tcW w:w="4000" w:type="dxa"/>
            <w:vAlign w:val="bottom"/>
          </w:tcPr>
          <w:p>
            <w:pPr>
              <w:ind w:left="1180"/>
              <w:spacing w:after="0"/>
              <w:rPr>
                <w:sz w:val="20"/>
                <w:szCs w:val="20"/>
                <w:color w:val="auto"/>
              </w:rPr>
            </w:pPr>
            <w:r>
              <w:rPr>
                <w:rFonts w:ascii="Arial" w:cs="Arial" w:eastAsia="Arial" w:hAnsi="Arial"/>
                <w:sz w:val="14"/>
                <w:szCs w:val="14"/>
                <w:color w:val="auto"/>
              </w:rPr>
              <w:t>212.466.7937</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Scotiabank GBM</w:t>
            </w:r>
          </w:p>
        </w:tc>
        <w:tc>
          <w:tcPr>
            <w:tcW w:w="3400" w:type="dxa"/>
            <w:vAlign w:val="bottom"/>
          </w:tcPr>
          <w:p>
            <w:pPr>
              <w:ind w:left="280"/>
              <w:spacing w:after="0"/>
              <w:rPr>
                <w:sz w:val="20"/>
                <w:szCs w:val="20"/>
                <w:color w:val="auto"/>
              </w:rPr>
            </w:pPr>
            <w:r>
              <w:rPr>
                <w:rFonts w:ascii="Arial" w:cs="Arial" w:eastAsia="Arial" w:hAnsi="Arial"/>
                <w:sz w:val="14"/>
                <w:szCs w:val="14"/>
                <w:color w:val="auto"/>
              </w:rPr>
              <w:t>Nicholas Yulico</w:t>
            </w:r>
          </w:p>
        </w:tc>
        <w:tc>
          <w:tcPr>
            <w:tcW w:w="4000" w:type="dxa"/>
            <w:vAlign w:val="bottom"/>
          </w:tcPr>
          <w:p>
            <w:pPr>
              <w:ind w:left="1180"/>
              <w:spacing w:after="0"/>
              <w:rPr>
                <w:sz w:val="20"/>
                <w:szCs w:val="20"/>
                <w:color w:val="auto"/>
              </w:rPr>
            </w:pPr>
            <w:r>
              <w:rPr>
                <w:rFonts w:ascii="Arial" w:cs="Arial" w:eastAsia="Arial" w:hAnsi="Arial"/>
                <w:sz w:val="14"/>
                <w:szCs w:val="14"/>
                <w:color w:val="auto"/>
              </w:rPr>
              <w:t>212.225.6904</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Truist Securities</w:t>
            </w:r>
          </w:p>
        </w:tc>
        <w:tc>
          <w:tcPr>
            <w:tcW w:w="3400" w:type="dxa"/>
            <w:vAlign w:val="bottom"/>
          </w:tcPr>
          <w:p>
            <w:pPr>
              <w:ind w:left="280"/>
              <w:spacing w:after="0"/>
              <w:rPr>
                <w:sz w:val="20"/>
                <w:szCs w:val="20"/>
                <w:color w:val="auto"/>
              </w:rPr>
            </w:pPr>
            <w:r>
              <w:rPr>
                <w:rFonts w:ascii="Arial" w:cs="Arial" w:eastAsia="Arial" w:hAnsi="Arial"/>
                <w:sz w:val="14"/>
                <w:szCs w:val="14"/>
                <w:color w:val="auto"/>
              </w:rPr>
              <w:t>Michael Lewis</w:t>
            </w:r>
          </w:p>
        </w:tc>
        <w:tc>
          <w:tcPr>
            <w:tcW w:w="4000" w:type="dxa"/>
            <w:vAlign w:val="bottom"/>
          </w:tcPr>
          <w:p>
            <w:pPr>
              <w:ind w:left="1180"/>
              <w:spacing w:after="0"/>
              <w:rPr>
                <w:sz w:val="20"/>
                <w:szCs w:val="20"/>
                <w:color w:val="auto"/>
              </w:rPr>
            </w:pPr>
            <w:r>
              <w:rPr>
                <w:rFonts w:ascii="Arial" w:cs="Arial" w:eastAsia="Arial" w:hAnsi="Arial"/>
                <w:sz w:val="14"/>
                <w:szCs w:val="14"/>
                <w:color w:val="auto"/>
              </w:rPr>
              <w:t>212.319.5659</w:t>
            </w:r>
          </w:p>
        </w:tc>
        <w:tc>
          <w:tcPr>
            <w:tcW w:w="40" w:type="dxa"/>
            <w:vAlign w:val="bottom"/>
          </w:tcPr>
          <w:p>
            <w:pPr>
              <w:spacing w:after="0"/>
              <w:rPr>
                <w:sz w:val="17"/>
                <w:szCs w:val="17"/>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4"/>
                <w:szCs w:val="14"/>
                <w:color w:val="auto"/>
              </w:rPr>
              <w:t>UBS US Equity Research</w:t>
            </w:r>
          </w:p>
        </w:tc>
        <w:tc>
          <w:tcPr>
            <w:tcW w:w="3400" w:type="dxa"/>
            <w:vAlign w:val="bottom"/>
          </w:tcPr>
          <w:p>
            <w:pPr>
              <w:ind w:left="280"/>
              <w:spacing w:after="0"/>
              <w:rPr>
                <w:sz w:val="20"/>
                <w:szCs w:val="20"/>
                <w:color w:val="auto"/>
              </w:rPr>
            </w:pPr>
            <w:r>
              <w:rPr>
                <w:rFonts w:ascii="Arial" w:cs="Arial" w:eastAsia="Arial" w:hAnsi="Arial"/>
                <w:sz w:val="14"/>
                <w:szCs w:val="14"/>
                <w:color w:val="auto"/>
              </w:rPr>
              <w:t>Michael Goldsmith</w:t>
            </w:r>
          </w:p>
        </w:tc>
        <w:tc>
          <w:tcPr>
            <w:tcW w:w="4000" w:type="dxa"/>
            <w:vAlign w:val="bottom"/>
          </w:tcPr>
          <w:p>
            <w:pPr>
              <w:ind w:left="1180"/>
              <w:spacing w:after="0"/>
              <w:rPr>
                <w:sz w:val="20"/>
                <w:szCs w:val="20"/>
                <w:color w:val="auto"/>
              </w:rPr>
            </w:pPr>
            <w:r>
              <w:rPr>
                <w:rFonts w:ascii="Arial" w:cs="Arial" w:eastAsia="Arial" w:hAnsi="Arial"/>
                <w:sz w:val="14"/>
                <w:szCs w:val="14"/>
                <w:color w:val="auto"/>
              </w:rPr>
              <w:t>212.713.2951</w:t>
            </w:r>
          </w:p>
        </w:tc>
        <w:tc>
          <w:tcPr>
            <w:tcW w:w="40" w:type="dxa"/>
            <w:vAlign w:val="bottom"/>
          </w:tcPr>
          <w:p>
            <w:pPr>
              <w:spacing w:after="0"/>
              <w:rPr>
                <w:sz w:val="18"/>
                <w:szCs w:val="18"/>
                <w:color w:val="auto"/>
              </w:rPr>
            </w:pPr>
          </w:p>
        </w:tc>
      </w:tr>
      <w:tr>
        <w:trPr>
          <w:trHeight w:val="202"/>
        </w:trPr>
        <w:tc>
          <w:tcPr>
            <w:tcW w:w="2920" w:type="dxa"/>
            <w:vAlign w:val="bottom"/>
          </w:tcPr>
          <w:p>
            <w:pPr>
              <w:ind w:left="20"/>
              <w:spacing w:after="0"/>
              <w:rPr>
                <w:sz w:val="20"/>
                <w:szCs w:val="20"/>
                <w:color w:val="auto"/>
              </w:rPr>
            </w:pPr>
            <w:r>
              <w:rPr>
                <w:rFonts w:ascii="Arial" w:cs="Arial" w:eastAsia="Arial" w:hAnsi="Arial"/>
                <w:sz w:val="14"/>
                <w:szCs w:val="14"/>
                <w:color w:val="auto"/>
              </w:rPr>
              <w:t>Wells Fargo Securities</w:t>
            </w:r>
          </w:p>
        </w:tc>
        <w:tc>
          <w:tcPr>
            <w:tcW w:w="3400" w:type="dxa"/>
            <w:vAlign w:val="bottom"/>
          </w:tcPr>
          <w:p>
            <w:pPr>
              <w:ind w:left="280"/>
              <w:spacing w:after="0"/>
              <w:rPr>
                <w:sz w:val="20"/>
                <w:szCs w:val="20"/>
                <w:color w:val="auto"/>
              </w:rPr>
            </w:pPr>
            <w:r>
              <w:rPr>
                <w:rFonts w:ascii="Arial" w:cs="Arial" w:eastAsia="Arial" w:hAnsi="Arial"/>
                <w:sz w:val="14"/>
                <w:szCs w:val="14"/>
                <w:color w:val="auto"/>
              </w:rPr>
              <w:t>Blaine Heck</w:t>
            </w:r>
          </w:p>
        </w:tc>
        <w:tc>
          <w:tcPr>
            <w:tcW w:w="4000" w:type="dxa"/>
            <w:vAlign w:val="bottom"/>
          </w:tcPr>
          <w:p>
            <w:pPr>
              <w:ind w:left="1180"/>
              <w:spacing w:after="0"/>
              <w:rPr>
                <w:sz w:val="20"/>
                <w:szCs w:val="20"/>
                <w:color w:val="auto"/>
              </w:rPr>
            </w:pPr>
            <w:r>
              <w:rPr>
                <w:rFonts w:ascii="Arial" w:cs="Arial" w:eastAsia="Arial" w:hAnsi="Arial"/>
                <w:sz w:val="14"/>
                <w:szCs w:val="14"/>
                <w:color w:val="auto"/>
              </w:rPr>
              <w:t>410.662.2556</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Wolfe Research</w:t>
            </w:r>
          </w:p>
        </w:tc>
        <w:tc>
          <w:tcPr>
            <w:tcW w:w="3400" w:type="dxa"/>
            <w:vAlign w:val="bottom"/>
          </w:tcPr>
          <w:p>
            <w:pPr>
              <w:ind w:left="280"/>
              <w:spacing w:after="0"/>
              <w:rPr>
                <w:sz w:val="20"/>
                <w:szCs w:val="20"/>
                <w:color w:val="auto"/>
              </w:rPr>
            </w:pPr>
            <w:r>
              <w:rPr>
                <w:rFonts w:ascii="Arial" w:cs="Arial" w:eastAsia="Arial" w:hAnsi="Arial"/>
                <w:sz w:val="14"/>
                <w:szCs w:val="14"/>
                <w:color w:val="auto"/>
              </w:rPr>
              <w:t>Ally Yaseen</w:t>
            </w:r>
          </w:p>
        </w:tc>
        <w:tc>
          <w:tcPr>
            <w:tcW w:w="4000" w:type="dxa"/>
            <w:vAlign w:val="bottom"/>
          </w:tcPr>
          <w:p>
            <w:pPr>
              <w:ind w:left="1180"/>
              <w:spacing w:after="0"/>
              <w:rPr>
                <w:sz w:val="20"/>
                <w:szCs w:val="20"/>
                <w:color w:val="auto"/>
              </w:rPr>
            </w:pPr>
            <w:r>
              <w:rPr>
                <w:rFonts w:ascii="Arial" w:cs="Arial" w:eastAsia="Arial" w:hAnsi="Arial"/>
                <w:sz w:val="14"/>
                <w:szCs w:val="14"/>
                <w:color w:val="auto"/>
              </w:rPr>
              <w:t>646.582.9253</w:t>
            </w:r>
          </w:p>
        </w:tc>
        <w:tc>
          <w:tcPr>
            <w:tcW w:w="40" w:type="dxa"/>
            <w:vAlign w:val="bottom"/>
          </w:tcPr>
          <w:p>
            <w:pPr>
              <w:spacing w:after="0"/>
              <w:rPr>
                <w:sz w:val="17"/>
                <w:szCs w:val="17"/>
                <w:color w:val="auto"/>
              </w:rPr>
            </w:pPr>
          </w:p>
        </w:tc>
      </w:tr>
      <w:tr>
        <w:trPr>
          <w:trHeight w:val="339"/>
        </w:trPr>
        <w:tc>
          <w:tcPr>
            <w:tcW w:w="292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Debt Research Coverage</w:t>
            </w:r>
          </w:p>
        </w:tc>
        <w:tc>
          <w:tcPr>
            <w:tcW w:w="3400" w:type="dxa"/>
            <w:vAlign w:val="bottom"/>
            <w:tcBorders>
              <w:bottom w:val="single" w:sz="8" w:color="828282"/>
            </w:tcBorders>
          </w:tcPr>
          <w:p>
            <w:pPr>
              <w:spacing w:after="0"/>
              <w:rPr>
                <w:sz w:val="24"/>
                <w:szCs w:val="24"/>
                <w:color w:val="auto"/>
              </w:rPr>
            </w:pPr>
          </w:p>
        </w:tc>
        <w:tc>
          <w:tcPr>
            <w:tcW w:w="4000" w:type="dxa"/>
            <w:vAlign w:val="bottom"/>
            <w:tcBorders>
              <w:bottom w:val="single" w:sz="8" w:color="828282"/>
            </w:tcBorders>
          </w:tcPr>
          <w:p>
            <w:pPr>
              <w:spacing w:after="0"/>
              <w:rPr>
                <w:sz w:val="24"/>
                <w:szCs w:val="24"/>
                <w:color w:val="auto"/>
              </w:rPr>
            </w:pPr>
          </w:p>
        </w:tc>
        <w:tc>
          <w:tcPr>
            <w:tcW w:w="40" w:type="dxa"/>
            <w:vAlign w:val="bottom"/>
            <w:tcBorders>
              <w:bottom w:val="single" w:sz="8" w:color="828282"/>
            </w:tcBorders>
          </w:tcPr>
          <w:p>
            <w:pPr>
              <w:spacing w:after="0"/>
              <w:rPr>
                <w:sz w:val="24"/>
                <w:szCs w:val="24"/>
                <w:color w:val="auto"/>
              </w:rPr>
            </w:pPr>
          </w:p>
        </w:tc>
      </w:tr>
      <w:tr>
        <w:trPr>
          <w:trHeight w:val="195"/>
        </w:trPr>
        <w:tc>
          <w:tcPr>
            <w:tcW w:w="2920" w:type="dxa"/>
            <w:vAlign w:val="bottom"/>
          </w:tcPr>
          <w:p>
            <w:pPr>
              <w:ind w:left="20"/>
              <w:spacing w:after="0"/>
              <w:rPr>
                <w:sz w:val="20"/>
                <w:szCs w:val="20"/>
                <w:color w:val="auto"/>
              </w:rPr>
            </w:pPr>
            <w:r>
              <w:rPr>
                <w:rFonts w:ascii="Arial" w:cs="Arial" w:eastAsia="Arial" w:hAnsi="Arial"/>
                <w:sz w:val="14"/>
                <w:szCs w:val="14"/>
                <w:color w:val="auto"/>
              </w:rPr>
              <w:t>Barclays</w:t>
            </w:r>
          </w:p>
        </w:tc>
        <w:tc>
          <w:tcPr>
            <w:tcW w:w="3400" w:type="dxa"/>
            <w:vAlign w:val="bottom"/>
          </w:tcPr>
          <w:p>
            <w:pPr>
              <w:ind w:left="300"/>
              <w:spacing w:after="0"/>
              <w:rPr>
                <w:sz w:val="20"/>
                <w:szCs w:val="20"/>
                <w:color w:val="auto"/>
              </w:rPr>
            </w:pPr>
            <w:r>
              <w:rPr>
                <w:rFonts w:ascii="Arial" w:cs="Arial" w:eastAsia="Arial" w:hAnsi="Arial"/>
                <w:sz w:val="14"/>
                <w:szCs w:val="14"/>
                <w:color w:val="auto"/>
              </w:rPr>
              <w:t>Srinjoy Banerjee</w:t>
            </w:r>
          </w:p>
        </w:tc>
        <w:tc>
          <w:tcPr>
            <w:tcW w:w="4000" w:type="dxa"/>
            <w:vAlign w:val="bottom"/>
          </w:tcPr>
          <w:p>
            <w:pPr>
              <w:ind w:left="1220"/>
              <w:spacing w:after="0"/>
              <w:rPr>
                <w:sz w:val="20"/>
                <w:szCs w:val="20"/>
                <w:color w:val="auto"/>
              </w:rPr>
            </w:pPr>
            <w:r>
              <w:rPr>
                <w:rFonts w:ascii="Arial" w:cs="Arial" w:eastAsia="Arial" w:hAnsi="Arial"/>
                <w:sz w:val="14"/>
                <w:szCs w:val="14"/>
                <w:color w:val="auto"/>
              </w:rPr>
              <w:t>212.526.3521</w:t>
            </w:r>
          </w:p>
        </w:tc>
        <w:tc>
          <w:tcPr>
            <w:tcW w:w="40" w:type="dxa"/>
            <w:vAlign w:val="bottom"/>
          </w:tcPr>
          <w:p>
            <w:pPr>
              <w:spacing w:after="0"/>
              <w:rPr>
                <w:sz w:val="16"/>
                <w:szCs w:val="16"/>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J.P. Morgan Securities</w:t>
            </w:r>
          </w:p>
        </w:tc>
        <w:tc>
          <w:tcPr>
            <w:tcW w:w="3400" w:type="dxa"/>
            <w:vAlign w:val="bottom"/>
          </w:tcPr>
          <w:p>
            <w:pPr>
              <w:ind w:left="300"/>
              <w:spacing w:after="0"/>
              <w:rPr>
                <w:sz w:val="20"/>
                <w:szCs w:val="20"/>
                <w:color w:val="auto"/>
              </w:rPr>
            </w:pPr>
            <w:r>
              <w:rPr>
                <w:rFonts w:ascii="Arial" w:cs="Arial" w:eastAsia="Arial" w:hAnsi="Arial"/>
                <w:sz w:val="14"/>
                <w:szCs w:val="14"/>
                <w:color w:val="auto"/>
              </w:rPr>
              <w:t>Mark Streeter</w:t>
            </w:r>
          </w:p>
        </w:tc>
        <w:tc>
          <w:tcPr>
            <w:tcW w:w="4000" w:type="dxa"/>
            <w:vAlign w:val="bottom"/>
          </w:tcPr>
          <w:p>
            <w:pPr>
              <w:ind w:left="1220"/>
              <w:spacing w:after="0"/>
              <w:rPr>
                <w:sz w:val="20"/>
                <w:szCs w:val="20"/>
                <w:color w:val="auto"/>
              </w:rPr>
            </w:pPr>
            <w:r>
              <w:rPr>
                <w:rFonts w:ascii="Arial" w:cs="Arial" w:eastAsia="Arial" w:hAnsi="Arial"/>
                <w:sz w:val="14"/>
                <w:szCs w:val="14"/>
                <w:color w:val="auto"/>
              </w:rPr>
              <w:t>212.834.5086</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US Bank</w:t>
            </w:r>
          </w:p>
        </w:tc>
        <w:tc>
          <w:tcPr>
            <w:tcW w:w="3400" w:type="dxa"/>
            <w:vAlign w:val="bottom"/>
          </w:tcPr>
          <w:p>
            <w:pPr>
              <w:ind w:left="300"/>
              <w:spacing w:after="0"/>
              <w:rPr>
                <w:sz w:val="20"/>
                <w:szCs w:val="20"/>
                <w:color w:val="auto"/>
              </w:rPr>
            </w:pPr>
            <w:r>
              <w:rPr>
                <w:rFonts w:ascii="Arial" w:cs="Arial" w:eastAsia="Arial" w:hAnsi="Arial"/>
                <w:sz w:val="14"/>
                <w:szCs w:val="14"/>
                <w:color w:val="auto"/>
              </w:rPr>
              <w:t>Bill Stafford</w:t>
            </w:r>
          </w:p>
        </w:tc>
        <w:tc>
          <w:tcPr>
            <w:tcW w:w="4000" w:type="dxa"/>
            <w:vAlign w:val="bottom"/>
          </w:tcPr>
          <w:p>
            <w:pPr>
              <w:ind w:left="1220"/>
              <w:spacing w:after="0"/>
              <w:rPr>
                <w:sz w:val="20"/>
                <w:szCs w:val="20"/>
                <w:color w:val="auto"/>
              </w:rPr>
            </w:pPr>
            <w:r>
              <w:rPr>
                <w:rFonts w:ascii="Arial" w:cs="Arial" w:eastAsia="Arial" w:hAnsi="Arial"/>
                <w:sz w:val="14"/>
                <w:szCs w:val="14"/>
                <w:color w:val="auto"/>
              </w:rPr>
              <w:t>877.558.2605</w:t>
            </w:r>
          </w:p>
        </w:tc>
        <w:tc>
          <w:tcPr>
            <w:tcW w:w="40" w:type="dxa"/>
            <w:vAlign w:val="bottom"/>
          </w:tcPr>
          <w:p>
            <w:pPr>
              <w:spacing w:after="0"/>
              <w:rPr>
                <w:sz w:val="17"/>
                <w:szCs w:val="17"/>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Wells Fargo</w:t>
            </w:r>
          </w:p>
        </w:tc>
        <w:tc>
          <w:tcPr>
            <w:tcW w:w="3400" w:type="dxa"/>
            <w:vAlign w:val="bottom"/>
          </w:tcPr>
          <w:p>
            <w:pPr>
              <w:ind w:left="300"/>
              <w:spacing w:after="0"/>
              <w:rPr>
                <w:sz w:val="20"/>
                <w:szCs w:val="20"/>
                <w:color w:val="auto"/>
              </w:rPr>
            </w:pPr>
            <w:r>
              <w:rPr>
                <w:rFonts w:ascii="Arial" w:cs="Arial" w:eastAsia="Arial" w:hAnsi="Arial"/>
                <w:sz w:val="14"/>
                <w:szCs w:val="14"/>
                <w:color w:val="auto"/>
              </w:rPr>
              <w:t>Kevin McClure</w:t>
            </w:r>
          </w:p>
        </w:tc>
        <w:tc>
          <w:tcPr>
            <w:tcW w:w="4000" w:type="dxa"/>
            <w:vAlign w:val="bottom"/>
          </w:tcPr>
          <w:p>
            <w:pPr>
              <w:ind w:left="1220"/>
              <w:spacing w:after="0"/>
              <w:rPr>
                <w:sz w:val="20"/>
                <w:szCs w:val="20"/>
                <w:color w:val="auto"/>
              </w:rPr>
            </w:pPr>
            <w:r>
              <w:rPr>
                <w:rFonts w:ascii="Arial" w:cs="Arial" w:eastAsia="Arial" w:hAnsi="Arial"/>
                <w:sz w:val="14"/>
                <w:szCs w:val="14"/>
                <w:color w:val="auto"/>
              </w:rPr>
              <w:t>704.410.1100</w:t>
            </w:r>
          </w:p>
        </w:tc>
        <w:tc>
          <w:tcPr>
            <w:tcW w:w="40" w:type="dxa"/>
            <w:vAlign w:val="bottom"/>
          </w:tcPr>
          <w:p>
            <w:pPr>
              <w:spacing w:after="0"/>
              <w:rPr>
                <w:sz w:val="17"/>
                <w:szCs w:val="17"/>
                <w:color w:val="auto"/>
              </w:rPr>
            </w:pPr>
          </w:p>
        </w:tc>
      </w:tr>
      <w:tr>
        <w:trPr>
          <w:trHeight w:val="325"/>
        </w:trPr>
        <w:tc>
          <w:tcPr>
            <w:tcW w:w="292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Rating Agencies</w:t>
            </w:r>
          </w:p>
        </w:tc>
        <w:tc>
          <w:tcPr>
            <w:tcW w:w="3400" w:type="dxa"/>
            <w:vAlign w:val="bottom"/>
            <w:tcBorders>
              <w:bottom w:val="single" w:sz="8" w:color="828282"/>
            </w:tcBorders>
          </w:tcPr>
          <w:p>
            <w:pPr>
              <w:spacing w:after="0"/>
              <w:rPr>
                <w:sz w:val="24"/>
                <w:szCs w:val="24"/>
                <w:color w:val="auto"/>
              </w:rPr>
            </w:pPr>
          </w:p>
        </w:tc>
        <w:tc>
          <w:tcPr>
            <w:tcW w:w="4000" w:type="dxa"/>
            <w:vAlign w:val="bottom"/>
            <w:tcBorders>
              <w:bottom w:val="single" w:sz="8" w:color="828282"/>
            </w:tcBorders>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Moody’s Investors Service</w:t>
            </w:r>
          </w:p>
        </w:tc>
        <w:tc>
          <w:tcPr>
            <w:tcW w:w="3400" w:type="dxa"/>
            <w:vAlign w:val="bottom"/>
          </w:tcPr>
          <w:p>
            <w:pPr>
              <w:ind w:left="280"/>
              <w:spacing w:after="0"/>
              <w:rPr>
                <w:sz w:val="20"/>
                <w:szCs w:val="20"/>
                <w:color w:val="auto"/>
              </w:rPr>
            </w:pPr>
            <w:r>
              <w:rPr>
                <w:rFonts w:ascii="Arial" w:cs="Arial" w:eastAsia="Arial" w:hAnsi="Arial"/>
                <w:sz w:val="14"/>
                <w:szCs w:val="14"/>
                <w:color w:val="auto"/>
              </w:rPr>
              <w:t>Christian Azzi</w:t>
            </w:r>
          </w:p>
        </w:tc>
        <w:tc>
          <w:tcPr>
            <w:tcW w:w="4000" w:type="dxa"/>
            <w:vAlign w:val="bottom"/>
          </w:tcPr>
          <w:p>
            <w:pPr>
              <w:ind w:left="1180"/>
              <w:spacing w:after="0"/>
              <w:rPr>
                <w:sz w:val="20"/>
                <w:szCs w:val="20"/>
                <w:color w:val="auto"/>
              </w:rPr>
            </w:pPr>
            <w:r>
              <w:rPr>
                <w:rFonts w:ascii="Arial" w:cs="Arial" w:eastAsia="Arial" w:hAnsi="Arial"/>
                <w:sz w:val="14"/>
                <w:szCs w:val="14"/>
                <w:color w:val="auto"/>
              </w:rPr>
              <w:t>212.553.7718</w:t>
            </w:r>
          </w:p>
        </w:tc>
        <w:tc>
          <w:tcPr>
            <w:tcW w:w="40" w:type="dxa"/>
            <w:vAlign w:val="bottom"/>
          </w:tcPr>
          <w:p>
            <w:pPr>
              <w:spacing w:after="0"/>
              <w:rPr>
                <w:sz w:val="16"/>
                <w:szCs w:val="16"/>
                <w:color w:val="auto"/>
              </w:rPr>
            </w:pPr>
          </w:p>
        </w:tc>
      </w:tr>
      <w:tr>
        <w:trPr>
          <w:trHeight w:val="203"/>
        </w:trPr>
        <w:tc>
          <w:tcPr>
            <w:tcW w:w="2920" w:type="dxa"/>
            <w:vAlign w:val="bottom"/>
          </w:tcPr>
          <w:p>
            <w:pPr>
              <w:ind w:left="20"/>
              <w:spacing w:after="0"/>
              <w:rPr>
                <w:sz w:val="20"/>
                <w:szCs w:val="20"/>
                <w:color w:val="auto"/>
              </w:rPr>
            </w:pPr>
            <w:r>
              <w:rPr>
                <w:rFonts w:ascii="Arial" w:cs="Arial" w:eastAsia="Arial" w:hAnsi="Arial"/>
                <w:sz w:val="14"/>
                <w:szCs w:val="14"/>
                <w:color w:val="auto"/>
              </w:rPr>
              <w:t>Standard &amp; Poor’s</w:t>
            </w:r>
          </w:p>
        </w:tc>
        <w:tc>
          <w:tcPr>
            <w:tcW w:w="3400" w:type="dxa"/>
            <w:vAlign w:val="bottom"/>
          </w:tcPr>
          <w:p>
            <w:pPr>
              <w:ind w:left="280"/>
              <w:spacing w:after="0"/>
              <w:rPr>
                <w:sz w:val="20"/>
                <w:szCs w:val="20"/>
                <w:color w:val="auto"/>
              </w:rPr>
            </w:pPr>
            <w:r>
              <w:rPr>
                <w:rFonts w:ascii="Arial" w:cs="Arial" w:eastAsia="Arial" w:hAnsi="Arial"/>
                <w:sz w:val="14"/>
                <w:szCs w:val="14"/>
                <w:color w:val="auto"/>
              </w:rPr>
              <w:t>Michael Souers</w:t>
            </w:r>
          </w:p>
        </w:tc>
        <w:tc>
          <w:tcPr>
            <w:tcW w:w="4000" w:type="dxa"/>
            <w:vAlign w:val="bottom"/>
          </w:tcPr>
          <w:p>
            <w:pPr>
              <w:ind w:left="1180"/>
              <w:spacing w:after="0"/>
              <w:rPr>
                <w:sz w:val="20"/>
                <w:szCs w:val="20"/>
                <w:color w:val="auto"/>
              </w:rPr>
            </w:pPr>
            <w:r>
              <w:rPr>
                <w:rFonts w:ascii="Arial" w:cs="Arial" w:eastAsia="Arial" w:hAnsi="Arial"/>
                <w:sz w:val="14"/>
                <w:szCs w:val="14"/>
                <w:color w:val="auto"/>
              </w:rPr>
              <w:t>212.438.2508</w:t>
            </w: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265" w:right="339" w:bottom="1440" w:gutter="0" w:footer="0" w:header="0"/>
        </w:sectPr>
      </w:pPr>
    </w:p>
    <w:bookmarkStart w:id="63" w:name="page64"/>
    <w:bookmarkEnd w:id="63"/>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This section contains definitions of certain non-GAAP financial measures and other terms that the Company uses in this Supplemental report and, if applicable, the reasons why management believes these non-GAAP financial measures provide useful information to investors about the Company’s financial condition and results of operations and the other purposes for which management uses the measures. Additional detail can be found in the Company’s most recent annual report on Form 10-K and quarterly report on Form 10-Q, as well as other documents the Company files or furnishes to the SEC from time to time.</w:t>
      </w:r>
    </w:p>
    <w:p>
      <w:pPr>
        <w:spacing w:after="0" w:line="11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Company also presents “</w:t>
      </w:r>
      <w:r>
        <w:rPr>
          <w:rFonts w:ascii="Arial" w:cs="Arial" w:eastAsia="Arial" w:hAnsi="Arial"/>
          <w:sz w:val="14"/>
          <w:szCs w:val="14"/>
          <w:b w:val="1"/>
          <w:bCs w:val="1"/>
          <w:color w:val="auto"/>
        </w:rPr>
        <w:t>BXP’s Share</w:t>
      </w:r>
      <w:r>
        <w:rPr>
          <w:rFonts w:ascii="Arial" w:cs="Arial" w:eastAsia="Arial" w:hAnsi="Arial"/>
          <w:sz w:val="14"/>
          <w:szCs w:val="14"/>
          <w:color w:val="auto"/>
        </w:rPr>
        <w:t>” of certain of these measures, which are non-GAAP financial measures that are calculated as the consolidated amount calculated in accordance with GAAP, plus the Company’s share of the amount from the Company’s unconsolidated joint ventures (calculated based upon the Company’s percentage ownership interest and, in some cases, after priority allocations), minus the Company’s partners’ share of the amount from the Company’s consolidated joint ventures (calculated based upon the partners’ percentage ownership interests and, in some cases, after income allocation to private REIT shareholders and their share of fees due to the Company). Management believes that presenting “BXP’s Share” of these measures provides useful information to investors regarding the Company’s financial condition and/or results of operations because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management believes that presenting BXP’s Share of various financial measures in this manner can help investors better understand the Company’s financial condition and/or results of operations after taking into account its true economic interest in these joint ventures. The Company cautions investors that the ownership percentages used in calculating “BXP’s Share” of these measures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routine and major decisions), distributions, transferability of interests, financings and guarantees, liquidations and other matters. As a result, presentations of “BXP’s Share” of a financial measure should not be considered a substitute for, and should only be considered together with and as a supplement to, the Company’s financial information presented in accordance with GAAP. Unless noted otherwise, reconciliations of “BXP’s Share” of these financial measures can be found in the Reconciliations section of this Supplemental package starting on page 60.</w:t>
      </w:r>
    </w:p>
    <w:p>
      <w:pPr>
        <w:spacing w:after="0" w:line="286"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The Company may also present "BXP's Share" of certain operating metrics, such as occupancy and leased percentages based upon square footage. Amounts are calculated based on our consolidated portfolio square feet, plus our share of the square feet from the unconsolidated joint venture properties (calculated based on our ownership percentage), minus our partners’ share of square feet from our consolidated joint venture properties (calculated based upon the partners’ percentage ownership interests).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Annualized Rental Obligations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Annualized Rental Obligations is defined as monthly Rental Obligations, as of the last day of the reporting period, multiplied by twelve (12).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Economic Occupancy</w:t>
      </w:r>
    </w:p>
    <w:p>
      <w:pPr>
        <w:spacing w:after="0" w:line="29" w:lineRule="exact"/>
        <w:rPr>
          <w:sz w:val="20"/>
          <w:szCs w:val="20"/>
          <w:color w:val="auto"/>
        </w:rPr>
      </w:pPr>
    </w:p>
    <w:p>
      <w:pPr>
        <w:ind w:right="360"/>
        <w:spacing w:after="0" w:line="262" w:lineRule="auto"/>
        <w:rPr>
          <w:sz w:val="20"/>
          <w:szCs w:val="20"/>
          <w:color w:val="auto"/>
        </w:rPr>
      </w:pPr>
      <w:r>
        <w:rPr>
          <w:rFonts w:ascii="Arial" w:cs="Arial" w:eastAsia="Arial" w:hAnsi="Arial"/>
          <w:sz w:val="14"/>
          <w:szCs w:val="14"/>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Monthly Rental Rates</w:t>
      </w:r>
    </w:p>
    <w:p>
      <w:pPr>
        <w:spacing w:after="0" w:line="29" w:lineRule="exact"/>
        <w:rPr>
          <w:sz w:val="20"/>
          <w:szCs w:val="20"/>
          <w:color w:val="auto"/>
        </w:rPr>
      </w:pPr>
    </w:p>
    <w:p>
      <w:pPr>
        <w:ind w:right="120"/>
        <w:spacing w:after="0" w:line="284" w:lineRule="auto"/>
        <w:rPr>
          <w:sz w:val="20"/>
          <w:szCs w:val="20"/>
          <w:color w:val="auto"/>
        </w:rPr>
      </w:pPr>
      <w:r>
        <w:rPr>
          <w:rFonts w:ascii="Arial" w:cs="Arial" w:eastAsia="Arial" w:hAnsi="Arial"/>
          <w:sz w:val="14"/>
          <w:szCs w:val="14"/>
          <w:color w:val="auto"/>
        </w:rPr>
        <w:t>Average Monthly Rental Rates are calculated by the Company as the average of the quotients obtained by dividing (A) rental revenue as determined in accordance with GAAP by (B) the number of occupied units for each month within the applicable fiscal period.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Physical Occupancy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Average Physical Occupancy is defined as (1) the average number of occupied units divided by (2) the total number of units, expressed as a percentage.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to Market Capitalization Ratio</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 xml:space="preserve">Consolidated Debt to Consolidated Market Capitalization Ratio </w:t>
      </w:r>
      <w:r>
        <w:rPr>
          <w:rFonts w:ascii="Arial" w:cs="Arial" w:eastAsia="Arial" w:hAnsi="Arial"/>
          <w:sz w:val="14"/>
          <w:szCs w:val="14"/>
          <w:color w:val="auto"/>
        </w:rPr>
        <w:t>is a measure of leverage commonly used by analysts in the REIT sector that equals the quotient of (A)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Company’s Consolidated Debt divided by (B) the Company’s Consolidated Market Capitalization, presented as a percentage. </w:t>
      </w:r>
      <w:r>
        <w:rPr>
          <w:rFonts w:ascii="Arial" w:cs="Arial" w:eastAsia="Arial" w:hAnsi="Arial"/>
          <w:sz w:val="14"/>
          <w:szCs w:val="14"/>
          <w:b w:val="1"/>
          <w:bCs w:val="1"/>
          <w:color w:val="auto"/>
        </w:rPr>
        <w:t>Consolidated Market Capitalization</w:t>
      </w:r>
      <w:r>
        <w:rPr>
          <w:rFonts w:ascii="Arial" w:cs="Arial" w:eastAsia="Arial" w:hAnsi="Arial"/>
          <w:sz w:val="14"/>
          <w:szCs w:val="14"/>
          <w:color w:val="auto"/>
        </w:rPr>
        <w:t xml:space="preserve"> is the sum of (x) the Company’s Consolidated Debt plus (y) the market value of the Company’s outstanding equity securities calculated using the closing price per share of common stock of the Company, as reported by the New York Stock Exchange, multiplied by the sum of (1) outstanding shares of common stock of the Company, (2) outstanding common units of limited partnership interest in Boston Properties Limited Partnership (excluding common units held by the Company), (3) common units issuable upon conversion of all outstanding LTIP Units, assuming all conditions have been met for the conversion of the LTIP Units, (4) common units issuable upon conversion of 2012 OPP Units that were issued in the form of LTIP Units, and (5) common units issuable upon conversion of 2013-2022 MYLTIP Units that were issued in the form of LTIP Units. The calculation of Consolidated Market Capitalization does not include LTIP Units issued in the form of MYLTIP Awards unless and until certain performance thresholds are achieved and they are earned. Because their three-year performance periods have not yet ended, 2023, 2024 and 2025 MYLTIP Units are not included.</w:t>
      </w:r>
    </w:p>
    <w:p>
      <w:pPr>
        <w:spacing w:after="0" w:line="12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 xml:space="preserve">The Company also presents </w:t>
      </w:r>
      <w:r>
        <w:rPr>
          <w:rFonts w:ascii="Arial" w:cs="Arial" w:eastAsia="Arial" w:hAnsi="Arial"/>
          <w:sz w:val="14"/>
          <w:szCs w:val="14"/>
          <w:b w:val="1"/>
          <w:bCs w:val="1"/>
          <w:color w:val="auto"/>
        </w:rPr>
        <w:t>BXP’s Share of Market Capitalization</w:t>
      </w:r>
      <w:r>
        <w:rPr>
          <w:rFonts w:ascii="Arial" w:cs="Arial" w:eastAsia="Arial" w:hAnsi="Arial"/>
          <w:sz w:val="14"/>
          <w:szCs w:val="14"/>
          <w:color w:val="auto"/>
        </w:rPr>
        <w:t>, which is calculated in a similar manner, except that BXP’s Share of Debt is utilized instead of the Company’s Consolidated Debt in both the numerator and the denominator. The Company presents these ratios because its degree of leverage could affect its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the Company, and as such will fluctuate with changes in such price and do not necessarily reflect the Company’s capacity to incur additional debt to finance its activities or its ability to manage its existing debt obligations. However, for a company like BXP, Inc.,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the Company’s outstanding indebtedness.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265" w:right="339" w:bottom="1440" w:gutter="0" w:footer="0" w:header="0"/>
        </w:sectPr>
      </w:pPr>
    </w:p>
    <w:bookmarkStart w:id="64" w:name="page65"/>
    <w:bookmarkEnd w:id="64"/>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Before Interest, Taxes, Depreciation and Amortization for Real Estate (EBITDA</w:t>
      </w:r>
      <w:r>
        <w:rPr>
          <w:rFonts w:ascii="Arial" w:cs="Arial" w:eastAsia="Arial" w:hAnsi="Arial"/>
          <w:sz w:val="14"/>
          <w:szCs w:val="14"/>
          <w:b w:val="1"/>
          <w:bCs w:val="1"/>
          <w:i w:val="1"/>
          <w:iCs w:val="1"/>
          <w:color w:val="auto"/>
        </w:rPr>
        <w:t>re</w:t>
      </w:r>
      <w:r>
        <w:rPr>
          <w:rFonts w:ascii="Arial" w:cs="Arial" w:eastAsia="Arial" w:hAnsi="Arial"/>
          <w:sz w:val="14"/>
          <w:szCs w:val="14"/>
          <w:b w:val="1"/>
          <w:bCs w:val="1"/>
          <w:color w:val="auto"/>
        </w:rPr>
        <w:t>)</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Pursuant to the definition of Earnings Before Interest, Taxes, Depreciation and Amortization for Real Estate adopted by the Board of Governors of the National Association of Real Estate Investment Trusts (“Nareit”), the Company calculates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as net income (loss) attributable to BXP, Inc, the most directly comparable GAAP financial measure, plus net income (loss) attributable to noncontrolling interests, interest expense, losses (gains) from early extinguishments of debt, depreciation and amortization expense, impairment losses and adjustments to reflect the Company’s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unconsolidated joint ventures less gains (losses) on sales of real estate and sales-type leases.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is a non-GAAP financial measure. The Company uses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internally as a performance measure and believes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provides useful information to investors regarding its financial condition and results of operations at the corporate level because, when compared across periods,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reflects the impact on operations from trends in occupancy rates, rental rates, operating costs, general and administrative expenses and acquisition and development activities on an unleveraged basis, providing perspective not immediately apparent from net income (loss) attributable to BXP, Inc.</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 xml:space="preserve">In some cases the Company also presents (A) </w:t>
      </w:r>
      <w:r>
        <w:rPr>
          <w:rFonts w:ascii="Arial" w:cs="Arial" w:eastAsia="Arial" w:hAnsi="Arial"/>
          <w:sz w:val="14"/>
          <w:szCs w:val="14"/>
          <w:b w:val="1"/>
          <w:bCs w:val="1"/>
          <w:color w:val="auto"/>
        </w:rPr>
        <w:t>BXP’s Share of 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 </w:t>
      </w:r>
      <w:r>
        <w:rPr>
          <w:rFonts w:ascii="Arial" w:cs="Arial" w:eastAsia="Arial" w:hAnsi="Arial"/>
          <w:sz w:val="14"/>
          <w:szCs w:val="14"/>
          <w:b w:val="1"/>
          <w:bCs w:val="1"/>
          <w:color w:val="auto"/>
        </w:rPr>
        <w:t>– cash</w:t>
      </w:r>
      <w:r>
        <w:rPr>
          <w:rFonts w:ascii="Arial" w:cs="Arial" w:eastAsia="Arial" w:hAnsi="Arial"/>
          <w:sz w:val="14"/>
          <w:szCs w:val="14"/>
          <w:color w:val="auto"/>
        </w:rPr>
        <w:t>, which is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after eliminating the effects of straight-line rent (excluding the impact related to deferred revenue related to improvements to long-lived assets paid for by a client), fair value lease revenue, amortization and accretion of sales type lease receivable, non-cash termination income adjustment (fair value lease amounts) and non-cash gains (losses) from early extinguishment of debt and adding straight-line ground rent expense (excluding prepaid ground rent expense), stock-based compensation expense and lease transaction costs that qualify as rent inducements, and (B) </w:t>
      </w:r>
      <w:r>
        <w:rPr>
          <w:rFonts w:ascii="Arial" w:cs="Arial" w:eastAsia="Arial" w:hAnsi="Arial"/>
          <w:sz w:val="14"/>
          <w:szCs w:val="14"/>
          <w:b w:val="1"/>
          <w:bCs w:val="1"/>
          <w:color w:val="auto"/>
        </w:rPr>
        <w:t>Annualized</w:t>
      </w:r>
      <w:r>
        <w:rPr>
          <w:rFonts w:ascii="Arial" w:cs="Arial" w:eastAsia="Arial" w:hAnsi="Arial"/>
          <w:sz w:val="14"/>
          <w:szCs w:val="14"/>
          <w:color w:val="auto"/>
        </w:rPr>
        <w:t xml:space="preserve"> </w:t>
      </w:r>
      <w:r>
        <w:rPr>
          <w:rFonts w:ascii="Arial" w:cs="Arial" w:eastAsia="Arial" w:hAnsi="Arial"/>
          <w:sz w:val="14"/>
          <w:szCs w:val="14"/>
          <w:b w:val="1"/>
          <w:bCs w:val="1"/>
          <w:color w:val="auto"/>
        </w:rPr>
        <w:t>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which is EBITDA</w:t>
      </w:r>
      <w:r>
        <w:rPr>
          <w:rFonts w:ascii="Arial" w:cs="Arial" w:eastAsia="Arial" w:hAnsi="Arial"/>
          <w:sz w:val="14"/>
          <w:szCs w:val="14"/>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applicable fiscal quarter ended multiplied by four (4). Presenting BXP’s Share of EBITDA</w:t>
      </w:r>
      <w:r>
        <w:rPr>
          <w:rFonts w:ascii="Arial" w:cs="Arial" w:eastAsia="Arial" w:hAnsi="Arial"/>
          <w:sz w:val="14"/>
          <w:szCs w:val="14"/>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 cash allows investors to compare EBITDA</w:t>
      </w:r>
      <w:r>
        <w:rPr>
          <w:rFonts w:ascii="Arial" w:cs="Arial" w:eastAsia="Arial" w:hAnsi="Arial"/>
          <w:sz w:val="14"/>
          <w:szCs w:val="14"/>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across periods without taking into account the effect of certain non-cash rental revenues, ground rent expense and stock based compensation expense. Similar to depreciation and amortization, because of historical cost accounting, fair value lease revenue may distort operating performance measures at the property level. Additionally, presenting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excluding the impact of straight-line rent provides investors with an alternative view of operating performance at the property level that more closely reflects rental revenue generated at the property level without regard to future contractual increases in rental rates. In addition, the Company’s management believes that the presentation of Annualized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provides useful information to investors regarding the Company’s results of operations because it enables investors to more easily compare quarterly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to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full fiscal years.</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Company’s computation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may not be comparable to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reported by other REITs or real estate companies that do not define the term in accordance with the current Nareit definition or that interpret the current Nareit definition differently. The Company believes that in order to facilitate a clear understanding of its operating results,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should be examined in conjunction with net income (loss) attributable to BXP, Inc. as presented in the Company’s consolidated financial statements.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should not be considered a substitute to net income (loss) attributable to BXP, Inc. in accordance with GAAP or any other GAAP financial measures and should only be considered together with and as a supplement to the Company’s financial information prepared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Fixed Charge Coverage Ratio</w:t>
      </w:r>
    </w:p>
    <w:p>
      <w:pPr>
        <w:spacing w:after="0" w:line="2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 xml:space="preserve">Fixed Charge Coverage Ratio equals </w:t>
      </w:r>
      <w:r>
        <w:rPr>
          <w:rFonts w:ascii="Arial" w:cs="Arial" w:eastAsia="Arial" w:hAnsi="Arial"/>
          <w:sz w:val="14"/>
          <w:szCs w:val="14"/>
          <w:b w:val="1"/>
          <w:bCs w:val="1"/>
          <w:color w:val="auto"/>
        </w:rPr>
        <w:t>BXP’s Share of 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 </w:t>
      </w:r>
      <w:r>
        <w:rPr>
          <w:rFonts w:ascii="Arial" w:cs="Arial" w:eastAsia="Arial" w:hAnsi="Arial"/>
          <w:sz w:val="14"/>
          <w:szCs w:val="14"/>
          <w:b w:val="1"/>
          <w:bCs w:val="1"/>
          <w:color w:val="auto"/>
        </w:rPr>
        <w:t>– cash</w:t>
      </w:r>
      <w:r>
        <w:rPr>
          <w:rFonts w:ascii="Arial" w:cs="Arial" w:eastAsia="Arial" w:hAnsi="Arial"/>
          <w:sz w:val="14"/>
          <w:szCs w:val="14"/>
          <w:color w:val="auto"/>
        </w:rPr>
        <w:t xml:space="preserve"> divided by </w:t>
      </w:r>
      <w:r>
        <w:rPr>
          <w:rFonts w:ascii="Arial" w:cs="Arial" w:eastAsia="Arial" w:hAnsi="Arial"/>
          <w:sz w:val="14"/>
          <w:szCs w:val="14"/>
          <w:b w:val="1"/>
          <w:bCs w:val="1"/>
          <w:color w:val="auto"/>
        </w:rPr>
        <w:t>Total Fixed Charges</w:t>
      </w:r>
      <w:r>
        <w:rPr>
          <w:rFonts w:ascii="Arial" w:cs="Arial" w:eastAsia="Arial" w:hAnsi="Arial"/>
          <w:sz w:val="14"/>
          <w:szCs w:val="14"/>
          <w:color w:val="auto"/>
        </w:rPr>
        <w:t>.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 cash is a non-GAAP financial measure equal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after eliminating the effects of straight-line rent (excluding the impact related to deferred revenue related to improvements to long-lived assets paid for by a client), fair value lease revenue, amortization and accretion related to sales type lease receivable, non-cash termination income adjustment (fair value lease amounts) and non-cash gains (losses) from early extinguishment of debt and adding straight-line ground rent expense, stock-based compensation expense and lease transaction costs that qualify as rent inducements. </w:t>
      </w:r>
      <w:r>
        <w:rPr>
          <w:rFonts w:ascii="Arial" w:cs="Arial" w:eastAsia="Arial" w:hAnsi="Arial"/>
          <w:sz w:val="14"/>
          <w:szCs w:val="14"/>
          <w:b w:val="1"/>
          <w:bCs w:val="1"/>
          <w:color w:val="auto"/>
        </w:rPr>
        <w:t>Total Fixed Charges</w:t>
      </w:r>
      <w:r>
        <w:rPr>
          <w:rFonts w:ascii="Arial" w:cs="Arial" w:eastAsia="Arial" w:hAnsi="Arial"/>
          <w:sz w:val="14"/>
          <w:szCs w:val="14"/>
          <w:color w:val="auto"/>
        </w:rPr>
        <w:t xml:space="preserve"> is also a non-GAAP financial measure equal to the sum of BXP’s Share of interest expense, capitalized interest, maintenance capital expenditures, hotel improvements, equipment upgrades and replacements and preferred dividends/distributions less hedge amortization and amortization of financing costs. The Company believes that the presentation of its Fixed Charge Coverage Ratio provides investors with useful information about the Company’s financial performance as it relates to overall financial flexibility and balance sheet management. Furthermore, the Company believes that the Fixed Charge Coverage Ratio is frequently used by analysts, rating agencies and other interested parties in the evaluation of the Company’s performance as a REIT and, as a result, by presenting the Fixed Charge Coverage Ratio the Company assists these parties in their evaluations. The Company’s calculation of its Fixed Charge Coverage Ratio may not be comparable to the ratios reported by other REITs or real estate companies that define the term differently and should only be considered together with and as a supplement to the Company’s financial information prepared in accordance with GAAP. For clarification purposes, this ratio does not include gains (losses) from early extinguishments of debt.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Funds Available for Distribution (FAD) and FAD Payout Ratio</w:t>
      </w:r>
    </w:p>
    <w:p>
      <w:pPr>
        <w:spacing w:after="0" w:line="1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to FFO, which is defined on the following page, the Company presents Funds Available for Distribution to common shareholders and common unitholders (FAD), which is a non-GAAP financial measure that is calculated by (1) adding to FFO lease transaction costs that qualify as rent inducements, non-real estate depreciation and amortization, non-cash losses (gains) from early extinguishments of debt, stock-based compensation expense, partners’ share of consolidated and unconsolidated joint venture 2nd generation tenant improvement and leasing commissions (included in the period in which the lease commences) and unearned portion of capitalized fees, (2) eliminating the effects of straight-line rent, straight-line ground rent expense adjustment (excluding prepaid ground rent expense), hedge amortization, fair value interest adjustment, fair value lease revenue and amortization and accretion related to sales type lease receivable, and (3) subtracting maintenance capital expenditures, hotel improvements, equipment upgrades and replacements, 2nd generation tenant improvement and leasing commissions (included in the period in which the lease commences), non-cash termination income adjustment (fair value lease amounts) and impairments of non-depreciable real estate. The Company believes that the presentation of FAD provides useful information to investors regarding the Company’s results of operations because FAD provides supplemental information regarding the Company’s operating performance that would not otherwise be available and may be useful to investors in assessing the Company’s operating performance. Additionally, although the Company does not consider FAD to be a liquidity measure, as it does not make adjustments to reflect changes in working capital or the actual timing of the payment of income or expense items that are accrued in the period, the Company believes that FAD may provide investors with useful supplemental information regarding the Company’s ability to generate cash from its operating performance and the impact of the Company’s operating performance on its ability to make distributions to its shareholders. Furthermore, the Company believes that FAD is frequently used by analysts, investors and other interested parties in the evaluation of its performance as a REIT and, as a result, by presenting FAD the Company is assisting these parties in their evaluation. FAD should not be considered as a substitute for net income (loss) attributable to BXP, Inc.’s co determined in accordance with GAAP or any other GAAP financial measures and should only be considered together with and as a supplement to the Company’s financial information prepared in accordance with GAAP.</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FAD Payout Ratio </w:t>
      </w:r>
      <w:r>
        <w:rPr>
          <w:rFonts w:ascii="Arial" w:cs="Arial" w:eastAsia="Arial" w:hAnsi="Arial"/>
          <w:sz w:val="14"/>
          <w:szCs w:val="14"/>
          <w:color w:val="auto"/>
        </w:rPr>
        <w:t>is defined as distributions to common shareholders and unitholders (excluding any special distributions) divided by FAD.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265" w:right="339" w:bottom="1440" w:gutter="0" w:footer="0" w:header="0"/>
        </w:sectPr>
      </w:pPr>
    </w:p>
    <w:bookmarkStart w:id="65" w:name="page66"/>
    <w:bookmarkEnd w:id="65"/>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Funds from Operations (FFO)</w:t>
      </w: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Pursuant to the revised definition of Funds from Operations adopted by the Board of Governors of Nareit, the Company calculates Funds from Operations, or “FFO,” by adjusting net income (loss) attributable to BXP, Inc. (computed in accordance with GAAP) for gains (or losses) from sales of properties or a change in control, impairment losses on depreciable real estate consolidated on the Company’s balance sheet, impairment losses on its investments in unconsolidated joint ventures driven by a measurable decrease in the fair value of depreciable real estate held by the unconsolidated joint ventures and real estate-related depreciation and amortization. FFO is a non-GAAP financial measure, but the Company believes the presentation of FFO, combined with the presentation of required GAAP financial measures, has improved the understanding of operating results of REITs among the investing public and has helped make comparisons of REIT operating results more meaningful. Management generally considers FFO and FFO per share to be useful measures for understanding and comparing the Company’s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and FFO per share can help investors compare the operating performance of a company’s real estate across reporting periods and to the operating performance of other companies.</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The Company’s computation of FFO may not be comparable to FFO reported by other REITs or real estate companies that do not define the term in accordance with the current Nareit definition or that interpret the current Nareit definition differently. In order to facilitate a clear understanding of the Company’s operating results, FFO should be examined in conjunction with net income (loss) attributable to BXP, Inc. as presented in the Company’s consolidated financial statements. FFO should not be considered as a substitute for net income (loss) attributable to BXP, Inc. (determined in accordance with GAAP) or any other GAAP financial measures and should only be considered together with and as a supplement to the Company’s financial information prepared in accordance with GAAP.</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In-Service Properties</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Company treats a property as being “in-service” upon the earlier of (1) lease-up and completion of tenant improvements or (2) one year after cessation of major construction activity as determined under GAAP. The determination as to when an entire property should be treated as “in-service” involves a degree of judgment and is made by management based on the relevant facts and circumstances of the particular property. For portfolio operating and occupancy statistics, the Company specifies a single date for treating a property as “in-service,” which is generally later than the date the property is partially placed in-service under GAAP. Under GAAP, a property may be placed in-service in stages as construction is completed and the property is held available for occupancy. In addition, under GAAP, when a portion of a property has been substantially completed and either occupied or held available for occupancy, the Company ceases capitalizing costs on that portion, even though it may not treat the property as being “in-service,” and continues to capitalize only those costs associated with the portion still under construction. In-service properties include properties held by the Company’s unconsolidated joint ventures. A property will no longer be considered “in-service” when the occupied percentage is below 50% and the Company anticipates a future development/redevelopment of the property.</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Coverage Ratio</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Interest Coverage Ratio, calculated including and excluding capitalized interest, is a non-GAAP financial measure equal to </w:t>
      </w:r>
      <w:r>
        <w:rPr>
          <w:rFonts w:ascii="Arial" w:cs="Arial" w:eastAsia="Arial" w:hAnsi="Arial"/>
          <w:sz w:val="14"/>
          <w:szCs w:val="14"/>
          <w:b w:val="1"/>
          <w:bCs w:val="1"/>
          <w:color w:val="auto"/>
        </w:rPr>
        <w:t>BXP’s Share of 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 </w:t>
      </w:r>
      <w:r>
        <w:rPr>
          <w:rFonts w:ascii="Arial" w:cs="Arial" w:eastAsia="Arial" w:hAnsi="Arial"/>
          <w:sz w:val="14"/>
          <w:szCs w:val="14"/>
          <w:b w:val="1"/>
          <w:bCs w:val="1"/>
          <w:color w:val="auto"/>
        </w:rPr>
        <w:t>– cash</w:t>
      </w:r>
      <w:r>
        <w:rPr>
          <w:rFonts w:ascii="Arial" w:cs="Arial" w:eastAsia="Arial" w:hAnsi="Arial"/>
          <w:sz w:val="14"/>
          <w:szCs w:val="14"/>
          <w:color w:val="auto"/>
        </w:rPr>
        <w:t xml:space="preserve"> divided by Adjusted interest expense.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 cash is a non-GAAP financial measure equal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after eliminating the effects of straight-line rent (excluding the impact related to deferred revenue related to improvements to long-lived assets paid for by a client), fair value lease revenue, amortization and accretion related to sales type lease receivable, non-cash termination income adjustment (fair value lease amounts) and non-cash gains (losses) from early extinguishment of debt and adding straight-line ground rent expense (excluding prepaid ground rent expense), stock-based compensation expense and lease transaction costs that qualify as rent inducements. Adjusted interest expense excluding capitalized interest is equal to BXP’s Share of interest expense less (1) BXP’s Share of hedge amortization, (2) BXP’s Share of fair value interest adjustment and (3) BXP’s Share of amortization of financing costs. Adjusted interest expense including capitalized interest is calculated in the same manner but adds back BXP’s Share of capitalized interest. The Company believes that the presentation of its Interest Coverage Ratio provides useful information about the Company’s financial condition because it provides investors additional information on the Company’s ability to meet its debt obligations and incur additional indebtedness. In addition, by analyzing interest coverage ratios over a period of time, trends may emerge that provide investors a better sense of whether a company’s financial condition is improving or declining. The ratios may also be used to compare the financial condition of different companies, which can help when making an investment decision. The Company presents its Interest Coverage Ratio in two ways - including capitalized interest and excluding capitalized interest. GAAP requires the capitalization of interest expense during development. Therefore, for a company like BXP, Inc. that is an active developer of real estate, presenting the Interest Coverage Ratio (excluding capitalized interest) provides an alternative measure of financial condition that may be more indicative of the Company’s ability to meet its interest expense obligations and therefore its overall financial condition. For clarification purposes, this ratio does not include gains (losses) from early extinguishments of debt.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Rents</w:t>
      </w:r>
    </w:p>
    <w:p>
      <w:pPr>
        <w:spacing w:after="0" w:line="29" w:lineRule="exact"/>
        <w:rPr>
          <w:sz w:val="20"/>
          <w:szCs w:val="20"/>
          <w:color w:val="auto"/>
        </w:rPr>
      </w:pPr>
    </w:p>
    <w:p>
      <w:pPr>
        <w:jc w:val="both"/>
        <w:ind w:right="340"/>
        <w:spacing w:after="0" w:line="262" w:lineRule="auto"/>
        <w:rPr>
          <w:sz w:val="20"/>
          <w:szCs w:val="20"/>
          <w:color w:val="auto"/>
        </w:rPr>
      </w:pPr>
      <w:r>
        <w:rPr>
          <w:rFonts w:ascii="Arial" w:cs="Arial" w:eastAsia="Arial" w:hAnsi="Arial"/>
          <w:sz w:val="14"/>
          <w:szCs w:val="14"/>
          <w:color w:val="auto"/>
        </w:rPr>
        <w:t>Market Rents used by the Company in calculating Average Economic Occupancy are based on the current market rates set by the managers of the Company’s residential properties based on their experience in renting their residential property’s units and publicly available market data. Trends in market rents for a region as reported by others could therefore vary materially. Market Rents for a period are based on the average Market Rents during that period and do not reflect any impact for cash concessions.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Debt</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 xml:space="preserve">Net Debt is equal to (A) the Company’s consolidated debt plus special dividends payable (if any) less (B) cash and cash equivalents and cash held in escrow for potential Section 1031 like kind exchange(s) (if any). The Company believes that the presentation of Net Debt provides useful information to investors because the Company reviews Net Debt as part of the management of its overall financial flexibility, capital structure and leverage. In particular, Net Debt is an important component of the Company’s ratio of </w:t>
      </w:r>
      <w:r>
        <w:rPr>
          <w:rFonts w:ascii="Arial" w:cs="Arial" w:eastAsia="Arial" w:hAnsi="Arial"/>
          <w:sz w:val="14"/>
          <w:szCs w:val="14"/>
          <w:b w:val="1"/>
          <w:bCs w:val="1"/>
          <w:color w:val="auto"/>
        </w:rPr>
        <w:t>BXP’s Share of Net Debt to BXP’s Share of EBITDA</w:t>
      </w:r>
      <w:r>
        <w:rPr>
          <w:rFonts w:ascii="Arial" w:cs="Arial" w:eastAsia="Arial" w:hAnsi="Arial"/>
          <w:sz w:val="14"/>
          <w:szCs w:val="14"/>
          <w:b w:val="1"/>
          <w:bCs w:val="1"/>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BXP’s Share of Net Debt is calculated in a similar manner to Net Debt, except that (1) BXP’s Share of Debt is utilized</w:t>
      </w:r>
      <w:r>
        <w:rPr>
          <w:rFonts w:ascii="Arial" w:cs="Arial" w:eastAsia="Arial" w:hAnsi="Arial"/>
          <w:sz w:val="14"/>
          <w:szCs w:val="14"/>
          <w:b w:val="1"/>
          <w:bCs w:val="1"/>
          <w:color w:val="auto"/>
        </w:rPr>
        <w:t xml:space="preserve"> </w:t>
      </w:r>
      <w:r>
        <w:rPr>
          <w:rFonts w:ascii="Arial" w:cs="Arial" w:eastAsia="Arial" w:hAnsi="Arial"/>
          <w:sz w:val="14"/>
          <w:szCs w:val="14"/>
          <w:color w:val="auto"/>
        </w:rPr>
        <w:t>instead of the Company’s consolidated debt after eliminating BXP’s Share of the related party note receivable and (2) BXP’s Share of cash is utilized instead of consolidated cash. The Company believes BXP’s Share of Net Debt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is useful to investors because it provides an alternative measure of the Company’s financial flexibility, capital structure and leverage based on its percentage ownership interest in all of its assets. Furthermore, certain debt rating agencies, creditors and credit analysts monitor the Company’s Net Debt as part of their assessments of its business. The Company may utilize a considerable portion of its cash and cash equivalents at any given time for purposes other than debt reduction. In addition, cash and cash equivalents and cash held in escrow for potential Section 1031 like kind exchange(s) may not be solely controlled by the Company. The deduction of these items from consolidated debt in the calculation of Net Debt therefore should not be understood to mean that these items are available exclusively for debt reduction at any given time.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265" w:right="339" w:bottom="1440" w:gutter="0" w:footer="0" w:header="0"/>
        </w:sectPr>
      </w:pPr>
    </w:p>
    <w:bookmarkStart w:id="66" w:name="page67"/>
    <w:bookmarkEnd w:id="66"/>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Operating Income (NOI)</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 xml:space="preserve">Net operating income (NOI) is a non-GAAP financial measure equal to net income (loss) attributable to BXP, Inc., the most directly comparable GAAP financial measure, plus (1) net income (loss) attributable to noncontrolling interests, corporate general and administrative expense, payroll and related costs from management services contracts, transaction costs, depreciation and amortization expense, impairment losses, loss from early extinguishment of debt, and interest expense, less (2) development and management services revenue, direct reimbursements of payroll and related costs from management services contracts, income (loss) from unconsolidated joint ventures, gains (losses) on sales of real estate or sales type leases, gains (losses) from investments in securities, unrealized gain (loss) on non-real estate investments, and interest and other income (loss). In some cases, the Company also presents (1) </w:t>
      </w:r>
      <w:r>
        <w:rPr>
          <w:rFonts w:ascii="Arial" w:cs="Arial" w:eastAsia="Arial" w:hAnsi="Arial"/>
          <w:sz w:val="14"/>
          <w:szCs w:val="14"/>
          <w:b w:val="1"/>
          <w:bCs w:val="1"/>
          <w:color w:val="auto"/>
        </w:rPr>
        <w:t>NOI – cash</w:t>
      </w:r>
      <w:r>
        <w:rPr>
          <w:rFonts w:ascii="Arial" w:cs="Arial" w:eastAsia="Arial" w:hAnsi="Arial"/>
          <w:sz w:val="14"/>
          <w:szCs w:val="14"/>
          <w:color w:val="auto"/>
        </w:rPr>
        <w:t>, which is NOI after eliminating the effects of straight-line rent (excluding the impact related to deferred revenue related to improvements to long-lived assets paid for by a client), fair value lease revenue, amortization and accretion related to sales type lease, straight-line ground rent expense adjustment (excluding prepaid ground rent), prepaid ground rent expense and lease transaction costs that qualify as rent inducements in accordance with GAAP,</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and (2) </w:t>
      </w:r>
      <w:r>
        <w:rPr>
          <w:rFonts w:ascii="Arial" w:cs="Arial" w:eastAsia="Arial" w:hAnsi="Arial"/>
          <w:sz w:val="14"/>
          <w:szCs w:val="14"/>
          <w:b w:val="1"/>
          <w:bCs w:val="1"/>
          <w:color w:val="auto"/>
        </w:rPr>
        <w:t>NOI and NOI – cash, in each case excluding termination income</w:t>
      </w:r>
      <w:r>
        <w:rPr>
          <w:rFonts w:ascii="Arial" w:cs="Arial" w:eastAsia="Arial" w:hAnsi="Arial"/>
          <w:sz w:val="14"/>
          <w:szCs w:val="14"/>
          <w:color w:val="auto"/>
        </w:rPr>
        <w:t>.</w:t>
      </w:r>
    </w:p>
    <w:p>
      <w:pPr>
        <w:spacing w:after="0" w:line="16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Company uses these measures internally as performance measures and believes they provide useful information to investors regarding the Company’s results of operations and financial condition because, when compared across periods, they reflect the impact on operations from trends in occupancy rates, rental rates, operating costs and acquisition and development activity on an unleveraged basis, providing perspective not immediately apparent from net income (loss).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Presenting NOI – cash allows investors to compare NOI performance across periods without taking into account the effect of certain non-cash rental revenues, amortization and accretion related to sales type lease receivable and ground rent expenses. Similar to depreciation and amortization expense, fair value lease revenues, because of historical cost accounting, may distort operating performance measures at the property level. Additionally, presenting NOI excluding the impact of the straight-lining of rent and amortization and accretion related to sale type lease receivable provides investors with an alternative view of operating performance at the property level that more closely reflects net cash generated at the property level on an unleveraged basis. Presenting NOI measures that exclude termination income provides investors with additional information regarding operating performance at a property level that allows them to compare operating performance between periods without taking into account termination income, which can distort the results for any given period because they generally represent multiple months or years of a client’s rental obligations that are paid in a lump sum in connection with a negotiated early termination of the client’s lease and are not reflective of the core ongoing operating performance of the Company’s properties.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Rental Obligations</w:t>
      </w:r>
    </w:p>
    <w:p>
      <w:pPr>
        <w:spacing w:after="0" w:line="29" w:lineRule="exact"/>
        <w:rPr>
          <w:sz w:val="20"/>
          <w:szCs w:val="20"/>
          <w:color w:val="auto"/>
        </w:rPr>
      </w:pPr>
    </w:p>
    <w:p>
      <w:pPr>
        <w:ind w:right="260"/>
        <w:spacing w:after="0" w:line="284" w:lineRule="auto"/>
        <w:rPr>
          <w:sz w:val="20"/>
          <w:szCs w:val="20"/>
          <w:color w:val="auto"/>
        </w:rPr>
      </w:pPr>
      <w:r>
        <w:rPr>
          <w:rFonts w:ascii="Arial" w:cs="Arial" w:eastAsia="Arial" w:hAnsi="Arial"/>
          <w:sz w:val="14"/>
          <w:szCs w:val="14"/>
          <w:color w:val="auto"/>
        </w:rPr>
        <w:t>Rental Obligations is defined as the contractual base rents (but excluding percentage rent) and budgeted reimbursements from clients under existing leases. These amounts exclude rent abatements.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Rental Revenue</w:t>
      </w:r>
    </w:p>
    <w:p>
      <w:pPr>
        <w:spacing w:after="0" w:line="2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 xml:space="preserve">Rental Revenue is equal to Total revenue, the most directly comparable GAAP financial measure, less development and management services revenue and direct reimbursements of payroll and related costs from management services contracts. The Company uses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 The Company also presents </w:t>
      </w:r>
      <w:r>
        <w:rPr>
          <w:rFonts w:ascii="Arial" w:cs="Arial" w:eastAsia="Arial" w:hAnsi="Arial"/>
          <w:sz w:val="14"/>
          <w:szCs w:val="14"/>
          <w:b w:val="1"/>
          <w:bCs w:val="1"/>
          <w:color w:val="auto"/>
        </w:rPr>
        <w:t>Rental Revenue (excluding termination income)</w:t>
      </w:r>
      <w:r>
        <w:rPr>
          <w:rFonts w:ascii="Arial" w:cs="Arial" w:eastAsia="Arial" w:hAnsi="Arial"/>
          <w:sz w:val="14"/>
          <w:szCs w:val="14"/>
          <w:color w:val="auto"/>
        </w:rPr>
        <w:t xml:space="preserve"> because termination income can distort the results for any given period because it generally represents multiple months or years of a client’s rental obligations that are paid in a lump sum in connection with a negotiated early termination of the client’s lease and does not reflect the core ongoing operating performance of the Company’s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Same Properties</w:t>
      </w:r>
    </w:p>
    <w:p>
      <w:pPr>
        <w:spacing w:after="0" w:line="2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the Company’s analysis of NOI, particularly to make comparisons of NOI between periods meaningful, it is important to provide information for properties that were in-service and owned by the Company throughout each period presented. The Company refers to properties acquired or placed in-service prior to the beginning of the earliest period presented and owned by the Company through the end of the latest period presented as “Same Properties.” “Same Properties” therefore exclude properties placed in-service, acquired, repositioned or in or held for development or redevelopment after the beginning of the earliest period presented or disposed of prior to the end of the latest period presented. Accordingly, it takes at least one year and one quarter after a property is acquired or treated as “in-service” for that property to be included in “Same Properties.” Pages 21 - 24 indicate by footnote the “In-Service Properties” that are not included in “Same Properties.”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26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Q3 2025</w:t>
            </w:r>
          </w:p>
        </w:tc>
      </w:tr>
      <w:tr>
        <w:trPr>
          <w:trHeight w:val="245"/>
        </w:trPr>
        <w:tc>
          <w:tcPr>
            <w:tcW w:w="7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Reconciliations</w:t>
            </w:r>
          </w:p>
        </w:tc>
      </w:tr>
      <w:tr>
        <w:trPr>
          <w:trHeight w:val="599"/>
        </w:trPr>
        <w:tc>
          <w:tcPr>
            <w:tcW w:w="7960" w:type="dxa"/>
            <w:vAlign w:val="bottom"/>
          </w:tcPr>
          <w:p>
            <w:pPr>
              <w:spacing w:after="0"/>
              <w:rPr>
                <w:sz w:val="20"/>
                <w:szCs w:val="20"/>
                <w:color w:val="auto"/>
              </w:rPr>
            </w:pPr>
            <w:r>
              <w:rPr>
                <w:rFonts w:ascii="Arial" w:cs="Arial" w:eastAsia="Arial" w:hAnsi="Arial"/>
                <w:sz w:val="14"/>
                <w:szCs w:val="14"/>
                <w:color w:val="auto"/>
              </w:rPr>
              <w:t>(unaudited and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BXP’s Share of select items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1"/>
        </w:trPr>
        <w:tc>
          <w:tcPr>
            <w:tcW w:w="7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30-Sep-25</w:t>
            </w:r>
          </w:p>
        </w:tc>
        <w:tc>
          <w:tcPr>
            <w:tcW w:w="260" w:type="dxa"/>
            <w:vAlign w:val="bottom"/>
          </w:tcPr>
          <w:p>
            <w:pPr>
              <w:spacing w:after="0"/>
              <w:rPr>
                <w:sz w:val="16"/>
                <w:szCs w:val="16"/>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30-Jun-25</w:t>
            </w:r>
          </w:p>
        </w:tc>
      </w:tr>
      <w:tr>
        <w:trPr>
          <w:trHeight w:val="190"/>
        </w:trPr>
        <w:tc>
          <w:tcPr>
            <w:tcW w:w="7960" w:type="dxa"/>
            <w:vAlign w:val="bottom"/>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871,510</w:t>
            </w:r>
          </w:p>
        </w:tc>
        <w:tc>
          <w:tcPr>
            <w:tcW w:w="28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868,457</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revenue from consolidated joint ventures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(88,181)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(88,271)</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revenue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56,016</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55,481</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839,345</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835,667</w:t>
            </w:r>
          </w:p>
        </w:tc>
      </w:tr>
      <w:tr>
        <w:trPr>
          <w:trHeight w:val="418"/>
        </w:trPr>
        <w:tc>
          <w:tcPr>
            <w:tcW w:w="7960" w:type="dxa"/>
            <w:vAlign w:val="bottom"/>
          </w:tcPr>
          <w:p>
            <w:pPr>
              <w:ind w:left="20"/>
              <w:spacing w:after="0"/>
              <w:rPr>
                <w:sz w:val="20"/>
                <w:szCs w:val="20"/>
                <w:color w:val="auto"/>
              </w:rPr>
            </w:pPr>
            <w:r>
              <w:rPr>
                <w:rFonts w:ascii="Arial" w:cs="Arial" w:eastAsia="Arial" w:hAnsi="Arial"/>
                <w:sz w:val="14"/>
                <w:szCs w:val="14"/>
                <w:color w:val="auto"/>
              </w:rPr>
              <w:t>Straight-line 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30,105</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24,533</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straight-line rent from consolidated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(7,906)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(6,247)</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straight-line rent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2,249</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straight-line 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23,859</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20,535</w:t>
            </w:r>
          </w:p>
        </w:tc>
      </w:tr>
      <w:tr>
        <w:trPr>
          <w:trHeight w:val="428"/>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Fair value lease revenue </w:t>
            </w:r>
            <w:r>
              <w:rPr>
                <w:rFonts w:ascii="Arial" w:cs="Arial" w:eastAsia="Arial" w:hAnsi="Arial"/>
                <w:sz w:val="18"/>
                <w:szCs w:val="18"/>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1,906</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Partners’ share of fair value lease revenue from consolidated JVs </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1"/>
        </w:trPr>
        <w:tc>
          <w:tcPr>
            <w:tcW w:w="79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color w:val="auto"/>
              </w:rPr>
              <w:t xml:space="preserve">BXP’s share of fair value lease revenue from unconsolidated JVs </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r>
      <w:tr>
        <w:trPr>
          <w:trHeight w:val="245"/>
        </w:trPr>
        <w:tc>
          <w:tcPr>
            <w:tcW w:w="7960" w:type="dxa"/>
            <w:vAlign w:val="bottom"/>
          </w:tcPr>
          <w:p>
            <w:pPr>
              <w:ind w:left="220"/>
              <w:spacing w:after="0"/>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18"/>
                <w:szCs w:val="18"/>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3,019</w:t>
            </w:r>
          </w:p>
        </w:tc>
        <w:tc>
          <w:tcPr>
            <w:tcW w:w="28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3,029</w:t>
            </w:r>
          </w:p>
        </w:tc>
      </w:tr>
      <w:tr>
        <w:trPr>
          <w:trHeight w:val="362"/>
        </w:trPr>
        <w:tc>
          <w:tcPr>
            <w:tcW w:w="7960" w:type="dxa"/>
            <w:vAlign w:val="bottom"/>
          </w:tcPr>
          <w:p>
            <w:pPr>
              <w:ind w:left="20"/>
              <w:spacing w:after="0"/>
              <w:rPr>
                <w:sz w:val="20"/>
                <w:szCs w:val="20"/>
                <w:color w:val="auto"/>
              </w:rPr>
            </w:pPr>
            <w:r>
              <w:rPr>
                <w:rFonts w:ascii="Arial" w:cs="Arial" w:eastAsia="Arial" w:hAnsi="Arial"/>
                <w:sz w:val="14"/>
                <w:szCs w:val="14"/>
                <w:color w:val="auto"/>
              </w:rPr>
              <w:t>Lease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1,241</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909</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termination income from consolidated JVs</w:t>
            </w:r>
          </w:p>
        </w:tc>
        <w:tc>
          <w:tcPr>
            <w:tcW w:w="26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termination income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1,382</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763</w:t>
            </w:r>
          </w:p>
        </w:tc>
      </w:tr>
      <w:tr>
        <w:trPr>
          <w:trHeight w:val="405"/>
        </w:trPr>
        <w:tc>
          <w:tcPr>
            <w:tcW w:w="7960" w:type="dxa"/>
            <w:vAlign w:val="bottom"/>
          </w:tcPr>
          <w:p>
            <w:pPr>
              <w:ind w:left="20"/>
              <w:spacing w:after="0"/>
              <w:rPr>
                <w:sz w:val="20"/>
                <w:szCs w:val="20"/>
                <w:color w:val="auto"/>
              </w:rPr>
            </w:pPr>
            <w:r>
              <w:rPr>
                <w:rFonts w:ascii="Arial" w:cs="Arial" w:eastAsia="Arial" w:hAnsi="Arial"/>
                <w:sz w:val="14"/>
                <w:szCs w:val="14"/>
                <w:color w:val="auto"/>
              </w:rPr>
              <w:t>Non-cash termination income adjustment (fair value lease amounts)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non-cash termination income adjustment (fair value lease amounts) from consolidated JVs</w:t>
            </w:r>
          </w:p>
        </w:tc>
        <w:tc>
          <w:tcPr>
            <w:tcW w:w="26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non-cash termination income adjustment (fair value lease amounts) from unconsolidated JVs</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non-cash termination income adjustment (fair value lease amounts)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9"/>
        </w:trPr>
        <w:tc>
          <w:tcPr>
            <w:tcW w:w="7960" w:type="dxa"/>
            <w:vAlign w:val="bottom"/>
          </w:tcPr>
          <w:p>
            <w:pPr>
              <w:ind w:left="20"/>
              <w:spacing w:after="0"/>
              <w:rPr>
                <w:sz w:val="20"/>
                <w:szCs w:val="20"/>
                <w:color w:val="auto"/>
              </w:rPr>
            </w:pPr>
            <w:r>
              <w:rPr>
                <w:rFonts w:ascii="Arial" w:cs="Arial" w:eastAsia="Arial" w:hAnsi="Arial"/>
                <w:sz w:val="14"/>
                <w:szCs w:val="14"/>
                <w:color w:val="auto"/>
              </w:rPr>
              <w:t>Parking and other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35,390</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34,799</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parking and other revenue from consolidated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(730)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(769)</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parking and other revenue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parking and other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36,314</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36,052</w:t>
            </w:r>
          </w:p>
        </w:tc>
      </w:tr>
      <w:tr>
        <w:trPr>
          <w:trHeight w:val="418"/>
        </w:trPr>
        <w:tc>
          <w:tcPr>
            <w:tcW w:w="7960" w:type="dxa"/>
            <w:vAlign w:val="bottom"/>
          </w:tcPr>
          <w:p>
            <w:pPr>
              <w:ind w:left="20"/>
              <w:spacing w:after="0"/>
              <w:rPr>
                <w:sz w:val="20"/>
                <w:szCs w:val="20"/>
                <w:color w:val="auto"/>
              </w:rPr>
            </w:pPr>
            <w:r>
              <w:rPr>
                <w:rFonts w:ascii="Arial" w:cs="Arial" w:eastAsia="Arial" w:hAnsi="Arial"/>
                <w:sz w:val="14"/>
                <w:szCs w:val="14"/>
                <w:color w:val="auto"/>
              </w:rPr>
              <w:t>Hedge amortization, net of costs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1,590</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1,590</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hedge amortization, net of costs from consolidated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hedge amortization, net of costs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hedge amortization, net of costs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1,781</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1,808</w:t>
            </w:r>
          </w:p>
        </w:tc>
      </w:tr>
      <w:tr>
        <w:trPr>
          <w:trHeight w:val="418"/>
        </w:trPr>
        <w:tc>
          <w:tcPr>
            <w:tcW w:w="7960" w:type="dxa"/>
            <w:vAlign w:val="bottom"/>
          </w:tcPr>
          <w:p>
            <w:pPr>
              <w:ind w:left="20"/>
              <w:spacing w:after="0"/>
              <w:rPr>
                <w:sz w:val="20"/>
                <w:szCs w:val="20"/>
                <w:color w:val="auto"/>
              </w:rPr>
            </w:pPr>
            <w:r>
              <w:rPr>
                <w:rFonts w:ascii="Arial" w:cs="Arial" w:eastAsia="Arial" w:hAnsi="Arial"/>
                <w:sz w:val="14"/>
                <w:szCs w:val="14"/>
                <w:color w:val="auto"/>
              </w:rPr>
              <w:t>Straight-line ground rent expense adjustment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(530)</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straight-line ground rent expense adjustment from consolidated JVs</w:t>
            </w:r>
          </w:p>
        </w:tc>
        <w:tc>
          <w:tcPr>
            <w:tcW w:w="26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straight-line ground rent expense adjustment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straight-line ground rent expense adjustment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(407)</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584</w:t>
            </w:r>
          </w:p>
        </w:tc>
      </w:tr>
      <w:tr>
        <w:trPr>
          <w:trHeight w:val="418"/>
        </w:trPr>
        <w:tc>
          <w:tcPr>
            <w:tcW w:w="79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236,147</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223,819</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(22,615)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(20,945)</w:t>
            </w:r>
          </w:p>
        </w:tc>
      </w:tr>
      <w:tr>
        <w:trPr>
          <w:trHeight w:val="20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depreciation and amortization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17,272</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16,674</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depreciation and amortization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230,804</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219,548</w:t>
            </w:r>
          </w:p>
        </w:tc>
      </w:tr>
      <w:tr>
        <w:trPr>
          <w:trHeight w:val="428"/>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Lease transaction costs that qualify as rent inducements </w:t>
            </w:r>
            <w:r>
              <w:rPr>
                <w:rFonts w:ascii="Arial" w:cs="Arial" w:eastAsia="Arial" w:hAnsi="Arial"/>
                <w:sz w:val="18"/>
                <w:szCs w:val="18"/>
                <w:color w:val="auto"/>
                <w:vertAlign w:val="superscript"/>
              </w:rPr>
              <w:t>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5,894</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4,427</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Partners’ share of lease transaction costs that qualify as rent inducements from consolidated JVs </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(895)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(924)</w:t>
            </w:r>
          </w:p>
        </w:tc>
      </w:tr>
      <w:tr>
        <w:trPr>
          <w:trHeight w:val="201"/>
        </w:trPr>
        <w:tc>
          <w:tcPr>
            <w:tcW w:w="79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color w:val="auto"/>
              </w:rPr>
              <w:t xml:space="preserve">BXP’s share of lease transaction costs that qualify as rent inducements from unconsolidated JVs </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45"/>
        </w:trPr>
        <w:tc>
          <w:tcPr>
            <w:tcW w:w="7960" w:type="dxa"/>
            <w:vAlign w:val="bottom"/>
          </w:tcPr>
          <w:p>
            <w:pPr>
              <w:ind w:left="220"/>
              <w:spacing w:after="0"/>
              <w:rPr>
                <w:sz w:val="20"/>
                <w:szCs w:val="20"/>
                <w:color w:val="auto"/>
              </w:rPr>
            </w:pPr>
            <w:r>
              <w:rPr>
                <w:rFonts w:ascii="Arial" w:cs="Arial" w:eastAsia="Arial" w:hAnsi="Arial"/>
                <w:sz w:val="14"/>
                <w:szCs w:val="14"/>
                <w:color w:val="auto"/>
              </w:rPr>
              <w:t xml:space="preserve">BXP’s Share of lease transaction costs that qualify as rent inducements </w:t>
            </w:r>
            <w:r>
              <w:rPr>
                <w:rFonts w:ascii="Arial" w:cs="Arial" w:eastAsia="Arial" w:hAnsi="Arial"/>
                <w:sz w:val="18"/>
                <w:szCs w:val="18"/>
                <w:color w:val="auto"/>
                <w:vertAlign w:val="superscript"/>
              </w:rPr>
              <w:t>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4,999</w:t>
            </w:r>
          </w:p>
        </w:tc>
        <w:tc>
          <w:tcPr>
            <w:tcW w:w="28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3,482</w:t>
            </w:r>
          </w:p>
        </w:tc>
      </w:tr>
      <w:tr>
        <w:trPr>
          <w:trHeight w:val="361"/>
        </w:trPr>
        <w:tc>
          <w:tcPr>
            <w:tcW w:w="7960" w:type="dxa"/>
            <w:vAlign w:val="bottom"/>
          </w:tcPr>
          <w:p>
            <w:pPr>
              <w:ind w:left="20"/>
              <w:spacing w:after="0"/>
              <w:rPr>
                <w:sz w:val="20"/>
                <w:szCs w:val="20"/>
                <w:color w:val="auto"/>
              </w:rPr>
            </w:pPr>
            <w:r>
              <w:rPr>
                <w:rFonts w:ascii="Arial" w:cs="Arial" w:eastAsia="Arial" w:hAnsi="Arial"/>
                <w:sz w:val="14"/>
                <w:szCs w:val="14"/>
                <w:color w:val="auto"/>
              </w:rPr>
              <w:t>2nd generation tenant improvements and leasing commissions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72,022</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69,064</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2nd generation tenant improvements and leasing commissions from consolidated JVs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(8,374)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(9,137)</w:t>
            </w:r>
          </w:p>
        </w:tc>
      </w:tr>
      <w:tr>
        <w:trPr>
          <w:trHeight w:val="20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2nd generation tenant improvements and leasing commissions from unconsolidated JVs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2nd generation tenant improvements and leasing commissions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64,715</w:t>
            </w:r>
          </w:p>
        </w:tc>
        <w:tc>
          <w:tcPr>
            <w:tcW w:w="2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61,423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-8292465</wp:posOffset>
            </wp:positionV>
            <wp:extent cx="257175"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265" w:right="339" w:bottom="1440" w:gutter="0" w:footer="0" w:header="0"/>
          <w:type w:val="continuous"/>
        </w:sectPr>
      </w:pPr>
    </w:p>
    <w:bookmarkStart w:id="68" w:name="page69"/>
    <w:bookmarkEnd w:id="68"/>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4"/>
                <w:szCs w:val="14"/>
                <w:color w:val="auto"/>
              </w:rPr>
              <w:t xml:space="preserve">Maintenance capital expenditures </w:t>
            </w:r>
            <w:r>
              <w:rPr>
                <w:rFonts w:ascii="Arial" w:cs="Arial" w:eastAsia="Arial" w:hAnsi="Arial"/>
                <w:sz w:val="18"/>
                <w:szCs w:val="18"/>
                <w:color w:val="auto"/>
                <w:vertAlign w:val="superscript"/>
              </w:rPr>
              <w:t>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25,996</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32,934</w:t>
            </w: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Partners’ share of maintenance capital expenditures from consolidated JVs </w:t>
            </w:r>
            <w:r>
              <w:rPr>
                <w:rFonts w:ascii="Arial" w:cs="Arial" w:eastAsia="Arial" w:hAnsi="Arial"/>
                <w:sz w:val="18"/>
                <w:szCs w:val="18"/>
                <w:color w:val="auto"/>
                <w:vertAlign w:val="superscript"/>
              </w:rPr>
              <w:t>3</w:t>
            </w:r>
          </w:p>
        </w:tc>
        <w:tc>
          <w:tcPr>
            <w:tcW w:w="14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(3,004)</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(3,426)</w:t>
            </w:r>
          </w:p>
        </w:tc>
      </w:tr>
      <w:tr>
        <w:trPr>
          <w:trHeight w:val="201"/>
        </w:trPr>
        <w:tc>
          <w:tcPr>
            <w:tcW w:w="702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color w:val="auto"/>
              </w:rPr>
              <w:t xml:space="preserve">BXP’s share of maintenance capital expenditures from unconsolidated JVs </w:t>
            </w:r>
            <w:r>
              <w:rPr>
                <w:rFonts w:ascii="Arial" w:cs="Arial" w:eastAsia="Arial" w:hAnsi="Arial"/>
                <w:sz w:val="18"/>
                <w:szCs w:val="18"/>
                <w:color w:val="auto"/>
                <w:vertAlign w:val="superscript"/>
              </w:rPr>
              <w:t>3</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349</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r>
      <w:tr>
        <w:trPr>
          <w:trHeight w:val="245"/>
        </w:trPr>
        <w:tc>
          <w:tcPr>
            <w:tcW w:w="7020" w:type="dxa"/>
            <w:vAlign w:val="bottom"/>
          </w:tcPr>
          <w:p>
            <w:pPr>
              <w:ind w:left="220"/>
              <w:spacing w:after="0"/>
              <w:rPr>
                <w:sz w:val="20"/>
                <w:szCs w:val="20"/>
                <w:color w:val="auto"/>
              </w:rPr>
            </w:pPr>
            <w:r>
              <w:rPr>
                <w:rFonts w:ascii="Arial" w:cs="Arial" w:eastAsia="Arial" w:hAnsi="Arial"/>
                <w:sz w:val="14"/>
                <w:szCs w:val="14"/>
                <w:color w:val="auto"/>
              </w:rPr>
              <w:t xml:space="preserve">BXP’s Share of maintenance capital expenditures </w:t>
            </w:r>
            <w:r>
              <w:rPr>
                <w:rFonts w:ascii="Arial" w:cs="Arial" w:eastAsia="Arial" w:hAnsi="Arial"/>
                <w:sz w:val="18"/>
                <w:szCs w:val="18"/>
                <w:color w:val="auto"/>
                <w:vertAlign w:val="superscript"/>
              </w:rPr>
              <w:t>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23,341</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30,211</w:t>
            </w:r>
          </w:p>
        </w:tc>
      </w:tr>
      <w:tr>
        <w:trPr>
          <w:trHeight w:val="361"/>
        </w:trPr>
        <w:tc>
          <w:tcPr>
            <w:tcW w:w="70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164,299</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162,783</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interest expense from consolidated JVs</w:t>
            </w:r>
          </w:p>
        </w:tc>
        <w:tc>
          <w:tcPr>
            <w:tcW w:w="14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(12,016)</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(11,892)</w:t>
            </w:r>
          </w:p>
        </w:tc>
      </w:tr>
      <w:tr>
        <w:trPr>
          <w:trHeight w:val="20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interest expense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20,214</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18,872</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interest expense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172,497</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169,763</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Capitalized interest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13,491</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12,148</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capitalized interest from consolidated JVs</w:t>
            </w:r>
          </w:p>
        </w:tc>
        <w:tc>
          <w:tcPr>
            <w:tcW w:w="14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capitalized interest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769</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capitalized interest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14,239</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14,016</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Amortization of financing costs</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4,764</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4,737</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amortization of financing costs from consolidated JVs</w:t>
            </w:r>
          </w:p>
        </w:tc>
        <w:tc>
          <w:tcPr>
            <w:tcW w:w="14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(498)</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20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amortization of financing costs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434</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amortization of financing costs</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4,700</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4,665</w:t>
            </w:r>
          </w:p>
        </w:tc>
      </w:tr>
      <w:tr>
        <w:trPr>
          <w:trHeight w:val="419"/>
        </w:trPr>
        <w:tc>
          <w:tcPr>
            <w:tcW w:w="7020" w:type="dxa"/>
            <w:vAlign w:val="bottom"/>
          </w:tcPr>
          <w:p>
            <w:pPr>
              <w:ind w:left="20"/>
              <w:spacing w:after="0"/>
              <w:rPr>
                <w:sz w:val="20"/>
                <w:szCs w:val="20"/>
                <w:color w:val="auto"/>
              </w:rPr>
            </w:pPr>
            <w:r>
              <w:rPr>
                <w:rFonts w:ascii="Arial" w:cs="Arial" w:eastAsia="Arial" w:hAnsi="Arial"/>
                <w:sz w:val="14"/>
                <w:szCs w:val="14"/>
                <w:color w:val="auto"/>
              </w:rPr>
              <w:t>Fair value interest adjustment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139</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718</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fair value of interest adjustment from consolidated JVs</w:t>
            </w:r>
          </w:p>
        </w:tc>
        <w:tc>
          <w:tcPr>
            <w:tcW w:w="14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off fair value interest adjustment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499</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fair value interest adjustment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638</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1,217</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Amortization and accretion related to sales type lease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236</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203"/>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amortization and accretion related to sales type lease from consolidated JVs</w:t>
            </w:r>
          </w:p>
        </w:tc>
        <w:tc>
          <w:tcPr>
            <w:tcW w:w="14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off amortization and accretion related to sales type lease from unconsolidated JVs</w:t>
            </w:r>
          </w:p>
        </w:tc>
        <w:tc>
          <w:tcPr>
            <w:tcW w:w="1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92"/>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amortization and accretion related to sales type lease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265</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35" w:lineRule="exact"/>
        <w:rPr>
          <w:sz w:val="20"/>
          <w:szCs w:val="20"/>
          <w:color w:val="auto"/>
        </w:rPr>
      </w:pPr>
    </w:p>
    <w:p>
      <w:pPr>
        <w:ind w:left="80" w:hanging="72"/>
        <w:spacing w:after="0"/>
        <w:tabs>
          <w:tab w:leader="none" w:pos="80" w:val="left"/>
        </w:tabs>
        <w:numPr>
          <w:ilvl w:val="0"/>
          <w:numId w:val="121"/>
        </w:numPr>
        <w:rPr>
          <w:rFonts w:ascii="Arial" w:cs="Arial" w:eastAsia="Arial" w:hAnsi="Arial"/>
          <w:sz w:val="9"/>
          <w:szCs w:val="9"/>
          <w:color w:val="auto"/>
        </w:rPr>
      </w:pPr>
      <w:r>
        <w:rPr>
          <w:rFonts w:ascii="Arial" w:cs="Arial" w:eastAsia="Arial" w:hAnsi="Arial"/>
          <w:sz w:val="14"/>
          <w:szCs w:val="14"/>
          <w:color w:val="auto"/>
        </w:rPr>
        <w:t>Represents the net adjustment for above- and below-market leases that are being amortized over the terms of the respective leases in place at the property acquisition dates.</w:t>
      </w:r>
    </w:p>
    <w:p>
      <w:pPr>
        <w:spacing w:after="0" w:line="55" w:lineRule="exact"/>
        <w:rPr>
          <w:sz w:val="20"/>
          <w:szCs w:val="20"/>
          <w:color w:val="auto"/>
        </w:rPr>
      </w:pPr>
    </w:p>
    <w:p>
      <w:pPr>
        <w:ind w:left="80" w:right="580" w:hanging="72"/>
        <w:spacing w:after="0" w:line="238" w:lineRule="auto"/>
        <w:tabs>
          <w:tab w:leader="none" w:pos="78"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Consists of lease transaction costs that qualify as rent inducements in accordance with GAAP. Lease transaction costs are generally included in 2nd generation tenant improvements and leasing commissions in the period the lease commences.</w:t>
      </w:r>
    </w:p>
    <w:p>
      <w:pPr>
        <w:ind w:left="80" w:hanging="72"/>
        <w:spacing w:after="0" w:line="223" w:lineRule="auto"/>
        <w:tabs>
          <w:tab w:leader="none" w:pos="80" w:val="left"/>
        </w:tabs>
        <w:numPr>
          <w:ilvl w:val="0"/>
          <w:numId w:val="123"/>
        </w:numPr>
        <w:rPr>
          <w:rFonts w:ascii="Arial" w:cs="Arial" w:eastAsia="Arial" w:hAnsi="Arial"/>
          <w:sz w:val="19"/>
          <w:szCs w:val="19"/>
          <w:color w:val="auto"/>
          <w:vertAlign w:val="superscript"/>
        </w:rPr>
      </w:pPr>
      <w:r>
        <w:rPr>
          <w:rFonts w:ascii="Arial" w:cs="Arial" w:eastAsia="Arial" w:hAnsi="Arial"/>
          <w:sz w:val="14"/>
          <w:szCs w:val="14"/>
          <w:color w:val="auto"/>
        </w:rPr>
        <w:t>Maintenance capital expenditures do not include planned capital expenditures related to acquisitions and repositioning capital expenditures.</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265" w:right="339" w:bottom="1440" w:gutter="0" w:footer="0" w:header="0"/>
        </w:sectPr>
      </w:pPr>
    </w:p>
    <w:bookmarkStart w:id="69" w:name="page70"/>
    <w:bookmarkEnd w:id="69"/>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767 Fifth Avenue</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233"/>
              <w:spacing w:after="0"/>
              <w:rPr>
                <w:sz w:val="20"/>
                <w:szCs w:val="20"/>
                <w:color w:val="auto"/>
              </w:rPr>
            </w:pPr>
            <w:r>
              <w:rPr>
                <w:rFonts w:ascii="Arial" w:cs="Arial" w:eastAsia="Arial" w:hAnsi="Arial"/>
                <w:sz w:val="13"/>
                <w:szCs w:val="13"/>
                <w:b w:val="1"/>
                <w:bCs w:val="1"/>
                <w:color w:val="auto"/>
              </w:rPr>
              <w:t>Total Consolidated</w:t>
            </w:r>
          </w:p>
        </w:tc>
      </w:tr>
      <w:tr>
        <w:trPr>
          <w:trHeight w:val="183"/>
        </w:trPr>
        <w:tc>
          <w:tcPr>
            <w:tcW w:w="5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8"/>
              </w:rPr>
              <w:t>(The GM Building)</w:t>
            </w: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 xml:space="preserve">Norges Joint Ventures </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Joint Ventures</w:t>
            </w:r>
          </w:p>
        </w:tc>
      </w:tr>
      <w:tr>
        <w:trPr>
          <w:trHeight w:val="170"/>
        </w:trPr>
        <w:tc>
          <w:tcPr>
            <w:tcW w:w="5800" w:type="dxa"/>
            <w:vAlign w:val="bottom"/>
          </w:tcPr>
          <w:p>
            <w:pPr>
              <w:ind w:left="20"/>
              <w:spacing w:after="0"/>
              <w:rPr>
                <w:sz w:val="20"/>
                <w:szCs w:val="20"/>
                <w:color w:val="auto"/>
              </w:rPr>
            </w:pPr>
            <w:r>
              <w:rPr>
                <w:rFonts w:ascii="Arial" w:cs="Arial" w:eastAsia="Arial" w:hAnsi="Arial"/>
                <w:sz w:val="13"/>
                <w:szCs w:val="13"/>
                <w:color w:val="auto"/>
              </w:rPr>
              <w:t>Revenue</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2"/>
        </w:trPr>
        <w:tc>
          <w:tcPr>
            <w:tcW w:w="5800" w:type="dxa"/>
            <w:vAlign w:val="bottom"/>
          </w:tcPr>
          <w:p>
            <w:pPr>
              <w:ind w:left="220"/>
              <w:spacing w:after="0"/>
              <w:rPr>
                <w:sz w:val="20"/>
                <w:szCs w:val="20"/>
                <w:color w:val="auto"/>
              </w:rPr>
            </w:pPr>
            <w:r>
              <w:rPr>
                <w:rFonts w:ascii="Arial" w:cs="Arial" w:eastAsia="Arial" w:hAnsi="Arial"/>
                <w:sz w:val="13"/>
                <w:szCs w:val="13"/>
                <w:color w:val="auto"/>
              </w:rPr>
              <w:t xml:space="preserve">Lease </w:t>
            </w:r>
            <w:r>
              <w:rPr>
                <w:rFonts w:ascii="Arial" w:cs="Arial" w:eastAsia="Arial" w:hAnsi="Arial"/>
                <w:sz w:val="17"/>
                <w:szCs w:val="17"/>
                <w:color w:val="auto"/>
                <w:vertAlign w:val="superscript"/>
              </w:rPr>
              <w:t>2</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81,717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104,152</w:t>
            </w:r>
          </w:p>
        </w:tc>
        <w:tc>
          <w:tcPr>
            <w:tcW w:w="16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185,869</w:t>
            </w:r>
          </w:p>
        </w:tc>
      </w:tr>
      <w:tr>
        <w:trPr>
          <w:trHeight w:val="176"/>
        </w:trPr>
        <w:tc>
          <w:tcPr>
            <w:tcW w:w="5800" w:type="dxa"/>
            <w:vAlign w:val="bottom"/>
          </w:tcPr>
          <w:p>
            <w:pPr>
              <w:ind w:left="220"/>
              <w:spacing w:after="0"/>
              <w:rPr>
                <w:sz w:val="20"/>
                <w:szCs w:val="20"/>
                <w:color w:val="auto"/>
              </w:rPr>
            </w:pPr>
            <w:r>
              <w:rPr>
                <w:rFonts w:ascii="Arial" w:cs="Arial" w:eastAsia="Arial" w:hAnsi="Arial"/>
                <w:sz w:val="13"/>
                <w:szCs w:val="13"/>
                <w:color w:val="auto"/>
              </w:rPr>
              <w:t>Straight-line rent</w:t>
            </w: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3,256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14,676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17,932</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Fair value lease revenue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94"/>
        </w:trPr>
        <w:tc>
          <w:tcPr>
            <w:tcW w:w="5800" w:type="dxa"/>
            <w:vAlign w:val="bottom"/>
          </w:tcPr>
          <w:p>
            <w:pPr>
              <w:ind w:left="220"/>
              <w:spacing w:after="0"/>
              <w:rPr>
                <w:sz w:val="20"/>
                <w:szCs w:val="20"/>
                <w:color w:val="auto"/>
              </w:rPr>
            </w:pPr>
            <w:r>
              <w:rPr>
                <w:rFonts w:ascii="Arial" w:cs="Arial" w:eastAsia="Arial" w:hAnsi="Arial"/>
                <w:sz w:val="13"/>
                <w:szCs w:val="13"/>
                <w:color w:val="auto"/>
              </w:rPr>
              <w:t>Termination income</w:t>
            </w:r>
          </w:p>
        </w:tc>
        <w:tc>
          <w:tcPr>
            <w:tcW w:w="20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5800" w:type="dxa"/>
            <w:vAlign w:val="bottom"/>
          </w:tcPr>
          <w:p>
            <w:pPr>
              <w:ind w:left="480"/>
              <w:spacing w:after="0"/>
              <w:rPr>
                <w:sz w:val="20"/>
                <w:szCs w:val="20"/>
                <w:color w:val="auto"/>
              </w:rPr>
            </w:pPr>
            <w:r>
              <w:rPr>
                <w:rFonts w:ascii="Arial" w:cs="Arial" w:eastAsia="Arial" w:hAnsi="Arial"/>
                <w:sz w:val="13"/>
                <w:szCs w:val="13"/>
                <w:color w:val="auto"/>
              </w:rPr>
              <w:t>Total lease revenue</w:t>
            </w: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84,946</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118,828</w:t>
            </w: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203,774</w:t>
            </w:r>
          </w:p>
        </w:tc>
      </w:tr>
      <w:tr>
        <w:trPr>
          <w:trHeight w:val="195"/>
        </w:trPr>
        <w:tc>
          <w:tcPr>
            <w:tcW w:w="5800" w:type="dxa"/>
            <w:vAlign w:val="bottom"/>
          </w:tcPr>
          <w:p>
            <w:pPr>
              <w:ind w:left="220"/>
              <w:spacing w:after="0"/>
              <w:rPr>
                <w:sz w:val="20"/>
                <w:szCs w:val="20"/>
                <w:color w:val="auto"/>
              </w:rPr>
            </w:pPr>
            <w:r>
              <w:rPr>
                <w:rFonts w:ascii="Arial" w:cs="Arial" w:eastAsia="Arial" w:hAnsi="Arial"/>
                <w:sz w:val="13"/>
                <w:szCs w:val="13"/>
                <w:color w:val="auto"/>
              </w:rPr>
              <w:t>Parking and other</w:t>
            </w:r>
          </w:p>
        </w:tc>
        <w:tc>
          <w:tcPr>
            <w:tcW w:w="20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1,622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1,622</w:t>
            </w:r>
          </w:p>
        </w:tc>
      </w:tr>
      <w:tr>
        <w:trPr>
          <w:trHeight w:val="190"/>
        </w:trPr>
        <w:tc>
          <w:tcPr>
            <w:tcW w:w="5800" w:type="dxa"/>
            <w:vAlign w:val="bottom"/>
          </w:tcPr>
          <w:p>
            <w:pPr>
              <w:ind w:left="480"/>
              <w:spacing w:after="0" w:line="190" w:lineRule="exact"/>
              <w:rPr>
                <w:sz w:val="20"/>
                <w:szCs w:val="20"/>
                <w:color w:val="auto"/>
              </w:rPr>
            </w:pPr>
            <w:r>
              <w:rPr>
                <w:rFonts w:ascii="Arial" w:cs="Arial" w:eastAsia="Arial" w:hAnsi="Arial"/>
                <w:sz w:val="13"/>
                <w:szCs w:val="13"/>
                <w:color w:val="auto"/>
              </w:rPr>
              <w:t xml:space="preserve">Total rental revenue </w:t>
            </w:r>
            <w:r>
              <w:rPr>
                <w:rFonts w:ascii="Arial" w:cs="Arial" w:eastAsia="Arial" w:hAnsi="Arial"/>
                <w:sz w:val="17"/>
                <w:szCs w:val="17"/>
                <w:color w:val="auto"/>
                <w:vertAlign w:val="superscript"/>
              </w:rPr>
              <w:t>3</w:t>
            </w: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84,946</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120,450</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205,396</w:t>
            </w:r>
          </w:p>
        </w:tc>
      </w:tr>
      <w:tr>
        <w:trPr>
          <w:trHeight w:val="176"/>
        </w:trPr>
        <w:tc>
          <w:tcPr>
            <w:tcW w:w="5800" w:type="dxa"/>
            <w:vAlign w:val="bottom"/>
          </w:tcPr>
          <w:p>
            <w:pPr>
              <w:ind w:left="20"/>
              <w:spacing w:after="0"/>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5"/>
        </w:trPr>
        <w:tc>
          <w:tcPr>
            <w:tcW w:w="5800" w:type="dxa"/>
            <w:vAlign w:val="bottom"/>
          </w:tcPr>
          <w:p>
            <w:pPr>
              <w:ind w:left="220"/>
              <w:spacing w:after="0"/>
              <w:rPr>
                <w:sz w:val="20"/>
                <w:szCs w:val="20"/>
                <w:color w:val="auto"/>
              </w:rPr>
            </w:pPr>
            <w:r>
              <w:rPr>
                <w:rFonts w:ascii="Arial" w:cs="Arial" w:eastAsia="Arial" w:hAnsi="Arial"/>
                <w:sz w:val="13"/>
                <w:szCs w:val="13"/>
                <w:color w:val="auto"/>
              </w:rPr>
              <w:t>Operating</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35,557</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45,983</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81,540</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Net Operating Income (NOI)</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49,389</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74,467</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123,856</w:t>
            </w:r>
          </w:p>
        </w:tc>
      </w:tr>
      <w:tr>
        <w:trPr>
          <w:trHeight w:val="366"/>
        </w:trPr>
        <w:tc>
          <w:tcPr>
            <w:tcW w:w="5800" w:type="dxa"/>
            <w:vAlign w:val="bottom"/>
          </w:tcPr>
          <w:p>
            <w:pPr>
              <w:ind w:left="20"/>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Development and management services revenue</w:t>
            </w:r>
          </w:p>
        </w:tc>
        <w:tc>
          <w:tcPr>
            <w:tcW w:w="20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Gains from investments in securities</w:t>
            </w:r>
          </w:p>
        </w:tc>
        <w:tc>
          <w:tcPr>
            <w:tcW w:w="200" w:type="dxa"/>
            <w:vAlign w:val="bottom"/>
          </w:tcPr>
          <w:p>
            <w:pPr>
              <w:spacing w:after="0"/>
              <w:rPr>
                <w:sz w:val="16"/>
                <w:szCs w:val="16"/>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Interest and other income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1,816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2,592</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(21,395)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(7,693)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(29,088)</w:t>
            </w: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Depreciation and amortization expense</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(18,366)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(32,298)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(50,664)</w:t>
            </w:r>
          </w:p>
        </w:tc>
      </w:tr>
      <w:tr>
        <w:trPr>
          <w:trHeight w:val="195"/>
        </w:trPr>
        <w:tc>
          <w:tcPr>
            <w:tcW w:w="5800" w:type="dxa"/>
            <w:vAlign w:val="bottom"/>
          </w:tcPr>
          <w:p>
            <w:pPr>
              <w:ind w:left="22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r>
      <w:tr>
        <w:trPr>
          <w:trHeight w:val="183"/>
        </w:trPr>
        <w:tc>
          <w:tcPr>
            <w:tcW w:w="5800" w:type="dxa"/>
            <w:vAlign w:val="bottom"/>
          </w:tcPr>
          <w:p>
            <w:pPr>
              <w:ind w:left="480"/>
              <w:spacing w:after="0"/>
              <w:rPr>
                <w:sz w:val="20"/>
                <w:szCs w:val="20"/>
                <w:color w:val="auto"/>
              </w:rPr>
            </w:pPr>
            <w:r>
              <w:rPr>
                <w:rFonts w:ascii="Arial" w:cs="Arial" w:eastAsia="Arial" w:hAnsi="Arial"/>
                <w:sz w:val="13"/>
                <w:szCs w:val="13"/>
                <w:color w:val="auto"/>
              </w:rPr>
              <w:t>Total other income (expense)</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(39,052)</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(38,336)</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(77,388)</w:t>
            </w:r>
          </w:p>
        </w:tc>
      </w:tr>
      <w:tr>
        <w:trPr>
          <w:trHeight w:val="189"/>
        </w:trPr>
        <w:tc>
          <w:tcPr>
            <w:tcW w:w="5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10,337</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36,131</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46,468</w:t>
            </w:r>
          </w:p>
        </w:tc>
      </w:tr>
      <w:tr>
        <w:trPr>
          <w:trHeight w:val="21"/>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19"/>
        </w:trPr>
        <w:tc>
          <w:tcPr>
            <w:tcW w:w="5800" w:type="dxa"/>
            <w:vAlign w:val="bottom"/>
          </w:tcPr>
          <w:p>
            <w:pPr>
              <w:ind w:left="20"/>
              <w:spacing w:after="0"/>
              <w:rPr>
                <w:sz w:val="20"/>
                <w:szCs w:val="20"/>
                <w:color w:val="auto"/>
              </w:rPr>
            </w:pPr>
            <w:r>
              <w:rPr>
                <w:rFonts w:ascii="Arial" w:cs="Arial" w:eastAsia="Arial" w:hAnsi="Arial"/>
                <w:sz w:val="13"/>
                <w:szCs w:val="13"/>
                <w:color w:val="auto"/>
              </w:rPr>
              <w:t>BXP’s nominal ownership percentage</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color w:val="auto"/>
                <w:w w:val="99"/>
              </w:rPr>
              <w:t>60%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color w:val="auto"/>
              </w:rPr>
              <w:t>55%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5"/>
        </w:trPr>
        <w:tc>
          <w:tcPr>
            <w:tcW w:w="5800" w:type="dxa"/>
            <w:vAlign w:val="bottom"/>
          </w:tcPr>
          <w:p>
            <w:pPr>
              <w:ind w:left="20"/>
              <w:spacing w:after="0"/>
              <w:rPr>
                <w:sz w:val="20"/>
                <w:szCs w:val="20"/>
                <w:color w:val="auto"/>
              </w:rPr>
            </w:pPr>
            <w:r>
              <w:rPr>
                <w:rFonts w:ascii="Arial" w:cs="Arial" w:eastAsia="Arial" w:hAnsi="Arial"/>
                <w:sz w:val="13"/>
                <w:szCs w:val="13"/>
                <w:color w:val="auto"/>
              </w:rPr>
              <w:t xml:space="preserve">Partners’ share of NOI (after income allocation to private REIT shareholders) </w:t>
            </w:r>
            <w:r>
              <w:rPr>
                <w:rFonts w:ascii="Arial" w:cs="Arial" w:eastAsia="Arial" w:hAnsi="Arial"/>
                <w:sz w:val="17"/>
                <w:szCs w:val="17"/>
                <w:color w:val="auto"/>
                <w:vertAlign w:val="superscript"/>
              </w:rPr>
              <w:t>4</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19,002</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32,502</w:t>
            </w:r>
          </w:p>
        </w:tc>
        <w:tc>
          <w:tcPr>
            <w:tcW w:w="160" w:type="dxa"/>
            <w:vAlign w:val="bottom"/>
          </w:tcPr>
          <w:p>
            <w:pPr>
              <w:spacing w:after="0"/>
              <w:rPr>
                <w:sz w:val="24"/>
                <w:szCs w:val="24"/>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51,504</w:t>
            </w:r>
          </w:p>
        </w:tc>
      </w:tr>
      <w:tr>
        <w:trPr>
          <w:trHeight w:val="176"/>
        </w:trPr>
        <w:tc>
          <w:tcPr>
            <w:tcW w:w="5800" w:type="dxa"/>
            <w:vAlign w:val="bottom"/>
          </w:tcPr>
          <w:p>
            <w:pPr>
              <w:ind w:left="20"/>
              <w:spacing w:after="0"/>
              <w:rPr>
                <w:sz w:val="20"/>
                <w:szCs w:val="20"/>
                <w:color w:val="auto"/>
              </w:rPr>
            </w:pPr>
            <w:r>
              <w:rPr>
                <w:rFonts w:ascii="Arial" w:cs="Arial" w:eastAsia="Arial" w:hAnsi="Arial"/>
                <w:sz w:val="13"/>
                <w:szCs w:val="13"/>
                <w:color w:val="auto"/>
              </w:rPr>
              <w:t>BXP’s share of NOI (after income allocation to private REIT shareholders)</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30,387</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41,965</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72,352</w:t>
            </w:r>
          </w:p>
        </w:tc>
      </w:tr>
      <w:tr>
        <w:trPr>
          <w:trHeight w:val="189"/>
        </w:trPr>
        <w:tc>
          <w:tcPr>
            <w:tcW w:w="5800" w:type="dxa"/>
            <w:vAlign w:val="bottom"/>
          </w:tcPr>
          <w:p>
            <w:pPr>
              <w:ind w:left="20"/>
              <w:spacing w:after="0" w:line="189" w:lineRule="exact"/>
              <w:rPr>
                <w:sz w:val="20"/>
                <w:szCs w:val="20"/>
                <w:color w:val="auto"/>
              </w:rPr>
            </w:pPr>
            <w:r>
              <w:rPr>
                <w:rFonts w:ascii="Arial" w:cs="Arial" w:eastAsia="Arial" w:hAnsi="Arial"/>
                <w:sz w:val="13"/>
                <w:szCs w:val="13"/>
                <w:color w:val="auto"/>
              </w:rPr>
              <w:t xml:space="preserve">Unearned portion of capitalized fees </w:t>
            </w:r>
            <w:r>
              <w:rPr>
                <w:rFonts w:ascii="Arial" w:cs="Arial" w:eastAsia="Arial" w:hAnsi="Arial"/>
                <w:sz w:val="17"/>
                <w:szCs w:val="17"/>
                <w:color w:val="auto"/>
                <w:vertAlign w:val="superscript"/>
              </w:rPr>
              <w:t>5</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740</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938</w:t>
            </w:r>
          </w:p>
        </w:tc>
      </w:tr>
      <w:tr>
        <w:trPr>
          <w:trHeight w:val="43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Partners’ share of select items </w:t>
            </w:r>
            <w:r>
              <w:rPr>
                <w:rFonts w:ascii="Arial" w:cs="Arial" w:eastAsia="Arial" w:hAnsi="Arial"/>
                <w:sz w:val="17"/>
                <w:szCs w:val="17"/>
                <w:b w:val="1"/>
                <w:bCs w:val="1"/>
                <w:color w:val="auto"/>
                <w:vertAlign w:val="superscript"/>
              </w:rPr>
              <w:t>4</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76"/>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parking and other revenue</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hedge amortization</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144</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82"/>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amortization of financing costs</w:t>
            </w: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346</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498</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depreciation and amortization related to capitalized fees</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951</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capitalized interest</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5"/>
                <w:szCs w:val="15"/>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lease transactions costs which will qualify as rent inducements</w:t>
            </w: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(857)</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(895)</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management and other fees</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756</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1,016</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1,772</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basis differential depreciation and amortization expense</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w:t>
            </w:r>
          </w:p>
        </w:tc>
      </w:tr>
      <w:tr>
        <w:trPr>
          <w:trHeight w:val="183"/>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basis differential interest and other adjustments</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445"/>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Reconciliation of Partners’ share of EBITDA</w:t>
            </w:r>
            <w:r>
              <w:rPr>
                <w:rFonts w:ascii="Arial" w:cs="Arial" w:eastAsia="Arial" w:hAnsi="Arial"/>
                <w:sz w:val="13"/>
                <w:szCs w:val="13"/>
                <w:b w:val="1"/>
                <w:bCs w:val="1"/>
                <w:i w:val="1"/>
                <w:iCs w:val="1"/>
                <w:color w:val="auto"/>
              </w:rPr>
              <w:t>re</w:t>
            </w:r>
            <w:r>
              <w:rPr>
                <w:rFonts w:ascii="Arial" w:cs="Arial" w:eastAsia="Arial" w:hAnsi="Arial"/>
                <w:sz w:val="13"/>
                <w:szCs w:val="13"/>
                <w:b w:val="1"/>
                <w:bCs w:val="1"/>
                <w:color w:val="auto"/>
              </w:rPr>
              <w:t xml:space="preserve"> </w:t>
            </w:r>
            <w:r>
              <w:rPr>
                <w:rFonts w:ascii="Arial" w:cs="Arial" w:eastAsia="Arial" w:hAnsi="Arial"/>
                <w:sz w:val="17"/>
                <w:szCs w:val="17"/>
                <w:b w:val="1"/>
                <w:bCs w:val="1"/>
                <w:color w:val="auto"/>
                <w:vertAlign w:val="superscript"/>
              </w:rPr>
              <w:t>6</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71"/>
        </w:trPr>
        <w:tc>
          <w:tcPr>
            <w:tcW w:w="5800" w:type="dxa"/>
            <w:vAlign w:val="bottom"/>
          </w:tcPr>
          <w:p>
            <w:pPr>
              <w:ind w:left="20"/>
              <w:spacing w:after="0"/>
              <w:rPr>
                <w:sz w:val="20"/>
                <w:szCs w:val="20"/>
                <w:color w:val="auto"/>
              </w:rPr>
            </w:pPr>
            <w:r>
              <w:rPr>
                <w:rFonts w:ascii="Arial" w:cs="Arial" w:eastAsia="Arial" w:hAnsi="Arial"/>
                <w:sz w:val="13"/>
                <w:szCs w:val="13"/>
                <w:color w:val="auto"/>
              </w:rPr>
              <w:t>Partners’ NCI</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3,008</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14,845</w:t>
            </w:r>
          </w:p>
        </w:tc>
        <w:tc>
          <w:tcPr>
            <w:tcW w:w="160" w:type="dxa"/>
            <w:vAlign w:val="bottom"/>
          </w:tcPr>
          <w:p>
            <w:pPr>
              <w:spacing w:after="0"/>
              <w:rPr>
                <w:sz w:val="14"/>
                <w:szCs w:val="14"/>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17,853</w:t>
            </w:r>
          </w:p>
        </w:tc>
      </w:tr>
      <w:tr>
        <w:trPr>
          <w:trHeight w:val="189"/>
        </w:trPr>
        <w:tc>
          <w:tcPr>
            <w:tcW w:w="5800" w:type="dxa"/>
            <w:vAlign w:val="bottom"/>
          </w:tcPr>
          <w:p>
            <w:pPr>
              <w:ind w:left="20"/>
              <w:spacing w:after="0"/>
              <w:rPr>
                <w:sz w:val="20"/>
                <w:szCs w:val="20"/>
                <w:color w:val="auto"/>
              </w:rPr>
            </w:pPr>
            <w:r>
              <w:rPr>
                <w:rFonts w:ascii="Arial" w:cs="Arial" w:eastAsia="Arial" w:hAnsi="Arial"/>
                <w:sz w:val="13"/>
                <w:szCs w:val="13"/>
                <w:color w:val="auto"/>
              </w:rPr>
              <w:t>Add:</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3"/>
                <w:szCs w:val="13"/>
                <w:color w:val="auto"/>
              </w:rPr>
              <w:t>Partners’ share of interest expense after BXP’s basis differential</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8,554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3,462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12,016</w:t>
            </w:r>
          </w:p>
        </w:tc>
      </w:tr>
      <w:tr>
        <w:trPr>
          <w:trHeight w:val="195"/>
        </w:trPr>
        <w:tc>
          <w:tcPr>
            <w:tcW w:w="5800" w:type="dxa"/>
            <w:vAlign w:val="bottom"/>
          </w:tcPr>
          <w:p>
            <w:pPr>
              <w:ind w:left="220"/>
              <w:spacing w:after="0"/>
              <w:rPr>
                <w:sz w:val="20"/>
                <w:szCs w:val="20"/>
                <w:color w:val="auto"/>
              </w:rPr>
            </w:pPr>
            <w:r>
              <w:rPr>
                <w:rFonts w:ascii="Arial" w:cs="Arial" w:eastAsia="Arial" w:hAnsi="Arial"/>
                <w:sz w:val="13"/>
                <w:szCs w:val="13"/>
                <w:color w:val="auto"/>
              </w:rPr>
              <w:t>Partners’ share of depreciation and amortization expense after BXP’s basis differential</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14,895</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22,615</w:t>
            </w:r>
          </w:p>
        </w:tc>
      </w:tr>
      <w:tr>
        <w:trPr>
          <w:trHeight w:val="189"/>
        </w:trPr>
        <w:tc>
          <w:tcPr>
            <w:tcW w:w="5800" w:type="dxa"/>
            <w:vAlign w:val="bottom"/>
          </w:tcPr>
          <w:p>
            <w:pPr>
              <w:ind w:left="20"/>
              <w:spacing w:after="0"/>
              <w:rPr>
                <w:sz w:val="20"/>
                <w:szCs w:val="20"/>
                <w:color w:val="auto"/>
              </w:rPr>
            </w:pPr>
            <w:r>
              <w:rPr>
                <w:rFonts w:ascii="Arial" w:cs="Arial" w:eastAsia="Arial" w:hAnsi="Arial"/>
                <w:sz w:val="13"/>
                <w:szCs w:val="13"/>
                <w:color w:val="auto"/>
              </w:rPr>
              <w:t>Partners’ share of EBITDA</w:t>
            </w:r>
            <w:r>
              <w:rPr>
                <w:rFonts w:ascii="Arial" w:cs="Arial" w:eastAsia="Arial" w:hAnsi="Arial"/>
                <w:sz w:val="13"/>
                <w:szCs w:val="13"/>
                <w:i w:val="1"/>
                <w:iCs w:val="1"/>
                <w:color w:val="auto"/>
              </w:rPr>
              <w:t>re</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19,282</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33,202</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52,484</w:t>
            </w: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40"/>
          </w:cols>
          <w:pgMar w:left="320" w:top="265" w:right="339" w:bottom="1440" w:gutter="0" w:footer="0" w:header="0"/>
        </w:sectPr>
      </w:pPr>
    </w:p>
    <w:bookmarkStart w:id="70" w:name="page71"/>
    <w:bookmarkEnd w:id="70"/>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2025</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70034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767 Fifth Avenue</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233"/>
              <w:spacing w:after="0"/>
              <w:rPr>
                <w:sz w:val="20"/>
                <w:szCs w:val="20"/>
                <w:color w:val="auto"/>
              </w:rPr>
            </w:pPr>
            <w:r>
              <w:rPr>
                <w:rFonts w:ascii="Arial" w:cs="Arial" w:eastAsia="Arial" w:hAnsi="Arial"/>
                <w:sz w:val="13"/>
                <w:szCs w:val="13"/>
                <w:b w:val="1"/>
                <w:bCs w:val="1"/>
                <w:color w:val="auto"/>
              </w:rPr>
              <w:t>Total Consolidated</w:t>
            </w:r>
          </w:p>
        </w:tc>
        <w:tc>
          <w:tcPr>
            <w:tcW w:w="0" w:type="dxa"/>
            <w:vAlign w:val="bottom"/>
          </w:tcPr>
          <w:p>
            <w:pPr>
              <w:spacing w:after="0"/>
              <w:rPr>
                <w:sz w:val="1"/>
                <w:szCs w:val="1"/>
                <w:color w:val="auto"/>
              </w:rPr>
            </w:pPr>
          </w:p>
        </w:tc>
      </w:tr>
      <w:tr>
        <w:trPr>
          <w:trHeight w:val="197"/>
        </w:trPr>
        <w:tc>
          <w:tcPr>
            <w:tcW w:w="5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xml:space="preserve">Reconciliation of Partners’ share of Net Operating Income (Loss) (NOI) </w:t>
            </w:r>
            <w:r>
              <w:rPr>
                <w:rFonts w:ascii="Arial" w:cs="Arial" w:eastAsia="Arial" w:hAnsi="Arial"/>
                <w:sz w:val="17"/>
                <w:szCs w:val="17"/>
                <w:b w:val="1"/>
                <w:bCs w:val="1"/>
                <w:color w:val="auto"/>
                <w:vertAlign w:val="superscript"/>
              </w:rPr>
              <w:t>6</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6"/>
              </w:rPr>
              <w:t>(The GM Building)</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 xml:space="preserve">Norges Joint Ventures </w:t>
            </w:r>
            <w:r>
              <w:rPr>
                <w:rFonts w:ascii="Arial" w:cs="Arial" w:eastAsia="Arial" w:hAnsi="Arial"/>
                <w:sz w:val="16"/>
                <w:szCs w:val="16"/>
                <w:b w:val="1"/>
                <w:bCs w:val="1"/>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Joint Ventures</w:t>
            </w:r>
          </w:p>
        </w:tc>
        <w:tc>
          <w:tcPr>
            <w:tcW w:w="0" w:type="dxa"/>
            <w:vAlign w:val="bottom"/>
          </w:tcPr>
          <w:p>
            <w:pPr>
              <w:spacing w:after="0"/>
              <w:rPr>
                <w:sz w:val="1"/>
                <w:szCs w:val="1"/>
                <w:color w:val="auto"/>
              </w:rPr>
            </w:pPr>
          </w:p>
        </w:tc>
      </w:tr>
      <w:tr>
        <w:trPr>
          <w:trHeight w:val="183"/>
        </w:trPr>
        <w:tc>
          <w:tcPr>
            <w:tcW w:w="5620" w:type="dxa"/>
            <w:vAlign w:val="bottom"/>
          </w:tcPr>
          <w:p>
            <w:pPr>
              <w:spacing w:after="0" w:line="184"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33,978</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54,203</w:t>
            </w:r>
          </w:p>
        </w:tc>
        <w:tc>
          <w:tcPr>
            <w:tcW w:w="14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88,181</w:t>
            </w:r>
          </w:p>
        </w:tc>
        <w:tc>
          <w:tcPr>
            <w:tcW w:w="0" w:type="dxa"/>
            <w:vAlign w:val="bottom"/>
          </w:tcPr>
          <w:p>
            <w:pPr>
              <w:spacing w:after="0"/>
              <w:rPr>
                <w:sz w:val="1"/>
                <w:szCs w:val="1"/>
                <w:color w:val="auto"/>
              </w:rPr>
            </w:pPr>
          </w:p>
        </w:tc>
      </w:tr>
      <w:tr>
        <w:trPr>
          <w:trHeight w:val="182"/>
        </w:trPr>
        <w:tc>
          <w:tcPr>
            <w:tcW w:w="562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8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5620" w:type="dxa"/>
            <w:vAlign w:val="bottom"/>
          </w:tcPr>
          <w:p>
            <w:pPr>
              <w:spacing w:after="0" w:line="190" w:lineRule="exact"/>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3</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33,978</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54,203</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88,181</w:t>
            </w:r>
          </w:p>
        </w:tc>
        <w:tc>
          <w:tcPr>
            <w:tcW w:w="0" w:type="dxa"/>
            <w:vAlign w:val="bottom"/>
          </w:tcPr>
          <w:p>
            <w:pPr>
              <w:spacing w:after="0"/>
              <w:rPr>
                <w:sz w:val="1"/>
                <w:szCs w:val="1"/>
                <w:color w:val="auto"/>
              </w:rPr>
            </w:pPr>
          </w:p>
        </w:tc>
      </w:tr>
      <w:tr>
        <w:trPr>
          <w:trHeight w:val="176"/>
        </w:trPr>
        <w:tc>
          <w:tcPr>
            <w:tcW w:w="5620" w:type="dxa"/>
            <w:vAlign w:val="bottom"/>
          </w:tcPr>
          <w:p>
            <w:pPr>
              <w:spacing w:after="0"/>
              <w:rPr>
                <w:sz w:val="20"/>
                <w:szCs w:val="20"/>
                <w:color w:val="auto"/>
              </w:rPr>
            </w:pPr>
            <w:r>
              <w:rPr>
                <w:rFonts w:ascii="Arial" w:cs="Arial" w:eastAsia="Arial" w:hAnsi="Arial"/>
                <w:sz w:val="13"/>
                <w:szCs w:val="13"/>
                <w:color w:val="auto"/>
              </w:rPr>
              <w:t>Less: Operating expenses (including partners’ share of management and other fees)</w:t>
            </w:r>
          </w:p>
        </w:tc>
        <w:tc>
          <w:tcPr>
            <w:tcW w:w="180" w:type="dxa"/>
            <w:vAlign w:val="bottom"/>
          </w:tcPr>
          <w:p>
            <w:pPr>
              <w:spacing w:after="0"/>
              <w:rPr>
                <w:sz w:val="15"/>
                <w:szCs w:val="15"/>
                <w:color w:val="auto"/>
              </w:rPr>
            </w:pP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14,976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21,701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36,677</w:t>
            </w:r>
          </w:p>
        </w:tc>
        <w:tc>
          <w:tcPr>
            <w:tcW w:w="0" w:type="dxa"/>
            <w:vAlign w:val="bottom"/>
          </w:tcPr>
          <w:p>
            <w:pPr>
              <w:spacing w:after="0"/>
              <w:rPr>
                <w:sz w:val="1"/>
                <w:szCs w:val="1"/>
                <w:color w:val="auto"/>
              </w:rPr>
            </w:pPr>
          </w:p>
        </w:tc>
      </w:tr>
      <w:tr>
        <w:trPr>
          <w:trHeight w:val="194"/>
        </w:trPr>
        <w:tc>
          <w:tcPr>
            <w:tcW w:w="5620" w:type="dxa"/>
            <w:vAlign w:val="bottom"/>
          </w:tcPr>
          <w:p>
            <w:pPr>
              <w:ind w:left="420"/>
              <w:spacing w:after="0"/>
              <w:rPr>
                <w:sz w:val="20"/>
                <w:szCs w:val="20"/>
                <w:color w:val="auto"/>
              </w:rPr>
            </w:pPr>
            <w:r>
              <w:rPr>
                <w:rFonts w:ascii="Arial" w:cs="Arial" w:eastAsia="Arial" w:hAnsi="Arial"/>
                <w:sz w:val="13"/>
                <w:szCs w:val="13"/>
                <w:color w:val="auto"/>
              </w:rPr>
              <w:t>Income allocation to private REIT shareholders</w:t>
            </w:r>
          </w:p>
        </w:tc>
        <w:tc>
          <w:tcPr>
            <w:tcW w:w="180" w:type="dxa"/>
            <w:vAlign w:val="bottom"/>
          </w:tcPr>
          <w:p>
            <w:pPr>
              <w:spacing w:after="0"/>
              <w:rPr>
                <w:sz w:val="16"/>
                <w:szCs w:val="16"/>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5620" w:type="dxa"/>
            <w:vAlign w:val="bottom"/>
          </w:tcPr>
          <w:p>
            <w:pPr>
              <w:spacing w:after="0" w:line="123" w:lineRule="exact"/>
              <w:rPr>
                <w:sz w:val="20"/>
                <w:szCs w:val="20"/>
                <w:color w:val="auto"/>
              </w:rPr>
            </w:pPr>
            <w:r>
              <w:rPr>
                <w:rFonts w:ascii="Arial" w:cs="Arial" w:eastAsia="Arial" w:hAnsi="Arial"/>
                <w:sz w:val="13"/>
                <w:szCs w:val="13"/>
                <w:color w:val="auto"/>
              </w:rPr>
              <w:t>NOI (excluding termination income and after income allocation to private REIT</w:t>
            </w: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19,002</w:t>
            </w:r>
          </w:p>
        </w:tc>
        <w:tc>
          <w:tcPr>
            <w:tcW w:w="16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32,502</w:t>
            </w:r>
          </w:p>
        </w:tc>
        <w:tc>
          <w:tcPr>
            <w:tcW w:w="14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51,504</w:t>
            </w:r>
          </w:p>
        </w:tc>
        <w:tc>
          <w:tcPr>
            <w:tcW w:w="0" w:type="dxa"/>
            <w:vAlign w:val="bottom"/>
          </w:tcPr>
          <w:p>
            <w:pPr>
              <w:spacing w:after="0"/>
              <w:rPr>
                <w:sz w:val="1"/>
                <w:szCs w:val="1"/>
                <w:color w:val="auto"/>
              </w:rPr>
            </w:pPr>
          </w:p>
        </w:tc>
      </w:tr>
      <w:tr>
        <w:trPr>
          <w:trHeight w:val="166"/>
        </w:trPr>
        <w:tc>
          <w:tcPr>
            <w:tcW w:w="5620" w:type="dxa"/>
            <w:vAlign w:val="bottom"/>
          </w:tcPr>
          <w:p>
            <w:pPr>
              <w:ind w:left="160"/>
              <w:spacing w:after="0"/>
              <w:rPr>
                <w:sz w:val="20"/>
                <w:szCs w:val="20"/>
                <w:color w:val="auto"/>
              </w:rPr>
            </w:pPr>
            <w:r>
              <w:rPr>
                <w:rFonts w:ascii="Arial" w:cs="Arial" w:eastAsia="Arial" w:hAnsi="Arial"/>
                <w:sz w:val="13"/>
                <w:szCs w:val="13"/>
                <w:color w:val="auto"/>
              </w:rPr>
              <w:t>shareholders)</w:t>
            </w:r>
          </w:p>
        </w:tc>
        <w:tc>
          <w:tcPr>
            <w:tcW w:w="18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62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33,978</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54,203</w:t>
            </w:r>
          </w:p>
        </w:tc>
        <w:tc>
          <w:tcPr>
            <w:tcW w:w="140" w:type="dxa"/>
            <w:vAlign w:val="bottom"/>
          </w:tcPr>
          <w:p>
            <w:pPr>
              <w:spacing w:after="0"/>
              <w:rPr>
                <w:sz w:val="24"/>
                <w:szCs w:val="2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88,181</w:t>
            </w:r>
          </w:p>
        </w:tc>
        <w:tc>
          <w:tcPr>
            <w:tcW w:w="0" w:type="dxa"/>
            <w:vAlign w:val="bottom"/>
          </w:tcPr>
          <w:p>
            <w:pPr>
              <w:spacing w:after="0"/>
              <w:rPr>
                <w:sz w:val="1"/>
                <w:szCs w:val="1"/>
                <w:color w:val="auto"/>
              </w:rPr>
            </w:pPr>
          </w:p>
        </w:tc>
      </w:tr>
      <w:tr>
        <w:trPr>
          <w:trHeight w:val="176"/>
        </w:trPr>
        <w:tc>
          <w:tcPr>
            <w:tcW w:w="5620" w:type="dxa"/>
            <w:vAlign w:val="bottom"/>
          </w:tcPr>
          <w:p>
            <w:pPr>
              <w:spacing w:after="0"/>
              <w:rPr>
                <w:sz w:val="20"/>
                <w:szCs w:val="20"/>
                <w:color w:val="auto"/>
              </w:rPr>
            </w:pPr>
            <w:r>
              <w:rPr>
                <w:rFonts w:ascii="Arial" w:cs="Arial" w:eastAsia="Arial" w:hAnsi="Arial"/>
                <w:sz w:val="13"/>
                <w:szCs w:val="13"/>
                <w:color w:val="auto"/>
              </w:rPr>
              <w:t>Less: Straight-line rent</w:t>
            </w:r>
          </w:p>
        </w:tc>
        <w:tc>
          <w:tcPr>
            <w:tcW w:w="180" w:type="dxa"/>
            <w:vAlign w:val="bottom"/>
          </w:tcPr>
          <w:p>
            <w:pPr>
              <w:spacing w:after="0"/>
              <w:rPr>
                <w:sz w:val="15"/>
                <w:szCs w:val="15"/>
                <w:color w:val="auto"/>
              </w:rPr>
            </w:pP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1,302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6,604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7,906</w:t>
            </w: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rPr>
                <w:sz w:val="20"/>
                <w:szCs w:val="20"/>
                <w:color w:val="auto"/>
              </w:rPr>
            </w:pPr>
            <w:r>
              <w:rPr>
                <w:rFonts w:ascii="Arial" w:cs="Arial" w:eastAsia="Arial" w:hAnsi="Arial"/>
                <w:sz w:val="13"/>
                <w:szCs w:val="13"/>
                <w:color w:val="auto"/>
              </w:rPr>
              <w:t>Fair value lease revenue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94"/>
        </w:trPr>
        <w:tc>
          <w:tcPr>
            <w:tcW w:w="5620" w:type="dxa"/>
            <w:vAlign w:val="bottom"/>
          </w:tcPr>
          <w:p>
            <w:pPr>
              <w:spacing w:after="0"/>
              <w:rPr>
                <w:sz w:val="20"/>
                <w:szCs w:val="20"/>
                <w:color w:val="auto"/>
              </w:rPr>
            </w:pPr>
            <w:r>
              <w:rPr>
                <w:rFonts w:ascii="Arial" w:cs="Arial" w:eastAsia="Arial" w:hAnsi="Arial"/>
                <w:sz w:val="13"/>
                <w:szCs w:val="13"/>
                <w:color w:val="auto"/>
              </w:rPr>
              <w:t>Add: Lease transaction costs that qualify as rent inducements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38</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857</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w:t>
            </w:r>
          </w:p>
        </w:tc>
        <w:tc>
          <w:tcPr>
            <w:tcW w:w="0" w:type="dxa"/>
            <w:vAlign w:val="bottom"/>
          </w:tcPr>
          <w:p>
            <w:pPr>
              <w:spacing w:after="0"/>
              <w:rPr>
                <w:sz w:val="1"/>
                <w:szCs w:val="1"/>
                <w:color w:val="auto"/>
              </w:rPr>
            </w:pPr>
          </w:p>
        </w:tc>
      </w:tr>
      <w:tr>
        <w:trPr>
          <w:trHeight w:val="177"/>
        </w:trPr>
        <w:tc>
          <w:tcPr>
            <w:tcW w:w="5620" w:type="dxa"/>
            <w:vAlign w:val="bottom"/>
          </w:tcPr>
          <w:p>
            <w:pPr>
              <w:spacing w:after="0"/>
              <w:rPr>
                <w:sz w:val="20"/>
                <w:szCs w:val="20"/>
                <w:color w:val="auto"/>
              </w:rPr>
            </w:pPr>
            <w:r>
              <w:rPr>
                <w:rFonts w:ascii="Arial" w:cs="Arial" w:eastAsia="Arial" w:hAnsi="Arial"/>
                <w:sz w:val="13"/>
                <w:szCs w:val="13"/>
                <w:color w:val="auto"/>
              </w:rPr>
              <w:t>Subtotal</w:t>
            </w:r>
          </w:p>
        </w:tc>
        <w:tc>
          <w:tcPr>
            <w:tcW w:w="180" w:type="dxa"/>
            <w:vAlign w:val="bottom"/>
          </w:tcPr>
          <w:p>
            <w:pPr>
              <w:spacing w:after="0"/>
              <w:rPr>
                <w:sz w:val="15"/>
                <w:szCs w:val="15"/>
                <w:color w:val="auto"/>
              </w:rPr>
            </w:pP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32,725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48,456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81,181</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Arial" w:cs="Arial" w:eastAsia="Arial" w:hAnsi="Arial"/>
                <w:sz w:val="13"/>
                <w:szCs w:val="13"/>
                <w:color w:val="auto"/>
              </w:rPr>
              <w:t>Less: Operating expenses (including partners’ share of management and other fees)</w:t>
            </w:r>
          </w:p>
        </w:tc>
        <w:tc>
          <w:tcPr>
            <w:tcW w:w="180" w:type="dxa"/>
            <w:vAlign w:val="bottom"/>
          </w:tcPr>
          <w:p>
            <w:pPr>
              <w:spacing w:after="0"/>
              <w:rPr>
                <w:sz w:val="16"/>
                <w:szCs w:val="16"/>
                <w:color w:val="auto"/>
              </w:rPr>
            </w:pP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14,976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21,701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36,677</w:t>
            </w:r>
          </w:p>
        </w:tc>
        <w:tc>
          <w:tcPr>
            <w:tcW w:w="0" w:type="dxa"/>
            <w:vAlign w:val="bottom"/>
          </w:tcPr>
          <w:p>
            <w:pPr>
              <w:spacing w:after="0"/>
              <w:rPr>
                <w:sz w:val="1"/>
                <w:szCs w:val="1"/>
                <w:color w:val="auto"/>
              </w:rPr>
            </w:pPr>
          </w:p>
        </w:tc>
      </w:tr>
      <w:tr>
        <w:trPr>
          <w:trHeight w:val="195"/>
        </w:trPr>
        <w:tc>
          <w:tcPr>
            <w:tcW w:w="5620" w:type="dxa"/>
            <w:vAlign w:val="bottom"/>
          </w:tcPr>
          <w:p>
            <w:pPr>
              <w:ind w:left="420"/>
              <w:spacing w:after="0"/>
              <w:rPr>
                <w:sz w:val="20"/>
                <w:szCs w:val="20"/>
                <w:color w:val="auto"/>
              </w:rPr>
            </w:pPr>
            <w:r>
              <w:rPr>
                <w:rFonts w:ascii="Arial" w:cs="Arial" w:eastAsia="Arial" w:hAnsi="Arial"/>
                <w:sz w:val="13"/>
                <w:szCs w:val="13"/>
                <w:color w:val="auto"/>
              </w:rPr>
              <w:t>Income allocation to private REIT shareholders</w:t>
            </w:r>
          </w:p>
        </w:tc>
        <w:tc>
          <w:tcPr>
            <w:tcW w:w="180" w:type="dxa"/>
            <w:vAlign w:val="bottom"/>
          </w:tcPr>
          <w:p>
            <w:pPr>
              <w:spacing w:after="0"/>
              <w:rPr>
                <w:sz w:val="16"/>
                <w:szCs w:val="16"/>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5620" w:type="dxa"/>
            <w:vAlign w:val="bottom"/>
          </w:tcPr>
          <w:p>
            <w:pPr>
              <w:spacing w:after="0" w:line="123" w:lineRule="exact"/>
              <w:rPr>
                <w:sz w:val="20"/>
                <w:szCs w:val="20"/>
                <w:color w:val="auto"/>
              </w:rPr>
            </w:pPr>
            <w:r>
              <w:rPr>
                <w:rFonts w:ascii="Arial" w:cs="Arial" w:eastAsia="Arial" w:hAnsi="Arial"/>
                <w:sz w:val="13"/>
                <w:szCs w:val="13"/>
                <w:color w:val="auto"/>
              </w:rPr>
              <w:t>NOI - cash (excluding termination income and after income allocation to private REIT</w:t>
            </w: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17,749</w:t>
            </w:r>
          </w:p>
        </w:tc>
        <w:tc>
          <w:tcPr>
            <w:tcW w:w="16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26,755</w:t>
            </w:r>
          </w:p>
        </w:tc>
        <w:tc>
          <w:tcPr>
            <w:tcW w:w="14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44,504</w:t>
            </w:r>
          </w:p>
        </w:tc>
        <w:tc>
          <w:tcPr>
            <w:tcW w:w="0" w:type="dxa"/>
            <w:vAlign w:val="bottom"/>
          </w:tcPr>
          <w:p>
            <w:pPr>
              <w:spacing w:after="0"/>
              <w:rPr>
                <w:sz w:val="1"/>
                <w:szCs w:val="1"/>
                <w:color w:val="auto"/>
              </w:rPr>
            </w:pPr>
          </w:p>
        </w:tc>
      </w:tr>
      <w:tr>
        <w:trPr>
          <w:trHeight w:val="166"/>
        </w:trPr>
        <w:tc>
          <w:tcPr>
            <w:tcW w:w="5620" w:type="dxa"/>
            <w:vAlign w:val="bottom"/>
          </w:tcPr>
          <w:p>
            <w:pPr>
              <w:ind w:left="160"/>
              <w:spacing w:after="0"/>
              <w:rPr>
                <w:sz w:val="20"/>
                <w:szCs w:val="20"/>
                <w:color w:val="auto"/>
              </w:rPr>
            </w:pPr>
            <w:r>
              <w:rPr>
                <w:rFonts w:ascii="Arial" w:cs="Arial" w:eastAsia="Arial" w:hAnsi="Arial"/>
                <w:sz w:val="13"/>
                <w:szCs w:val="13"/>
                <w:color w:val="auto"/>
              </w:rPr>
              <w:t>shareholders)</w:t>
            </w:r>
          </w:p>
        </w:tc>
        <w:tc>
          <w:tcPr>
            <w:tcW w:w="18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62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Reconciliation of Partners’ share of Revenue </w:t>
            </w:r>
            <w:r>
              <w:rPr>
                <w:rFonts w:ascii="Arial" w:cs="Arial" w:eastAsia="Arial" w:hAnsi="Arial"/>
                <w:sz w:val="17"/>
                <w:szCs w:val="17"/>
                <w:b w:val="1"/>
                <w:bCs w:val="1"/>
                <w:color w:val="auto"/>
                <w:vertAlign w:val="superscript"/>
              </w:rPr>
              <w:t>4</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6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line="184" w:lineRule="exact"/>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ind w:right="13"/>
              <w:spacing w:after="0"/>
              <w:rPr>
                <w:sz w:val="20"/>
                <w:szCs w:val="20"/>
                <w:color w:val="auto"/>
              </w:rPr>
            </w:pPr>
            <w:r>
              <w:rPr>
                <w:rFonts w:ascii="Arial" w:cs="Arial" w:eastAsia="Arial" w:hAnsi="Arial"/>
                <w:sz w:val="13"/>
                <w:szCs w:val="13"/>
                <w:color w:val="auto"/>
              </w:rPr>
              <w:t>33,978</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ind w:right="13"/>
              <w:spacing w:after="0"/>
              <w:rPr>
                <w:sz w:val="20"/>
                <w:szCs w:val="20"/>
                <w:color w:val="auto"/>
              </w:rPr>
            </w:pPr>
            <w:r>
              <w:rPr>
                <w:rFonts w:ascii="Arial" w:cs="Arial" w:eastAsia="Arial" w:hAnsi="Arial"/>
                <w:sz w:val="13"/>
                <w:szCs w:val="13"/>
                <w:color w:val="auto"/>
              </w:rPr>
              <w:t>54,203</w:t>
            </w:r>
          </w:p>
        </w:tc>
        <w:tc>
          <w:tcPr>
            <w:tcW w:w="14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88,181</w:t>
            </w:r>
          </w:p>
        </w:tc>
        <w:tc>
          <w:tcPr>
            <w:tcW w:w="0" w:type="dxa"/>
            <w:vAlign w:val="bottom"/>
          </w:tcPr>
          <w:p>
            <w:pPr>
              <w:spacing w:after="0"/>
              <w:rPr>
                <w:sz w:val="1"/>
                <w:szCs w:val="1"/>
                <w:color w:val="auto"/>
              </w:rPr>
            </w:pPr>
          </w:p>
        </w:tc>
      </w:tr>
      <w:tr>
        <w:trPr>
          <w:trHeight w:val="182"/>
        </w:trPr>
        <w:tc>
          <w:tcPr>
            <w:tcW w:w="5620" w:type="dxa"/>
            <w:vAlign w:val="bottom"/>
          </w:tcPr>
          <w:p>
            <w:pPr>
              <w:spacing w:after="0"/>
              <w:rPr>
                <w:sz w:val="20"/>
                <w:szCs w:val="20"/>
                <w:color w:val="auto"/>
              </w:rPr>
            </w:pPr>
            <w:r>
              <w:rPr>
                <w:rFonts w:ascii="Arial" w:cs="Arial" w:eastAsia="Arial" w:hAnsi="Arial"/>
                <w:sz w:val="13"/>
                <w:szCs w:val="13"/>
                <w:color w:val="auto"/>
              </w:rPr>
              <w:t>Add: Development and management services revenue</w:t>
            </w:r>
          </w:p>
        </w:tc>
        <w:tc>
          <w:tcPr>
            <w:tcW w:w="18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3"/>
                <w:szCs w:val="13"/>
                <w:color w:val="auto"/>
              </w:rPr>
              <w:t>Revenue</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33,978</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54,203</w:t>
            </w:r>
          </w:p>
        </w:tc>
        <w:tc>
          <w:tcPr>
            <w:tcW w:w="1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88,181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_________</w:t>
      </w:r>
    </w:p>
    <w:p>
      <w:pPr>
        <w:spacing w:after="0" w:line="48" w:lineRule="exact"/>
        <w:rPr>
          <w:sz w:val="20"/>
          <w:szCs w:val="20"/>
          <w:color w:val="auto"/>
        </w:rPr>
      </w:pPr>
    </w:p>
    <w:p>
      <w:pPr>
        <w:ind w:left="80" w:right="380" w:hanging="72"/>
        <w:spacing w:after="0" w:line="229" w:lineRule="auto"/>
        <w:tabs>
          <w:tab w:leader="none" w:pos="78"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Norges Joint Ventures include 7 Times Square (formerly Times Square Tower), 601 Lexington Avenue/One Five Nine East 53rd Street, 100 Federal Street, Atlantic Wharf Office, 300 Binney Street, and 290 Binney Street. On August 27, 2025, the Company acquired its partner’s 45% ownership interest in 343 Madison Avenue.</w:t>
      </w:r>
    </w:p>
    <w:p>
      <w:pPr>
        <w:ind w:left="120" w:hanging="112"/>
        <w:spacing w:after="0" w:line="238" w:lineRule="auto"/>
        <w:tabs>
          <w:tab w:leader="none" w:pos="120" w:val="left"/>
        </w:tabs>
        <w:numPr>
          <w:ilvl w:val="0"/>
          <w:numId w:val="125"/>
        </w:numPr>
        <w:rPr>
          <w:rFonts w:ascii="Arial" w:cs="Arial" w:eastAsia="Arial" w:hAnsi="Arial"/>
          <w:sz w:val="19"/>
          <w:szCs w:val="19"/>
          <w:color w:val="auto"/>
          <w:vertAlign w:val="superscript"/>
        </w:rPr>
      </w:pPr>
      <w:r>
        <w:rPr>
          <w:rFonts w:ascii="Arial" w:cs="Arial" w:eastAsia="Arial" w:hAnsi="Arial"/>
          <w:sz w:val="14"/>
          <w:szCs w:val="14"/>
          <w:color w:val="auto"/>
        </w:rPr>
        <w:t>Lease revenue includes recoveries from clients and service income from clients.</w:t>
      </w:r>
    </w:p>
    <w:p>
      <w:pPr>
        <w:spacing w:after="0" w:line="27" w:lineRule="exact"/>
        <w:rPr>
          <w:sz w:val="20"/>
          <w:szCs w:val="20"/>
          <w:color w:val="auto"/>
        </w:rPr>
      </w:pPr>
    </w:p>
    <w:p>
      <w:pPr>
        <w:ind w:left="80" w:hanging="72"/>
        <w:spacing w:after="0"/>
        <w:tabs>
          <w:tab w:leader="none" w:pos="80" w:val="left"/>
        </w:tabs>
        <w:numPr>
          <w:ilvl w:val="0"/>
          <w:numId w:val="126"/>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pacing w:after="0" w:line="38"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Amounts represent the partners’ share based on their respective ownership percentage.</w:t>
      </w:r>
    </w:p>
    <w:p>
      <w:pPr>
        <w:spacing w:after="0" w:line="1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Capitalized fees are eliminated in consolidation and recognized over the life of the asset as depreciation and amortization are added back to the Company’s net income.</w:t>
      </w:r>
    </w:p>
    <w:p>
      <w:pPr>
        <w:spacing w:after="0" w:line="1" w:lineRule="exact"/>
        <w:rPr>
          <w:sz w:val="20"/>
          <w:szCs w:val="20"/>
          <w:color w:val="auto"/>
        </w:rPr>
      </w:pPr>
    </w:p>
    <w:p>
      <w:pPr>
        <w:ind w:left="80" w:right="120" w:hanging="72"/>
        <w:spacing w:after="0" w:line="226" w:lineRule="auto"/>
        <w:tabs>
          <w:tab w:leader="none" w:pos="78" w:val="left"/>
        </w:tabs>
        <w:numPr>
          <w:ilvl w:val="0"/>
          <w:numId w:val="127"/>
        </w:numPr>
        <w:rPr>
          <w:rFonts w:ascii="Arial" w:cs="Arial" w:eastAsia="Arial" w:hAnsi="Arial"/>
          <w:sz w:val="18"/>
          <w:szCs w:val="18"/>
          <w:color w:val="auto"/>
          <w:vertAlign w:val="superscript"/>
        </w:rPr>
      </w:pPr>
      <w:r>
        <w:rPr>
          <w:rFonts w:ascii="Arial" w:cs="Arial" w:eastAsia="Arial" w:hAnsi="Arial"/>
          <w:sz w:val="14"/>
          <w:szCs w:val="14"/>
          <w:color w:val="auto"/>
        </w:rPr>
        <w:t>Amounts represent the partners’ share based on their respective ownership percentages and are adjusted for basis differentials and the allocations of management and other fees and depreciation and amortization related to capitalized fees.</w:t>
      </w:r>
    </w:p>
    <w:p>
      <w:pPr>
        <w:sectPr>
          <w:pgSz w:w="11900" w:h="16838" w:orient="portrait"/>
          <w:cols w:equalWidth="0" w:num="1">
            <w:col w:w="11240"/>
          </w:cols>
          <w:pgMar w:left="320" w:top="265" w:right="339" w:bottom="1440" w:gutter="0" w:footer="0" w:header="0"/>
        </w:sectPr>
      </w:pPr>
    </w:p>
    <w:p>
      <w:pPr>
        <w:spacing w:after="0" w:line="37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40"/>
          </w:cols>
          <w:pgMar w:left="320" w:top="265" w:right="339" w:bottom="1440" w:gutter="0" w:footer="0" w:header="0"/>
          <w:type w:val="continuous"/>
        </w:sectPr>
      </w:pPr>
    </w:p>
    <w:bookmarkStart w:id="71" w:name="page72"/>
    <w:bookmarkEnd w:id="71"/>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UNCONSOLIDATED JOINT VENTURES </w:t>
      </w:r>
      <w:r>
        <w:rPr>
          <w:rFonts w:ascii="Arial" w:cs="Arial" w:eastAsia="Arial" w:hAnsi="Arial"/>
          <w:sz w:val="9"/>
          <w:szCs w:val="9"/>
          <w:b w:val="1"/>
          <w:bCs w:val="1"/>
          <w:i w:val="1"/>
          <w:iCs w:val="1"/>
          <w:color w:val="auto"/>
        </w:rPr>
        <w:t>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color w:val="auto"/>
              </w:rPr>
              <w:t>Washington,</w:t>
            </w: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color w:val="auto"/>
              </w:rPr>
              <w:t>Boston</w:t>
            </w:r>
          </w:p>
        </w:tc>
        <w:tc>
          <w:tcPr>
            <w:tcW w:w="9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Los Angeles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New York</w:t>
            </w:r>
          </w:p>
        </w:tc>
        <w:tc>
          <w:tcPr>
            <w:tcW w:w="18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color w:val="auto"/>
              </w:rPr>
              <w:t>San Francisco</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color w:val="auto"/>
              </w:rPr>
              <w:t>Seattle</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8"/>
              <w:spacing w:after="0" w:line="145" w:lineRule="exact"/>
              <w:rPr>
                <w:sz w:val="20"/>
                <w:szCs w:val="20"/>
                <w:color w:val="auto"/>
              </w:rPr>
            </w:pPr>
            <w:r>
              <w:rPr>
                <w:rFonts w:ascii="Arial" w:cs="Arial" w:eastAsia="Arial" w:hAnsi="Arial"/>
                <w:sz w:val="14"/>
                <w:szCs w:val="14"/>
                <w:color w:val="auto"/>
              </w:rPr>
              <w:t>Unconsolidated</w:t>
            </w:r>
          </w:p>
        </w:tc>
        <w:tc>
          <w:tcPr>
            <w:tcW w:w="0" w:type="dxa"/>
            <w:vAlign w:val="bottom"/>
          </w:tcPr>
          <w:p>
            <w:pPr>
              <w:spacing w:after="0"/>
              <w:rPr>
                <w:sz w:val="1"/>
                <w:szCs w:val="1"/>
                <w:color w:val="auto"/>
              </w:rPr>
            </w:pPr>
          </w:p>
        </w:tc>
      </w:tr>
      <w:tr>
        <w:trPr>
          <w:trHeight w:val="189"/>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DC</w:t>
            </w:r>
          </w:p>
        </w:tc>
        <w:tc>
          <w:tcPr>
            <w:tcW w:w="12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color w:val="auto"/>
              </w:rPr>
              <w:t>Joint Ventures</w:t>
            </w:r>
          </w:p>
        </w:tc>
        <w:tc>
          <w:tcPr>
            <w:tcW w:w="0" w:type="dxa"/>
            <w:vAlign w:val="bottom"/>
          </w:tcPr>
          <w:p>
            <w:pPr>
              <w:spacing w:after="0"/>
              <w:rPr>
                <w:sz w:val="1"/>
                <w:szCs w:val="1"/>
                <w:color w:val="auto"/>
              </w:rPr>
            </w:pPr>
          </w:p>
        </w:tc>
      </w:tr>
      <w:tr>
        <w:trPr>
          <w:trHeight w:val="180"/>
        </w:trPr>
        <w:tc>
          <w:tcPr>
            <w:tcW w:w="318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27,278</w:t>
            </w:r>
          </w:p>
        </w:tc>
        <w:tc>
          <w:tcPr>
            <w:tcW w:w="14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20,367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16,354</w:t>
            </w:r>
          </w:p>
        </w:tc>
        <w:tc>
          <w:tcPr>
            <w:tcW w:w="1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17,803</w:t>
            </w:r>
          </w:p>
        </w:tc>
        <w:tc>
          <w:tcPr>
            <w:tcW w:w="14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8,537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24,461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114,800</w:t>
            </w:r>
          </w:p>
        </w:tc>
        <w:tc>
          <w:tcPr>
            <w:tcW w:w="0" w:type="dxa"/>
            <w:vAlign w:val="bottom"/>
          </w:tcPr>
          <w:p>
            <w:pPr>
              <w:spacing w:after="0"/>
              <w:rPr>
                <w:sz w:val="1"/>
                <w:szCs w:val="1"/>
                <w:color w:val="auto"/>
              </w:rPr>
            </w:pPr>
          </w:p>
        </w:tc>
      </w:tr>
      <w:tr>
        <w:trPr>
          <w:trHeight w:val="190"/>
        </w:trPr>
        <w:tc>
          <w:tcPr>
            <w:tcW w:w="318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3,922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203"/>
        </w:trPr>
        <w:tc>
          <w:tcPr>
            <w:tcW w:w="318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2,593</w:t>
            </w:r>
          </w:p>
        </w:tc>
        <w:tc>
          <w:tcPr>
            <w:tcW w:w="0" w:type="dxa"/>
            <w:vAlign w:val="bottom"/>
          </w:tcPr>
          <w:p>
            <w:pPr>
              <w:spacing w:after="0"/>
              <w:rPr>
                <w:sz w:val="1"/>
                <w:szCs w:val="1"/>
                <w:color w:val="auto"/>
              </w:rPr>
            </w:pPr>
          </w:p>
        </w:tc>
      </w:tr>
      <w:tr>
        <w:trPr>
          <w:trHeight w:val="203"/>
        </w:trPr>
        <w:tc>
          <w:tcPr>
            <w:tcW w:w="318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61"/>
        </w:trPr>
        <w:tc>
          <w:tcPr>
            <w:tcW w:w="3180" w:type="dxa"/>
            <w:vAlign w:val="bottom"/>
          </w:tcPr>
          <w:p>
            <w:pPr>
              <w:ind w:left="240"/>
              <w:spacing w:after="0"/>
              <w:rPr>
                <w:sz w:val="20"/>
                <w:szCs w:val="20"/>
                <w:color w:val="auto"/>
              </w:rPr>
            </w:pPr>
            <w:r>
              <w:rPr>
                <w:rFonts w:ascii="Arial" w:cs="Arial" w:eastAsia="Arial" w:hAnsi="Arial"/>
                <w:sz w:val="14"/>
                <w:szCs w:val="14"/>
                <w:color w:val="auto"/>
              </w:rPr>
              <w:t>Amortization and accretion related to sales-</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5"/>
        </w:trPr>
        <w:tc>
          <w:tcPr>
            <w:tcW w:w="3180" w:type="dxa"/>
            <w:vAlign w:val="bottom"/>
          </w:tcPr>
          <w:p>
            <w:pPr>
              <w:ind w:left="400"/>
              <w:spacing w:after="0"/>
              <w:rPr>
                <w:sz w:val="20"/>
                <w:szCs w:val="20"/>
                <w:color w:val="auto"/>
              </w:rPr>
            </w:pPr>
            <w:r>
              <w:rPr>
                <w:rFonts w:ascii="Arial" w:cs="Arial" w:eastAsia="Arial" w:hAnsi="Arial"/>
                <w:sz w:val="14"/>
                <w:szCs w:val="14"/>
                <w:color w:val="auto"/>
              </w:rPr>
              <w:t>type lease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80" w:type="dxa"/>
            <w:vAlign w:val="bottom"/>
          </w:tcPr>
          <w:p>
            <w:pPr>
              <w:ind w:left="560"/>
              <w:spacing w:after="0"/>
              <w:rPr>
                <w:sz w:val="20"/>
                <w:szCs w:val="20"/>
                <w:color w:val="auto"/>
              </w:rPr>
            </w:pPr>
            <w:r>
              <w:rPr>
                <w:rFonts w:ascii="Arial" w:cs="Arial" w:eastAsia="Arial" w:hAnsi="Arial"/>
                <w:sz w:val="14"/>
                <w:szCs w:val="14"/>
                <w:color w:val="auto"/>
              </w:rPr>
              <w:t>Total lease revenue</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27,925</w:t>
            </w: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18,939</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21,576</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17,913</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10,514</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24,338</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121,205</w:t>
            </w:r>
          </w:p>
        </w:tc>
        <w:tc>
          <w:tcPr>
            <w:tcW w:w="0" w:type="dxa"/>
            <w:vAlign w:val="bottom"/>
          </w:tcPr>
          <w:p>
            <w:pPr>
              <w:spacing w:after="0"/>
              <w:rPr>
                <w:sz w:val="1"/>
                <w:szCs w:val="1"/>
                <w:color w:val="auto"/>
              </w:rPr>
            </w:pPr>
          </w:p>
        </w:tc>
      </w:tr>
      <w:tr>
        <w:trPr>
          <w:trHeight w:val="204"/>
        </w:trPr>
        <w:tc>
          <w:tcPr>
            <w:tcW w:w="318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3,690</w:t>
            </w:r>
          </w:p>
        </w:tc>
        <w:tc>
          <w:tcPr>
            <w:tcW w:w="0" w:type="dxa"/>
            <w:vAlign w:val="bottom"/>
          </w:tcPr>
          <w:p>
            <w:pPr>
              <w:spacing w:after="0"/>
              <w:rPr>
                <w:sz w:val="1"/>
                <w:szCs w:val="1"/>
                <w:color w:val="auto"/>
              </w:rPr>
            </w:pPr>
          </w:p>
        </w:tc>
      </w:tr>
      <w:tr>
        <w:trPr>
          <w:trHeight w:val="207"/>
        </w:trPr>
        <w:tc>
          <w:tcPr>
            <w:tcW w:w="3180" w:type="dxa"/>
            <w:vAlign w:val="bottom"/>
          </w:tcPr>
          <w:p>
            <w:pPr>
              <w:ind w:left="560"/>
              <w:spacing w:after="0"/>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3</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27,968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20,906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21,625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25,156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124,895</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8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10,164</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15,965</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9,232</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56,453</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17,804</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5,660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7,555</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68,442</w:t>
            </w:r>
          </w:p>
        </w:tc>
        <w:tc>
          <w:tcPr>
            <w:tcW w:w="0" w:type="dxa"/>
            <w:vAlign w:val="bottom"/>
          </w:tcPr>
          <w:p>
            <w:pPr>
              <w:spacing w:after="0"/>
              <w:rPr>
                <w:sz w:val="1"/>
                <w:szCs w:val="1"/>
                <w:color w:val="auto"/>
              </w:rPr>
            </w:pPr>
          </w:p>
        </w:tc>
      </w:tr>
      <w:tr>
        <w:trPr>
          <w:trHeight w:val="398"/>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220"/>
              <w:spacing w:after="0" w:line="155" w:lineRule="exact"/>
              <w:rPr>
                <w:sz w:val="20"/>
                <w:szCs w:val="20"/>
                <w:color w:val="auto"/>
              </w:rPr>
            </w:pPr>
            <w:r>
              <w:rPr>
                <w:rFonts w:ascii="Arial" w:cs="Arial" w:eastAsia="Arial" w:hAnsi="Arial"/>
                <w:sz w:val="14"/>
                <w:szCs w:val="14"/>
                <w:color w:val="auto"/>
              </w:rPr>
              <w:t>Development and management services</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417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89"/>
        </w:trPr>
        <w:tc>
          <w:tcPr>
            <w:tcW w:w="3180" w:type="dxa"/>
            <w:vAlign w:val="bottom"/>
          </w:tcPr>
          <w:p>
            <w:pPr>
              <w:ind w:left="440"/>
              <w:spacing w:after="0"/>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40"/>
              <w:spacing w:after="0"/>
              <w:rPr>
                <w:sz w:val="20"/>
                <w:szCs w:val="20"/>
                <w:color w:val="auto"/>
              </w:rPr>
            </w:pPr>
            <w:r>
              <w:rPr>
                <w:rFonts w:ascii="Arial" w:cs="Arial" w:eastAsia="Arial" w:hAnsi="Arial"/>
                <w:sz w:val="14"/>
                <w:szCs w:val="14"/>
                <w:color w:val="auto"/>
              </w:rPr>
              <w:t>Interest and other income (loss)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203"/>
        </w:trPr>
        <w:tc>
          <w:tcPr>
            <w:tcW w:w="318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(10,562)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(17,385)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(47,202)</w:t>
            </w:r>
          </w:p>
        </w:tc>
        <w:tc>
          <w:tcPr>
            <w:tcW w:w="0" w:type="dxa"/>
            <w:vAlign w:val="bottom"/>
          </w:tcPr>
          <w:p>
            <w:pPr>
              <w:spacing w:after="0"/>
              <w:rPr>
                <w:sz w:val="1"/>
                <w:szCs w:val="1"/>
                <w:color w:val="auto"/>
              </w:rPr>
            </w:pPr>
          </w:p>
        </w:tc>
      </w:tr>
      <w:tr>
        <w:trPr>
          <w:trHeight w:val="161"/>
        </w:trPr>
        <w:tc>
          <w:tcPr>
            <w:tcW w:w="3180" w:type="dxa"/>
            <w:vAlign w:val="bottom"/>
          </w:tcPr>
          <w:p>
            <w:pPr>
              <w:ind w:left="220"/>
              <w:spacing w:after="0"/>
              <w:rPr>
                <w:sz w:val="20"/>
                <w:szCs w:val="20"/>
                <w:color w:val="auto"/>
              </w:rPr>
            </w:pPr>
            <w:r>
              <w:rPr>
                <w:rFonts w:ascii="Arial" w:cs="Arial" w:eastAsia="Arial" w:hAnsi="Arial"/>
                <w:sz w:val="14"/>
                <w:szCs w:val="14"/>
                <w:color w:val="auto"/>
              </w:rPr>
              <w:t>Unrealized gain/loss on derivative</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(1,403)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89"/>
        </w:trPr>
        <w:tc>
          <w:tcPr>
            <w:tcW w:w="3180" w:type="dxa"/>
            <w:vAlign w:val="bottom"/>
          </w:tcPr>
          <w:p>
            <w:pPr>
              <w:ind w:left="44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40"/>
              <w:spacing w:after="0"/>
              <w:rPr>
                <w:sz w:val="20"/>
                <w:szCs w:val="20"/>
                <w:color w:val="auto"/>
              </w:rPr>
            </w:pPr>
            <w:r>
              <w:rPr>
                <w:rFonts w:ascii="Arial" w:cs="Arial" w:eastAsia="Arial" w:hAnsi="Arial"/>
                <w:sz w:val="14"/>
                <w:szCs w:val="14"/>
                <w:color w:val="auto"/>
              </w:rPr>
              <w:t>Transaction costs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318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(8,470)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(5,330)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(10,465)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(10,076)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(45,409)</w:t>
            </w:r>
          </w:p>
        </w:tc>
        <w:tc>
          <w:tcPr>
            <w:tcW w:w="0" w:type="dxa"/>
            <w:vAlign w:val="bottom"/>
          </w:tcPr>
          <w:p>
            <w:pPr>
              <w:spacing w:after="0"/>
              <w:rPr>
                <w:sz w:val="1"/>
                <w:szCs w:val="1"/>
                <w:color w:val="auto"/>
              </w:rPr>
            </w:pPr>
          </w:p>
        </w:tc>
      </w:tr>
      <w:tr>
        <w:trPr>
          <w:trHeight w:val="203"/>
        </w:trPr>
        <w:tc>
          <w:tcPr>
            <w:tcW w:w="3180" w:type="dxa"/>
            <w:vAlign w:val="bottom"/>
          </w:tcPr>
          <w:p>
            <w:pPr>
              <w:ind w:left="240"/>
              <w:spacing w:after="0"/>
              <w:rPr>
                <w:sz w:val="20"/>
                <w:szCs w:val="20"/>
                <w:color w:val="auto"/>
              </w:rPr>
            </w:pPr>
            <w:r>
              <w:rPr>
                <w:rFonts w:ascii="Arial" w:cs="Arial" w:eastAsia="Arial" w:hAnsi="Arial"/>
                <w:sz w:val="14"/>
                <w:szCs w:val="14"/>
                <w:color w:val="auto"/>
              </w:rPr>
              <w:t>General and administrative expense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3"/>
        </w:trPr>
        <w:tc>
          <w:tcPr>
            <w:tcW w:w="3180" w:type="dxa"/>
            <w:vAlign w:val="bottom"/>
          </w:tcPr>
          <w:p>
            <w:pPr>
              <w:ind w:left="240"/>
              <w:spacing w:after="0"/>
              <w:rPr>
                <w:sz w:val="20"/>
                <w:szCs w:val="20"/>
                <w:color w:val="auto"/>
              </w:rPr>
            </w:pPr>
            <w:r>
              <w:rPr>
                <w:rFonts w:ascii="Arial" w:cs="Arial" w:eastAsia="Arial" w:hAnsi="Arial"/>
                <w:sz w:val="14"/>
                <w:szCs w:val="14"/>
                <w:color w:val="auto"/>
              </w:rPr>
              <w:t>Loss from early extinguishment of debt</w:t>
            </w: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180" w:type="dxa"/>
            <w:vAlign w:val="bottom"/>
          </w:tcPr>
          <w:p>
            <w:pPr>
              <w:ind w:left="240"/>
              <w:spacing w:after="0"/>
              <w:rPr>
                <w:sz w:val="20"/>
                <w:szCs w:val="20"/>
                <w:color w:val="auto"/>
              </w:rPr>
            </w:pPr>
            <w:r>
              <w:rPr>
                <w:rFonts w:ascii="Arial" w:cs="Arial" w:eastAsia="Arial" w:hAnsi="Arial"/>
                <w:sz w:val="14"/>
                <w:szCs w:val="14"/>
                <w:color w:val="auto"/>
              </w:rPr>
              <w:t>Gain on sale of real estate</w:t>
            </w: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4,762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4,762</w:t>
            </w:r>
          </w:p>
        </w:tc>
        <w:tc>
          <w:tcPr>
            <w:tcW w:w="0" w:type="dxa"/>
            <w:vAlign w:val="bottom"/>
          </w:tcPr>
          <w:p>
            <w:pPr>
              <w:spacing w:after="0"/>
              <w:rPr>
                <w:sz w:val="1"/>
                <w:szCs w:val="1"/>
                <w:color w:val="auto"/>
              </w:rPr>
            </w:pPr>
          </w:p>
        </w:tc>
      </w:tr>
      <w:tr>
        <w:trPr>
          <w:trHeight w:val="198"/>
        </w:trPr>
        <w:tc>
          <w:tcPr>
            <w:tcW w:w="3180" w:type="dxa"/>
            <w:vAlign w:val="bottom"/>
          </w:tcPr>
          <w:p>
            <w:pPr>
              <w:ind w:left="560"/>
              <w:spacing w:after="0"/>
              <w:rPr>
                <w:sz w:val="20"/>
                <w:szCs w:val="20"/>
                <w:color w:val="auto"/>
              </w:rPr>
            </w:pPr>
            <w:r>
              <w:rPr>
                <w:rFonts w:ascii="Arial" w:cs="Arial" w:eastAsia="Arial" w:hAnsi="Arial"/>
                <w:sz w:val="14"/>
                <w:szCs w:val="14"/>
                <w:color w:val="auto"/>
              </w:rPr>
              <w:t>Total other income (expense)</w:t>
            </w: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(18,525)</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(4,449)</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(28,127)</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(10,069)</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(9,267)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(15,647)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(86,084)</w:t>
            </w: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8,513</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(22,467)</w:t>
            </w:r>
          </w:p>
        </w:tc>
        <w:tc>
          <w:tcPr>
            <w:tcW w:w="1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(17,642)</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BXP’s share of select items:</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80" w:type="dxa"/>
            <w:vAlign w:val="bottom"/>
          </w:tcPr>
          <w:p>
            <w:pPr>
              <w:ind w:left="20"/>
              <w:spacing w:after="0"/>
              <w:rPr>
                <w:sz w:val="20"/>
                <w:szCs w:val="20"/>
                <w:color w:val="auto"/>
              </w:rPr>
            </w:pPr>
            <w:r>
              <w:rPr>
                <w:rFonts w:ascii="Arial" w:cs="Arial" w:eastAsia="Arial" w:hAnsi="Arial"/>
                <w:sz w:val="14"/>
                <w:szCs w:val="14"/>
                <w:color w:val="auto"/>
              </w:rPr>
              <w:t>BXP’s share of parking and other revenue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color w:val="auto"/>
              </w:rPr>
              <w:t>BXP’s share of amortization of financing costs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w:t>
            </w:r>
          </w:p>
        </w:tc>
        <w:tc>
          <w:tcPr>
            <w:tcW w:w="1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Arial" w:cs="Arial" w:eastAsia="Arial" w:hAnsi="Arial"/>
                <w:sz w:val="14"/>
                <w:szCs w:val="14"/>
                <w:color w:val="auto"/>
              </w:rPr>
              <w:t>BXP’s share of hedge amortization, net of</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2"/>
                <w:szCs w:val="12"/>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335</w:t>
            </w:r>
          </w:p>
        </w:tc>
        <w:tc>
          <w:tcPr>
            <w:tcW w:w="1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90"/>
        </w:trPr>
        <w:tc>
          <w:tcPr>
            <w:tcW w:w="3180" w:type="dxa"/>
            <w:vAlign w:val="bottom"/>
          </w:tcPr>
          <w:p>
            <w:pPr>
              <w:ind w:left="180"/>
              <w:spacing w:after="0"/>
              <w:rPr>
                <w:sz w:val="20"/>
                <w:szCs w:val="20"/>
                <w:color w:val="auto"/>
              </w:rPr>
            </w:pPr>
            <w:r>
              <w:rPr>
                <w:rFonts w:ascii="Arial" w:cs="Arial" w:eastAsia="Arial" w:hAnsi="Arial"/>
                <w:sz w:val="14"/>
                <w:szCs w:val="14"/>
                <w:color w:val="auto"/>
              </w:rPr>
              <w:t>costs</w:t>
            </w: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BXP’s share of fair value interest adjustment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color w:val="auto"/>
              </w:rPr>
              <w:t>BXP’s share of capitalized interest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769</w:t>
            </w:r>
          </w:p>
        </w:tc>
        <w:tc>
          <w:tcPr>
            <w:tcW w:w="1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Arial" w:cs="Arial" w:eastAsia="Arial" w:hAnsi="Arial"/>
                <w:sz w:val="14"/>
                <w:szCs w:val="14"/>
                <w:color w:val="auto"/>
              </w:rPr>
              <w:t>BXP’s share of amortization and accretion</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2"/>
                <w:szCs w:val="12"/>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5"/>
        </w:trPr>
        <w:tc>
          <w:tcPr>
            <w:tcW w:w="3180" w:type="dxa"/>
            <w:vAlign w:val="bottom"/>
          </w:tcPr>
          <w:p>
            <w:pPr>
              <w:ind w:left="180"/>
              <w:spacing w:after="0"/>
              <w:rPr>
                <w:sz w:val="20"/>
                <w:szCs w:val="20"/>
                <w:color w:val="auto"/>
              </w:rPr>
            </w:pPr>
            <w:r>
              <w:rPr>
                <w:rFonts w:ascii="Arial" w:cs="Arial" w:eastAsia="Arial" w:hAnsi="Arial"/>
                <w:sz w:val="14"/>
                <w:szCs w:val="14"/>
                <w:color w:val="auto"/>
              </w:rPr>
              <w:t>related to sales-type lease</w:t>
            </w: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Reconciliation of BXP’s share of EBITDA</w:t>
            </w:r>
            <w:r>
              <w:rPr>
                <w:rFonts w:ascii="Arial" w:cs="Arial" w:eastAsia="Arial" w:hAnsi="Arial"/>
                <w:sz w:val="14"/>
                <w:szCs w:val="14"/>
                <w:b w:val="1"/>
                <w:bCs w:val="1"/>
                <w:i w:val="1"/>
                <w:iCs w:val="1"/>
                <w:color w:val="auto"/>
              </w:rPr>
              <w:t>re</w:t>
            </w: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180" w:type="dxa"/>
            <w:vAlign w:val="bottom"/>
          </w:tcPr>
          <w:p>
            <w:pPr>
              <w:ind w:left="20"/>
              <w:spacing w:after="0" w:line="147" w:lineRule="exact"/>
              <w:rPr>
                <w:sz w:val="20"/>
                <w:szCs w:val="20"/>
                <w:color w:val="auto"/>
              </w:rPr>
            </w:pPr>
            <w:r>
              <w:rPr>
                <w:rFonts w:ascii="Arial" w:cs="Arial" w:eastAsia="Arial" w:hAnsi="Arial"/>
                <w:sz w:val="14"/>
                <w:szCs w:val="14"/>
                <w:color w:val="auto"/>
              </w:rPr>
              <w:t>Income (loss) from unconsolidated joint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(367)</w:t>
            </w:r>
          </w:p>
        </w:tc>
        <w:tc>
          <w:tcPr>
            <w:tcW w:w="140" w:type="dxa"/>
            <w:vAlign w:val="bottom"/>
          </w:tcPr>
          <w:p>
            <w:pPr>
              <w:spacing w:after="0"/>
              <w:rPr>
                <w:sz w:val="12"/>
                <w:szCs w:val="12"/>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5,028</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(9,170)</w:t>
            </w:r>
          </w:p>
        </w:tc>
        <w:tc>
          <w:tcPr>
            <w:tcW w:w="1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(144,699)</w:t>
            </w:r>
          </w:p>
        </w:tc>
        <w:tc>
          <w:tcPr>
            <w:tcW w:w="14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1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682</w:t>
            </w:r>
          </w:p>
        </w:tc>
        <w:tc>
          <w:tcPr>
            <w:tcW w:w="1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(148,329)</w:t>
            </w:r>
          </w:p>
        </w:tc>
        <w:tc>
          <w:tcPr>
            <w:tcW w:w="0" w:type="dxa"/>
            <w:vAlign w:val="bottom"/>
          </w:tcPr>
          <w:p>
            <w:pPr>
              <w:spacing w:after="0"/>
              <w:rPr>
                <w:sz w:val="1"/>
                <w:szCs w:val="1"/>
                <w:color w:val="auto"/>
              </w:rPr>
            </w:pP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40"/>
              <w:spacing w:after="0"/>
              <w:rPr>
                <w:sz w:val="20"/>
                <w:szCs w:val="20"/>
                <w:color w:val="auto"/>
              </w:rPr>
            </w:pPr>
            <w:r>
              <w:rPr>
                <w:rFonts w:ascii="Arial" w:cs="Arial" w:eastAsia="Arial" w:hAnsi="Arial"/>
                <w:sz w:val="14"/>
                <w:szCs w:val="14"/>
                <w:color w:val="auto"/>
              </w:rPr>
              <w:t>BXP’s share of interest expense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5,281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2,526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7,077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20,214</w:t>
            </w:r>
          </w:p>
        </w:tc>
        <w:tc>
          <w:tcPr>
            <w:tcW w:w="0" w:type="dxa"/>
            <w:vAlign w:val="bottom"/>
          </w:tcPr>
          <w:p>
            <w:pPr>
              <w:spacing w:after="0"/>
              <w:rPr>
                <w:sz w:val="1"/>
                <w:szCs w:val="1"/>
                <w:color w:val="auto"/>
              </w:rPr>
            </w:pPr>
          </w:p>
        </w:tc>
      </w:tr>
      <w:tr>
        <w:trPr>
          <w:trHeight w:val="161"/>
        </w:trPr>
        <w:tc>
          <w:tcPr>
            <w:tcW w:w="3180" w:type="dxa"/>
            <w:vAlign w:val="bottom"/>
          </w:tcPr>
          <w:p>
            <w:pPr>
              <w:ind w:left="240"/>
              <w:spacing w:after="0"/>
              <w:rPr>
                <w:sz w:val="20"/>
                <w:szCs w:val="20"/>
                <w:color w:val="auto"/>
              </w:rPr>
            </w:pPr>
            <w:r>
              <w:rPr>
                <w:rFonts w:ascii="Arial" w:cs="Arial" w:eastAsia="Arial" w:hAnsi="Arial"/>
                <w:sz w:val="14"/>
                <w:szCs w:val="14"/>
                <w:color w:val="auto"/>
              </w:rPr>
              <w:t>BXP’s share of depreciation and</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4,237</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2,144</w:t>
            </w: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3,929</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3,714</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983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2,265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17,272</w:t>
            </w:r>
          </w:p>
        </w:tc>
        <w:tc>
          <w:tcPr>
            <w:tcW w:w="0" w:type="dxa"/>
            <w:vAlign w:val="bottom"/>
          </w:tcPr>
          <w:p>
            <w:pPr>
              <w:spacing w:after="0"/>
              <w:rPr>
                <w:sz w:val="1"/>
                <w:szCs w:val="1"/>
                <w:color w:val="auto"/>
              </w:rPr>
            </w:pPr>
          </w:p>
        </w:tc>
      </w:tr>
      <w:tr>
        <w:trPr>
          <w:trHeight w:val="187"/>
        </w:trPr>
        <w:tc>
          <w:tcPr>
            <w:tcW w:w="3180" w:type="dxa"/>
            <w:vAlign w:val="bottom"/>
          </w:tcPr>
          <w:p>
            <w:pPr>
              <w:ind w:left="400"/>
              <w:spacing w:after="0"/>
              <w:rPr>
                <w:sz w:val="20"/>
                <w:szCs w:val="20"/>
                <w:color w:val="auto"/>
              </w:rPr>
            </w:pPr>
            <w:r>
              <w:rPr>
                <w:rFonts w:ascii="Arial" w:cs="Arial" w:eastAsia="Arial" w:hAnsi="Arial"/>
                <w:sz w:val="14"/>
                <w:szCs w:val="14"/>
                <w:color w:val="auto"/>
              </w:rPr>
              <w:t>amortization expense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80" w:type="dxa"/>
            <w:vAlign w:val="bottom"/>
          </w:tcPr>
          <w:p>
            <w:pPr>
              <w:ind w:left="240"/>
              <w:spacing w:after="0" w:line="205" w:lineRule="exact"/>
              <w:rPr>
                <w:sz w:val="20"/>
                <w:szCs w:val="20"/>
                <w:color w:val="auto"/>
              </w:rPr>
            </w:pPr>
            <w:r>
              <w:rPr>
                <w:rFonts w:ascii="Arial" w:cs="Arial" w:eastAsia="Arial" w:hAnsi="Arial"/>
                <w:sz w:val="14"/>
                <w:szCs w:val="14"/>
                <w:color w:val="auto"/>
              </w:rPr>
              <w:t xml:space="preserve">Impairment loss on investment </w:t>
            </w:r>
            <w:r>
              <w:rPr>
                <w:rFonts w:ascii="Arial" w:cs="Arial" w:eastAsia="Arial" w:hAnsi="Arial"/>
                <w:sz w:val="18"/>
                <w:szCs w:val="18"/>
                <w:color w:val="auto"/>
                <w:vertAlign w:val="superscript"/>
              </w:rPr>
              <w:t>6</w:t>
            </w: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145,133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145,133</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Less: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40"/>
              <w:spacing w:after="0"/>
              <w:rPr>
                <w:sz w:val="20"/>
                <w:szCs w:val="20"/>
                <w:color w:val="auto"/>
              </w:rPr>
            </w:pPr>
            <w:r>
              <w:rPr>
                <w:rFonts w:ascii="Arial" w:cs="Arial" w:eastAsia="Arial" w:hAnsi="Arial"/>
                <w:sz w:val="14"/>
                <w:szCs w:val="14"/>
                <w:color w:val="auto"/>
              </w:rPr>
              <w:t xml:space="preserve">BXP’s share of gain on sale of real estate </w:t>
            </w:r>
            <w:r>
              <w:rPr>
                <w:rFonts w:ascii="Arial" w:cs="Arial" w:eastAsia="Arial" w:hAnsi="Arial"/>
                <w:sz w:val="18"/>
                <w:szCs w:val="18"/>
                <w:color w:val="auto"/>
                <w:vertAlign w:val="superscript"/>
              </w:rPr>
              <w:t>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9,151</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7,462</w:t>
            </w:r>
          </w:p>
        </w:tc>
        <w:tc>
          <w:tcPr>
            <w:tcW w:w="16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1,836</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4,148</w:t>
            </w:r>
          </w:p>
        </w:tc>
        <w:tc>
          <w:tcPr>
            <w:tcW w:w="140" w:type="dxa"/>
            <w:vAlign w:val="bottom"/>
          </w:tcPr>
          <w:p>
            <w:pPr>
              <w:jc w:val="right"/>
              <w:spacing w:after="0"/>
              <w:rPr>
                <w:sz w:val="20"/>
                <w:szCs w:val="20"/>
                <w:color w:val="auto"/>
              </w:rPr>
            </w:pPr>
            <w:r>
              <w:rPr>
                <w:rFonts w:ascii="Arial" w:cs="Arial" w:eastAsia="Arial" w:hAnsi="Arial"/>
                <w:sz w:val="9"/>
                <w:szCs w:val="9"/>
                <w:color w:val="auto"/>
              </w:rPr>
              <w:t>5</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32,054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40"/>
          </w:cols>
          <w:pgMar w:left="320" w:top="265" w:right="339" w:bottom="1440" w:gutter="0" w:footer="0" w:header="0"/>
        </w:sectPr>
      </w:pPr>
    </w:p>
    <w:bookmarkStart w:id="72" w:name="page73"/>
    <w:bookmarkEnd w:id="72"/>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xml:space="preserve">UNCONSOLIDATED JOINT VENTURES </w:t>
      </w:r>
      <w:r>
        <w:rPr>
          <w:rFonts w:ascii="Arial" w:cs="Arial" w:eastAsia="Arial" w:hAnsi="Arial"/>
          <w:sz w:val="18"/>
          <w:szCs w:val="18"/>
          <w:b w:val="1"/>
          <w:bCs w:val="1"/>
          <w:i w:val="1"/>
          <w:iCs w:val="1"/>
          <w:color w:val="auto"/>
          <w:vertAlign w:val="superscript"/>
        </w:rPr>
        <w:t>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2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Net</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color w:val="auto"/>
              </w:rPr>
              <w:t>Washington,</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48"/>
              <w:spacing w:after="0" w:line="147"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rPr>
              <w:t>Boston</w:t>
            </w:r>
          </w:p>
        </w:tc>
        <w:tc>
          <w:tcPr>
            <w:tcW w:w="9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Los Angeles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New York</w:t>
            </w:r>
          </w:p>
        </w:tc>
        <w:tc>
          <w:tcPr>
            <w:tcW w:w="16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color w:val="auto"/>
              </w:rPr>
              <w:t>San Francisco</w:t>
            </w: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color w:val="auto"/>
              </w:rPr>
              <w:t>Seattle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8"/>
              <w:spacing w:after="0" w:line="145" w:lineRule="exact"/>
              <w:rPr>
                <w:sz w:val="20"/>
                <w:szCs w:val="20"/>
                <w:color w:val="auto"/>
              </w:rPr>
            </w:pPr>
            <w:r>
              <w:rPr>
                <w:rFonts w:ascii="Arial" w:cs="Arial" w:eastAsia="Arial" w:hAnsi="Arial"/>
                <w:sz w:val="14"/>
                <w:szCs w:val="14"/>
                <w:color w:val="auto"/>
              </w:rPr>
              <w:t>Unconsolidated</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1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DC</w:t>
            </w:r>
          </w:p>
        </w:tc>
        <w:tc>
          <w:tcPr>
            <w:tcW w:w="120" w:type="dxa"/>
            <w:vAlign w:val="bottom"/>
          </w:tcPr>
          <w:p>
            <w:pPr>
              <w:spacing w:after="0"/>
              <w:rPr>
                <w:sz w:val="16"/>
                <w:szCs w:val="16"/>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color w:val="auto"/>
              </w:rPr>
              <w:t>Joint Ventures</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BXP’s share of rental revenue </w:t>
            </w:r>
            <w:r>
              <w:rPr>
                <w:rFonts w:ascii="Arial" w:cs="Arial" w:eastAsia="Arial" w:hAnsi="Arial"/>
                <w:sz w:val="18"/>
                <w:szCs w:val="18"/>
                <w:color w:val="auto"/>
                <w:vertAlign w:val="superscript"/>
              </w:rPr>
              <w:t>3</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13,985</w:t>
            </w:r>
          </w:p>
        </w:tc>
        <w:tc>
          <w:tcPr>
            <w:tcW w:w="140" w:type="dxa"/>
            <w:vAlign w:val="bottom"/>
          </w:tcPr>
          <w:p>
            <w:pPr>
              <w:spacing w:after="0"/>
              <w:rPr>
                <w:sz w:val="17"/>
                <w:szCs w:val="17"/>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10,849</w:t>
            </w:r>
          </w:p>
        </w:tc>
        <w:tc>
          <w:tcPr>
            <w:tcW w:w="160" w:type="dxa"/>
            <w:vAlign w:val="bottom"/>
            <w:vMerge w:val="continue"/>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8,066</w:t>
            </w:r>
          </w:p>
        </w:tc>
        <w:tc>
          <w:tcPr>
            <w:tcW w:w="160" w:type="dxa"/>
            <w:vAlign w:val="bottom"/>
            <w:vMerge w:val="continue"/>
          </w:tcPr>
          <w:p>
            <w:pPr>
              <w:spacing w:after="0"/>
              <w:rPr>
                <w:sz w:val="17"/>
                <w:szCs w:val="17"/>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9,012</w:t>
            </w:r>
          </w:p>
        </w:tc>
        <w:tc>
          <w:tcPr>
            <w:tcW w:w="16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3,739</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10,156</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55,807</w:t>
            </w:r>
          </w:p>
        </w:tc>
        <w:tc>
          <w:tcPr>
            <w:tcW w:w="0" w:type="dxa"/>
            <w:vAlign w:val="bottom"/>
          </w:tcPr>
          <w:p>
            <w:pPr>
              <w:spacing w:after="0"/>
              <w:rPr>
                <w:sz w:val="1"/>
                <w:szCs w:val="1"/>
                <w:color w:val="auto"/>
              </w:rPr>
            </w:pPr>
          </w:p>
        </w:tc>
      </w:tr>
      <w:tr>
        <w:trPr>
          <w:trHeight w:val="192"/>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operating expenses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5,082</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3,973</w:t>
            </w: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6,643</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4,866</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3,374</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25,132</w:t>
            </w:r>
          </w:p>
        </w:tc>
        <w:tc>
          <w:tcPr>
            <w:tcW w:w="0" w:type="dxa"/>
            <w:vAlign w:val="bottom"/>
          </w:tcPr>
          <w:p>
            <w:pPr>
              <w:spacing w:after="0"/>
              <w:rPr>
                <w:sz w:val="1"/>
                <w:szCs w:val="1"/>
                <w:color w:val="auto"/>
              </w:rPr>
            </w:pPr>
          </w:p>
        </w:tc>
      </w:tr>
      <w:tr>
        <w:trPr>
          <w:trHeight w:val="195"/>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net operating income (loss)</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8,903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6,876</w:t>
            </w:r>
          </w:p>
        </w:tc>
        <w:tc>
          <w:tcPr>
            <w:tcW w:w="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1,423</w:t>
            </w:r>
          </w:p>
        </w:tc>
        <w:tc>
          <w:tcPr>
            <w:tcW w:w="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4,146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6,782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30,675</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color w:val="auto"/>
              </w:rPr>
              <w:t>Less: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termination income</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39"/>
        </w:trPr>
        <w:tc>
          <w:tcPr>
            <w:tcW w:w="3200" w:type="dxa"/>
            <w:vAlign w:val="bottom"/>
          </w:tcPr>
          <w:p>
            <w:pPr>
              <w:ind w:left="20"/>
              <w:spacing w:after="0" w:line="139" w:lineRule="exact"/>
              <w:rPr>
                <w:sz w:val="20"/>
                <w:szCs w:val="20"/>
                <w:color w:val="auto"/>
              </w:rPr>
            </w:pPr>
            <w:r>
              <w:rPr>
                <w:rFonts w:ascii="Arial" w:cs="Arial" w:eastAsia="Arial" w:hAnsi="Arial"/>
                <w:sz w:val="14"/>
                <w:szCs w:val="14"/>
                <w:color w:val="auto"/>
              </w:rPr>
              <w:t>BXP’s share of net operating income (loss)</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8,903</w:t>
            </w: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6,876</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1,423</w:t>
            </w: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4,005</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2,545</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6,782</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30,534</w:t>
            </w: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Arial" w:cs="Arial" w:eastAsia="Arial" w:hAnsi="Arial"/>
                <w:sz w:val="14"/>
                <w:szCs w:val="14"/>
                <w:color w:val="auto"/>
              </w:rPr>
              <w:t>(excluding termination income)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Less: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straight-line rent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295</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(623)</w:t>
            </w:r>
          </w:p>
        </w:tc>
        <w:tc>
          <w:tcPr>
            <w:tcW w:w="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1,894</w:t>
            </w:r>
          </w:p>
        </w:tc>
        <w:tc>
          <w:tcPr>
            <w:tcW w:w="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233"/>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fair value lease revenue</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305</w:t>
            </w:r>
          </w:p>
        </w:tc>
        <w:tc>
          <w:tcPr>
            <w:tcW w:w="16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362</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3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61"/>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amortization and accretion</w:t>
            </w:r>
          </w:p>
        </w:tc>
        <w:tc>
          <w:tcPr>
            <w:tcW w:w="18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3200" w:type="dxa"/>
            <w:vAlign w:val="bottom"/>
          </w:tcPr>
          <w:p>
            <w:pPr>
              <w:ind w:left="400"/>
              <w:spacing w:after="0"/>
              <w:rPr>
                <w:sz w:val="20"/>
                <w:szCs w:val="20"/>
                <w:color w:val="auto"/>
              </w:rPr>
            </w:pPr>
            <w:r>
              <w:rPr>
                <w:rFonts w:ascii="Arial" w:cs="Arial" w:eastAsia="Arial" w:hAnsi="Arial"/>
                <w:sz w:val="14"/>
                <w:szCs w:val="14"/>
                <w:color w:val="auto"/>
              </w:rPr>
              <w:t>related to sales type lease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00" w:type="dxa"/>
            <w:vAlign w:val="bottom"/>
          </w:tcPr>
          <w:p>
            <w:pPr>
              <w:ind w:left="280"/>
              <w:spacing w:after="0"/>
              <w:rPr>
                <w:sz w:val="20"/>
                <w:szCs w:val="20"/>
                <w:color w:val="auto"/>
              </w:rPr>
            </w:pPr>
            <w:r>
              <w:rPr>
                <w:rFonts w:ascii="Arial" w:cs="Arial" w:eastAsia="Arial" w:hAnsi="Arial"/>
                <w:sz w:val="14"/>
                <w:szCs w:val="14"/>
                <w:color w:val="auto"/>
              </w:rPr>
              <w:t>BXP’s share of straight-line ground rent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9"/>
        </w:trPr>
        <w:tc>
          <w:tcPr>
            <w:tcW w:w="3200" w:type="dxa"/>
            <w:vAlign w:val="bottom"/>
          </w:tcPr>
          <w:p>
            <w:pPr>
              <w:ind w:left="400"/>
              <w:spacing w:after="0"/>
              <w:rPr>
                <w:sz w:val="20"/>
                <w:szCs w:val="20"/>
                <w:color w:val="auto"/>
              </w:rPr>
            </w:pPr>
            <w:r>
              <w:rPr>
                <w:rFonts w:ascii="Arial" w:cs="Arial" w:eastAsia="Arial" w:hAnsi="Arial"/>
                <w:sz w:val="14"/>
                <w:szCs w:val="14"/>
                <w:color w:val="auto"/>
              </w:rPr>
              <w:t>expense adjustment</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240"/>
              <w:spacing w:after="0" w:line="149" w:lineRule="exact"/>
              <w:rPr>
                <w:sz w:val="20"/>
                <w:szCs w:val="20"/>
                <w:color w:val="auto"/>
              </w:rPr>
            </w:pPr>
            <w:r>
              <w:rPr>
                <w:rFonts w:ascii="Arial" w:cs="Arial" w:eastAsia="Arial" w:hAnsi="Arial"/>
                <w:sz w:val="14"/>
                <w:szCs w:val="14"/>
                <w:color w:val="auto"/>
              </w:rPr>
              <w:t>BXP’s share of lease transaction costs that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200" w:type="dxa"/>
            <w:vAlign w:val="bottom"/>
          </w:tcPr>
          <w:p>
            <w:pPr>
              <w:ind w:left="400"/>
              <w:spacing w:after="0"/>
              <w:rPr>
                <w:sz w:val="20"/>
                <w:szCs w:val="20"/>
                <w:color w:val="auto"/>
              </w:rPr>
            </w:pPr>
            <w:r>
              <w:rPr>
                <w:rFonts w:ascii="Arial" w:cs="Arial" w:eastAsia="Arial" w:hAnsi="Arial"/>
                <w:sz w:val="14"/>
                <w:szCs w:val="14"/>
                <w:color w:val="auto"/>
              </w:rPr>
              <w:t>qualify as rent inducements</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00" w:type="dxa"/>
            <w:vAlign w:val="bottom"/>
          </w:tcPr>
          <w:p>
            <w:pPr>
              <w:ind w:left="20"/>
              <w:spacing w:after="0" w:line="133" w:lineRule="exact"/>
              <w:rPr>
                <w:sz w:val="20"/>
                <w:szCs w:val="20"/>
                <w:color w:val="auto"/>
              </w:rPr>
            </w:pPr>
            <w:r>
              <w:rPr>
                <w:rFonts w:ascii="Arial" w:cs="Arial" w:eastAsia="Arial" w:hAnsi="Arial"/>
                <w:sz w:val="14"/>
                <w:szCs w:val="14"/>
                <w:color w:val="auto"/>
              </w:rPr>
              <w:t>BXP’s share of net operating income (loss) -</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8,579</w:t>
            </w:r>
          </w:p>
        </w:tc>
        <w:tc>
          <w:tcPr>
            <w:tcW w:w="140" w:type="dxa"/>
            <w:vAlign w:val="bottom"/>
          </w:tcPr>
          <w:p>
            <w:pPr>
              <w:spacing w:after="0"/>
              <w:rPr>
                <w:sz w:val="11"/>
                <w:szCs w:val="11"/>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7,194</w:t>
            </w: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(710)</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4,091</w:t>
            </w:r>
          </w:p>
        </w:tc>
        <w:tc>
          <w:tcPr>
            <w:tcW w:w="16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1,880</w:t>
            </w:r>
          </w:p>
        </w:tc>
        <w:tc>
          <w:tcPr>
            <w:tcW w:w="16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6,832</w:t>
            </w:r>
          </w:p>
        </w:tc>
        <w:tc>
          <w:tcPr>
            <w:tcW w:w="16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27,866</w:t>
            </w:r>
          </w:p>
        </w:tc>
        <w:tc>
          <w:tcPr>
            <w:tcW w:w="0" w:type="dxa"/>
            <w:vAlign w:val="bottom"/>
          </w:tcPr>
          <w:p>
            <w:pPr>
              <w:spacing w:after="0"/>
              <w:rPr>
                <w:sz w:val="1"/>
                <w:szCs w:val="1"/>
                <w:color w:val="auto"/>
              </w:rPr>
            </w:pPr>
          </w:p>
        </w:tc>
      </w:tr>
      <w:tr>
        <w:trPr>
          <w:trHeight w:val="163"/>
        </w:trPr>
        <w:tc>
          <w:tcPr>
            <w:tcW w:w="3200" w:type="dxa"/>
            <w:vAlign w:val="bottom"/>
          </w:tcPr>
          <w:p>
            <w:pPr>
              <w:ind w:left="180"/>
              <w:spacing w:after="0" w:line="158" w:lineRule="exact"/>
              <w:rPr>
                <w:sz w:val="20"/>
                <w:szCs w:val="20"/>
                <w:color w:val="auto"/>
              </w:rPr>
            </w:pPr>
            <w:r>
              <w:rPr>
                <w:rFonts w:ascii="Arial" w:cs="Arial" w:eastAsia="Arial" w:hAnsi="Arial"/>
                <w:sz w:val="14"/>
                <w:szCs w:val="14"/>
                <w:color w:val="auto"/>
              </w:rPr>
              <w:t>cash (excluding termination income)</w:t>
            </w:r>
          </w:p>
        </w:tc>
        <w:tc>
          <w:tcPr>
            <w:tcW w:w="1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Revenue</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3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Arial" w:cs="Arial" w:eastAsia="Arial" w:hAnsi="Arial"/>
                <w:sz w:val="14"/>
                <w:szCs w:val="14"/>
                <w:color w:val="auto"/>
              </w:rPr>
              <w:t xml:space="preserve">BXP’s share of rental revenue </w:t>
            </w:r>
            <w:r>
              <w:rPr>
                <w:rFonts w:ascii="Arial" w:cs="Arial" w:eastAsia="Arial" w:hAnsi="Arial"/>
                <w:sz w:val="18"/>
                <w:szCs w:val="18"/>
                <w:color w:val="auto"/>
                <w:vertAlign w:val="superscript"/>
              </w:rPr>
              <w:t>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13,985</w:t>
            </w:r>
          </w:p>
        </w:tc>
        <w:tc>
          <w:tcPr>
            <w:tcW w:w="14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10,849</w:t>
            </w:r>
          </w:p>
        </w:tc>
        <w:tc>
          <w:tcPr>
            <w:tcW w:w="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8,066</w:t>
            </w:r>
          </w:p>
        </w:tc>
        <w:tc>
          <w:tcPr>
            <w:tcW w:w="160" w:type="dxa"/>
            <w:vAlign w:val="bottom"/>
            <w:vMerge w:val="continue"/>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9,012</w:t>
            </w:r>
          </w:p>
        </w:tc>
        <w:tc>
          <w:tcPr>
            <w:tcW w:w="16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3,739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10,156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55,807</w:t>
            </w: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development and</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85"/>
        </w:trPr>
        <w:tc>
          <w:tcPr>
            <w:tcW w:w="3200" w:type="dxa"/>
            <w:vAlign w:val="bottom"/>
          </w:tcPr>
          <w:p>
            <w:pPr>
              <w:ind w:left="400"/>
              <w:spacing w:after="0"/>
              <w:rPr>
                <w:sz w:val="20"/>
                <w:szCs w:val="20"/>
                <w:color w:val="auto"/>
              </w:rPr>
            </w:pPr>
            <w:r>
              <w:rPr>
                <w:rFonts w:ascii="Arial" w:cs="Arial" w:eastAsia="Arial" w:hAnsi="Arial"/>
                <w:sz w:val="14"/>
                <w:szCs w:val="14"/>
                <w:color w:val="auto"/>
              </w:rPr>
              <w:t>management services revenue</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revenue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13,985</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10,849</w:t>
            </w:r>
          </w:p>
        </w:tc>
        <w:tc>
          <w:tcPr>
            <w:tcW w:w="16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8,275</w:t>
            </w:r>
          </w:p>
        </w:tc>
        <w:tc>
          <w:tcPr>
            <w:tcW w:w="160" w:type="dxa"/>
            <w:vAlign w:val="bottom"/>
            <w:vMerge w:val="continue"/>
          </w:tcPr>
          <w:p>
            <w:pPr>
              <w:spacing w:after="0"/>
              <w:rPr>
                <w:sz w:val="17"/>
                <w:szCs w:val="17"/>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9,012</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3,739</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10,156</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56,016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062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42" w:lineRule="exact"/>
        <w:rPr>
          <w:sz w:val="20"/>
          <w:szCs w:val="20"/>
          <w:color w:val="auto"/>
        </w:rPr>
      </w:pPr>
    </w:p>
    <w:p>
      <w:pPr>
        <w:ind w:right="2500" w:firstLine="8"/>
        <w:spacing w:after="0" w:line="259" w:lineRule="auto"/>
        <w:tabs>
          <w:tab w:leader="none" w:pos="79" w:val="left"/>
        </w:tabs>
        <w:numPr>
          <w:ilvl w:val="0"/>
          <w:numId w:val="128"/>
        </w:numPr>
        <w:rPr>
          <w:rFonts w:ascii="Arial" w:cs="Arial" w:eastAsia="Arial" w:hAnsi="Arial"/>
          <w:sz w:val="19"/>
          <w:szCs w:val="19"/>
          <w:color w:val="auto"/>
          <w:vertAlign w:val="superscript"/>
        </w:rPr>
      </w:pPr>
      <w:r>
        <w:rPr>
          <w:rFonts w:ascii="Arial" w:cs="Arial" w:eastAsia="Arial" w:hAnsi="Arial"/>
          <w:sz w:val="14"/>
          <w:szCs w:val="14"/>
          <w:color w:val="auto"/>
        </w:rPr>
        <w:t xml:space="preserve">For information on the properties included for each region and the Company’s percentage ownership in each property, see pages 21-24. </w:t>
      </w:r>
      <w:r>
        <w:rPr>
          <w:rFonts w:ascii="Arial" w:cs="Arial" w:eastAsia="Arial" w:hAnsi="Arial"/>
          <w:sz w:val="9"/>
          <w:szCs w:val="9"/>
          <w:color w:val="auto"/>
        </w:rPr>
        <w:t xml:space="preserve">2 </w:t>
      </w:r>
      <w:r>
        <w:rPr>
          <w:rFonts w:ascii="Arial" w:cs="Arial" w:eastAsia="Arial" w:hAnsi="Arial"/>
          <w:sz w:val="14"/>
          <w:szCs w:val="14"/>
          <w:color w:val="auto"/>
        </w:rPr>
        <w:t>Lease revenue includes recoveries from clients and service income from clients.</w:t>
      </w:r>
    </w:p>
    <w:p>
      <w:pPr>
        <w:spacing w:after="0" w:line="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See the Definitions and Reconciliations sections of this Supplemental package starting on page 56.</w:t>
      </w:r>
    </w:p>
    <w:p>
      <w:pPr>
        <w:spacing w:after="0" w:line="1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Includes approximately $246 of straight-line ground rent expense.</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The Company’s purchase price allocation under ASC 805 for certain joint ventures differs from the historical basis of the venture.</w:t>
      </w:r>
    </w:p>
    <w:p>
      <w:pPr>
        <w:spacing w:after="0" w:line="11" w:lineRule="exact"/>
        <w:rPr>
          <w:rFonts w:ascii="Arial" w:cs="Arial" w:eastAsia="Arial" w:hAnsi="Arial"/>
          <w:sz w:val="19"/>
          <w:szCs w:val="19"/>
          <w:color w:val="auto"/>
          <w:vertAlign w:val="superscript"/>
        </w:rPr>
      </w:pPr>
    </w:p>
    <w:p>
      <w:pPr>
        <w:ind w:right="1480"/>
        <w:spacing w:after="0" w:line="261" w:lineRule="auto"/>
        <w:rPr>
          <w:rFonts w:ascii="Arial" w:cs="Arial" w:eastAsia="Arial" w:hAnsi="Arial"/>
          <w:sz w:val="19"/>
          <w:szCs w:val="19"/>
          <w:color w:val="auto"/>
          <w:vertAlign w:val="superscript"/>
        </w:rPr>
      </w:pPr>
      <w:r>
        <w:rPr>
          <w:rFonts w:ascii="Arial" w:cs="Arial" w:eastAsia="Arial" w:hAnsi="Arial"/>
          <w:sz w:val="9"/>
          <w:szCs w:val="9"/>
          <w:color w:val="auto"/>
        </w:rPr>
        <w:t xml:space="preserve">6 </w:t>
      </w:r>
      <w:r>
        <w:rPr>
          <w:rFonts w:ascii="Arial" w:cs="Arial" w:eastAsia="Arial" w:hAnsi="Arial"/>
          <w:sz w:val="14"/>
          <w:szCs w:val="14"/>
          <w:color w:val="auto"/>
        </w:rPr>
        <w:t>Represents the other-than-temporary decline in the fair values below the carrying values of certain of the Company’s investments in unconsolidated joint</w:t>
      </w:r>
      <w:r>
        <w:rPr>
          <w:rFonts w:ascii="Arial" w:cs="Arial" w:eastAsia="Arial" w:hAnsi="Arial"/>
          <w:sz w:val="9"/>
          <w:szCs w:val="9"/>
          <w:color w:val="auto"/>
        </w:rPr>
        <w:t xml:space="preserve"> </w:t>
      </w:r>
      <w:r>
        <w:rPr>
          <w:rFonts w:ascii="Arial" w:cs="Arial" w:eastAsia="Arial" w:hAnsi="Arial"/>
          <w:sz w:val="14"/>
          <w:szCs w:val="14"/>
          <w:color w:val="auto"/>
        </w:rPr>
        <w:t>ventures.</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For additional information, see page 14.</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20" w:top="265" w:right="339" w:bottom="1440" w:gutter="0" w:footer="0" w:header="0"/>
          <w:type w:val="continuous"/>
        </w:sectPr>
      </w:pPr>
    </w:p>
    <w:bookmarkStart w:id="73" w:name="page74"/>
    <w:bookmarkEnd w:id="73"/>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Net income attributable to BXP, Inc. to</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BXP’s Share of same property net operating income (NOI)</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30-Jun-25</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20"/>
                <w:szCs w:val="20"/>
                <w:color w:val="auto"/>
              </w:rPr>
            </w:pPr>
            <w:r>
              <w:rPr>
                <w:rFonts w:ascii="Arial" w:cs="Arial" w:eastAsia="Arial" w:hAnsi="Arial"/>
                <w:sz w:val="14"/>
                <w:szCs w:val="14"/>
                <w:color w:val="auto"/>
              </w:rPr>
              <w:t>Net income attributable to BXP, Inc.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88,977</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79,615</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10,064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9,509</w:t>
            </w:r>
          </w:p>
        </w:tc>
        <w:tc>
          <w:tcPr>
            <w:tcW w:w="0" w:type="dxa"/>
            <w:vAlign w:val="bottom"/>
          </w:tcPr>
          <w:p>
            <w:pPr>
              <w:spacing w:after="0"/>
              <w:rPr>
                <w:sz w:val="1"/>
                <w:szCs w:val="1"/>
                <w:color w:val="auto"/>
              </w:rPr>
            </w:pPr>
          </w:p>
        </w:tc>
      </w:tr>
      <w:tr>
        <w:trPr>
          <w:trHeight w:val="204"/>
        </w:trPr>
        <w:tc>
          <w:tcPr>
            <w:tcW w:w="8040" w:type="dxa"/>
            <w:vAlign w:val="bottom"/>
          </w:tcPr>
          <w:p>
            <w:pPr>
              <w:ind w:left="240"/>
              <w:spacing w:after="0"/>
              <w:rPr>
                <w:sz w:val="20"/>
                <w:szCs w:val="20"/>
                <w:color w:val="auto"/>
              </w:rPr>
            </w:pPr>
            <w:r>
              <w:rPr>
                <w:rFonts w:ascii="Arial" w:cs="Arial" w:eastAsia="Arial" w:hAnsi="Arial"/>
                <w:sz w:val="14"/>
                <w:szCs w:val="14"/>
                <w:color w:val="auto"/>
              </w:rPr>
              <w:t>Noncontrolling interest in property partnerships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17,825</w:t>
            </w:r>
          </w:p>
        </w:tc>
        <w:tc>
          <w:tcPr>
            <w:tcW w:w="0" w:type="dxa"/>
            <w:vAlign w:val="bottom"/>
          </w:tcPr>
          <w:p>
            <w:pPr>
              <w:spacing w:after="0"/>
              <w:rPr>
                <w:sz w:val="1"/>
                <w:szCs w:val="1"/>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119,141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106,949</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162,783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149,642</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Loss from unconsolidated joint ventures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3,324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5,799</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223,819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219,542</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Transaction costs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2"/>
        </w:trPr>
        <w:tc>
          <w:tcPr>
            <w:tcW w:w="8040" w:type="dxa"/>
            <w:vAlign w:val="bottom"/>
          </w:tcPr>
          <w:p>
            <w:pPr>
              <w:ind w:left="500"/>
              <w:spacing w:after="0"/>
              <w:rPr>
                <w:sz w:val="20"/>
                <w:szCs w:val="20"/>
                <w:color w:val="auto"/>
              </w:rPr>
            </w:pPr>
            <w:r>
              <w:rPr>
                <w:rFonts w:ascii="Arial" w:cs="Arial" w:eastAsia="Arial" w:hAnsi="Arial"/>
                <w:sz w:val="14"/>
                <w:szCs w:val="14"/>
                <w:color w:val="auto"/>
              </w:rPr>
              <w:t>Payroll and related costs from management services contracts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4,104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42,516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44,109</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Interest and other income (loss)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8,063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10,788</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Unrealized gain (loss) on non-real estate investments</w:t>
            </w:r>
          </w:p>
        </w:tc>
        <w:tc>
          <w:tcPr>
            <w:tcW w:w="26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Gains from investments in securities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2,600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Gain on sale of real estate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18,390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4,104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204"/>
        </w:trPr>
        <w:tc>
          <w:tcPr>
            <w:tcW w:w="8040" w:type="dxa"/>
            <w:vAlign w:val="bottom"/>
          </w:tcPr>
          <w:p>
            <w:pPr>
              <w:ind w:left="500"/>
              <w:spacing w:after="0"/>
              <w:rPr>
                <w:sz w:val="20"/>
                <w:szCs w:val="20"/>
                <w:color w:val="auto"/>
              </w:rPr>
            </w:pPr>
            <w:r>
              <w:rPr>
                <w:rFonts w:ascii="Arial" w:cs="Arial" w:eastAsia="Arial" w:hAnsi="Arial"/>
                <w:sz w:val="14"/>
                <w:szCs w:val="14"/>
                <w:color w:val="auto"/>
              </w:rPr>
              <w:t>Development and management services revenue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8,846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4"/>
                <w:szCs w:val="14"/>
                <w:color w:val="auto"/>
              </w:rPr>
              <w:t>Net Operating Income (NOI)</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514,080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508,717</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NOI from unconsolidated joint ventures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31,029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31,587</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NOI from consolidated joint ventures (after income allocation to private REIT shareholders)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51,562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47,391</w:t>
            </w:r>
          </w:p>
        </w:tc>
        <w:tc>
          <w:tcPr>
            <w:tcW w:w="0" w:type="dxa"/>
            <w:vAlign w:val="bottom"/>
          </w:tcPr>
          <w:p>
            <w:pPr>
              <w:spacing w:after="0"/>
              <w:rPr>
                <w:sz w:val="1"/>
                <w:szCs w:val="1"/>
                <w:color w:val="auto"/>
              </w:rPr>
            </w:pP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auto"/>
              </w:rPr>
              <w:t>BXP’s Share of NOI</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493,547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492,913</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termination income from unconsolidated joint ventures</w:t>
            </w:r>
          </w:p>
        </w:tc>
        <w:tc>
          <w:tcPr>
            <w:tcW w:w="26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termination income from consolidated joint ventures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0"/>
        </w:trPr>
        <w:tc>
          <w:tcPr>
            <w:tcW w:w="8040" w:type="dxa"/>
            <w:vAlign w:val="bottom"/>
          </w:tcPr>
          <w:p>
            <w:pPr>
              <w:spacing w:after="0"/>
              <w:rPr>
                <w:sz w:val="20"/>
                <w:szCs w:val="20"/>
                <w:color w:val="auto"/>
              </w:rPr>
            </w:pPr>
            <w:r>
              <w:rPr>
                <w:rFonts w:ascii="Arial" w:cs="Arial" w:eastAsia="Arial" w:hAnsi="Arial"/>
                <w:sz w:val="14"/>
                <w:szCs w:val="14"/>
                <w:color w:val="auto"/>
              </w:rPr>
              <w:t>BXP’s Share of NOI (excluding termination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492,784</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492,112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8040" w:type="dxa"/>
            <w:vAlign w:val="bottom"/>
          </w:tcPr>
          <w:p>
            <w:pPr>
              <w:spacing w:after="0"/>
              <w:rPr>
                <w:sz w:val="20"/>
                <w:szCs w:val="20"/>
                <w:color w:val="auto"/>
              </w:rPr>
            </w:pPr>
            <w:r>
              <w:rPr>
                <w:rFonts w:ascii="Arial" w:cs="Arial" w:eastAsia="Arial" w:hAnsi="Arial"/>
                <w:sz w:val="14"/>
                <w:szCs w:val="14"/>
                <w:color w:val="auto"/>
              </w:rPr>
              <w:t>Net Operating Income (NOI)</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514,080</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508,717</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04"/>
        </w:trPr>
        <w:tc>
          <w:tcPr>
            <w:tcW w:w="8040" w:type="dxa"/>
            <w:vAlign w:val="bottom"/>
          </w:tcPr>
          <w:p>
            <w:pPr>
              <w:ind w:left="500"/>
              <w:spacing w:after="0"/>
              <w:rPr>
                <w:sz w:val="20"/>
                <w:szCs w:val="20"/>
                <w:color w:val="auto"/>
              </w:rPr>
            </w:pPr>
            <w:r>
              <w:rPr>
                <w:rFonts w:ascii="Arial" w:cs="Arial" w:eastAsia="Arial" w:hAnsi="Arial"/>
                <w:sz w:val="14"/>
                <w:szCs w:val="14"/>
                <w:color w:val="auto"/>
              </w:rPr>
              <w:t>NOI from non Same Properties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13,196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7,201</w:t>
            </w:r>
          </w:p>
        </w:tc>
        <w:tc>
          <w:tcPr>
            <w:tcW w:w="0" w:type="dxa"/>
            <w:vAlign w:val="bottom"/>
          </w:tcPr>
          <w:p>
            <w:pPr>
              <w:spacing w:after="0"/>
              <w:rPr>
                <w:sz w:val="1"/>
                <w:szCs w:val="1"/>
                <w:color w:val="auto"/>
              </w:rPr>
            </w:pPr>
          </w:p>
        </w:tc>
      </w:tr>
      <w:tr>
        <w:trPr>
          <w:trHeight w:val="194"/>
        </w:trPr>
        <w:tc>
          <w:tcPr>
            <w:tcW w:w="8040" w:type="dxa"/>
            <w:vAlign w:val="bottom"/>
          </w:tcPr>
          <w:p>
            <w:pPr>
              <w:spacing w:after="0"/>
              <w:rPr>
                <w:sz w:val="20"/>
                <w:szCs w:val="20"/>
                <w:color w:val="auto"/>
              </w:rPr>
            </w:pPr>
            <w:r>
              <w:rPr>
                <w:rFonts w:ascii="Arial" w:cs="Arial" w:eastAsia="Arial" w:hAnsi="Arial"/>
                <w:sz w:val="14"/>
                <w:szCs w:val="14"/>
                <w:color w:val="auto"/>
              </w:rPr>
              <w:t>Same Property NOI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499,975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500,675</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NOI from consolidated joint ventures (excluding termination income and after income allocation</w:t>
            </w:r>
          </w:p>
        </w:tc>
        <w:tc>
          <w:tcPr>
            <w:tcW w:w="260" w:type="dxa"/>
            <w:vAlign w:val="bottom"/>
          </w:tcPr>
          <w:p>
            <w:pPr>
              <w:spacing w:after="0"/>
              <w:rPr>
                <w:sz w:val="13"/>
                <w:szCs w:val="13"/>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51,562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47,351</w:t>
            </w:r>
          </w:p>
        </w:tc>
        <w:tc>
          <w:tcPr>
            <w:tcW w:w="0" w:type="dxa"/>
            <w:vAlign w:val="bottom"/>
          </w:tcPr>
          <w:p>
            <w:pPr>
              <w:spacing w:after="0"/>
              <w:rPr>
                <w:sz w:val="1"/>
                <w:szCs w:val="1"/>
                <w:color w:val="auto"/>
              </w:rPr>
            </w:pPr>
          </w:p>
        </w:tc>
      </w:tr>
      <w:tr>
        <w:trPr>
          <w:trHeight w:val="189"/>
        </w:trPr>
        <w:tc>
          <w:tcPr>
            <w:tcW w:w="8040" w:type="dxa"/>
            <w:vAlign w:val="bottom"/>
          </w:tcPr>
          <w:p>
            <w:pPr>
              <w:ind w:left="660"/>
              <w:spacing w:after="0"/>
              <w:rPr>
                <w:sz w:val="20"/>
                <w:szCs w:val="20"/>
                <w:color w:val="auto"/>
              </w:rPr>
            </w:pPr>
            <w:r>
              <w:rPr>
                <w:rFonts w:ascii="Arial" w:cs="Arial" w:eastAsia="Arial" w:hAnsi="Arial"/>
                <w:sz w:val="14"/>
                <w:szCs w:val="14"/>
                <w:color w:val="auto"/>
              </w:rPr>
              <w:t>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NOI from non Same Properties from consolidated joint ventures (excluding termination income and</w:t>
            </w:r>
          </w:p>
        </w:tc>
        <w:tc>
          <w:tcPr>
            <w:tcW w:w="260" w:type="dxa"/>
            <w:vAlign w:val="bottom"/>
          </w:tcPr>
          <w:p>
            <w:pPr>
              <w:spacing w:after="0"/>
              <w:rPr>
                <w:sz w:val="13"/>
                <w:szCs w:val="13"/>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4,469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40" w:type="dxa"/>
            <w:vAlign w:val="bottom"/>
          </w:tcPr>
          <w:p>
            <w:pPr>
              <w:ind w:left="660"/>
              <w:spacing w:after="0"/>
              <w:rPr>
                <w:sz w:val="20"/>
                <w:szCs w:val="20"/>
                <w:color w:val="auto"/>
              </w:rPr>
            </w:pPr>
            <w:r>
              <w:rPr>
                <w:rFonts w:ascii="Arial" w:cs="Arial" w:eastAsia="Arial" w:hAnsi="Arial"/>
                <w:sz w:val="14"/>
                <w:szCs w:val="14"/>
                <w:color w:val="auto"/>
              </w:rPr>
              <w:t>after income allocation 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NOI from unconsolidated joint ventures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31,175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31,587</w:t>
            </w: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NOI from non Same Properties from unconsolidated joint ventures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0"/>
        </w:trPr>
        <w:tc>
          <w:tcPr>
            <w:tcW w:w="8040" w:type="dxa"/>
            <w:vAlign w:val="bottom"/>
          </w:tcPr>
          <w:p>
            <w:pPr>
              <w:spacing w:after="0"/>
              <w:rPr>
                <w:sz w:val="20"/>
                <w:szCs w:val="20"/>
                <w:color w:val="auto"/>
              </w:rPr>
            </w:pPr>
            <w:r>
              <w:rPr>
                <w:rFonts w:ascii="Arial" w:cs="Arial" w:eastAsia="Arial" w:hAnsi="Arial"/>
                <w:sz w:val="14"/>
                <w:szCs w:val="14"/>
                <w:color w:val="auto"/>
              </w:rPr>
              <w:t>BXP’s Share of Same Property NOI (excluding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484,189</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485,123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8040" w:type="dxa"/>
            <w:vAlign w:val="bottom"/>
          </w:tcPr>
          <w:p>
            <w:pPr>
              <w:spacing w:after="0"/>
              <w:rPr>
                <w:sz w:val="20"/>
                <w:szCs w:val="20"/>
                <w:color w:val="auto"/>
              </w:rPr>
            </w:pPr>
            <w:r>
              <w:rPr>
                <w:rFonts w:ascii="Arial" w:cs="Arial" w:eastAsia="Arial" w:hAnsi="Arial"/>
                <w:sz w:val="14"/>
                <w:szCs w:val="14"/>
                <w:color w:val="auto"/>
              </w:rPr>
              <w:t>Change in BXP’s Share of Same Property NOI (excluding termination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40" w:type="dxa"/>
            <w:vAlign w:val="bottom"/>
          </w:tcPr>
          <w:p>
            <w:pPr>
              <w:spacing w:after="0"/>
              <w:rPr>
                <w:sz w:val="20"/>
                <w:szCs w:val="20"/>
                <w:color w:val="auto"/>
              </w:rPr>
            </w:pPr>
            <w:r>
              <w:rPr>
                <w:rFonts w:ascii="Arial" w:cs="Arial" w:eastAsia="Arial" w:hAnsi="Arial"/>
                <w:sz w:val="14"/>
                <w:szCs w:val="14"/>
                <w:color w:val="auto"/>
              </w:rPr>
              <w:t>Change in BXP’s Share of Same Property NOI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265"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Q3 2025</w:t>
            </w:r>
          </w:p>
        </w:tc>
        <w:tc>
          <w:tcPr>
            <w:tcW w:w="0" w:type="dxa"/>
            <w:vAlign w:val="bottom"/>
          </w:tcPr>
          <w:p>
            <w:pPr>
              <w:spacing w:after="0"/>
              <w:rPr>
                <w:sz w:val="1"/>
                <w:szCs w:val="1"/>
                <w:color w:val="auto"/>
              </w:rPr>
            </w:pPr>
          </w:p>
        </w:tc>
      </w:tr>
      <w:tr>
        <w:trPr>
          <w:trHeight w:val="245"/>
        </w:trPr>
        <w:tc>
          <w:tcPr>
            <w:tcW w:w="80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00497F"/>
              </w:rPr>
              <w:t>Reconciliations (continued)</w:t>
            </w:r>
          </w:p>
        </w:tc>
        <w:tc>
          <w:tcPr>
            <w:tcW w:w="0" w:type="dxa"/>
            <w:vAlign w:val="bottom"/>
          </w:tcPr>
          <w:p>
            <w:pPr>
              <w:spacing w:after="0"/>
              <w:rPr>
                <w:sz w:val="1"/>
                <w:szCs w:val="1"/>
                <w:color w:val="auto"/>
              </w:rPr>
            </w:pPr>
          </w:p>
        </w:tc>
      </w:tr>
      <w:tr>
        <w:trPr>
          <w:trHeight w:val="706"/>
        </w:trPr>
        <w:tc>
          <w:tcPr>
            <w:tcW w:w="8060" w:type="dxa"/>
            <w:vAlign w:val="bottom"/>
          </w:tcPr>
          <w:p>
            <w:pPr>
              <w:spacing w:after="0"/>
              <w:rPr>
                <w:sz w:val="20"/>
                <w:szCs w:val="20"/>
                <w:color w:val="auto"/>
              </w:rPr>
            </w:pPr>
            <w:r>
              <w:rPr>
                <w:rFonts w:ascii="Arial" w:cs="Arial" w:eastAsia="Arial" w:hAnsi="Arial"/>
                <w:sz w:val="14"/>
                <w:szCs w:val="14"/>
                <w:b w:val="1"/>
                <w:bCs w:val="1"/>
                <w:color w:val="auto"/>
              </w:rPr>
              <w:t>Reconciliation of Net income attributable to BXP, Inc. to</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60" w:type="dxa"/>
            <w:vAlign w:val="bottom"/>
          </w:tcPr>
          <w:p>
            <w:pPr>
              <w:spacing w:after="0"/>
              <w:rPr>
                <w:sz w:val="20"/>
                <w:szCs w:val="20"/>
                <w:color w:val="auto"/>
              </w:rPr>
            </w:pPr>
            <w:r>
              <w:rPr>
                <w:rFonts w:ascii="Arial" w:cs="Arial" w:eastAsia="Arial" w:hAnsi="Arial"/>
                <w:sz w:val="14"/>
                <w:szCs w:val="14"/>
                <w:b w:val="1"/>
                <w:bCs w:val="1"/>
                <w:color w:val="auto"/>
              </w:rPr>
              <w:t>BXP’s Share of same property net operating income (NOI) - cash</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60" w:type="dxa"/>
            <w:vAlign w:val="bottom"/>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30-Jun-25</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190"/>
        </w:trPr>
        <w:tc>
          <w:tcPr>
            <w:tcW w:w="806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88,977</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79,615</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6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10,064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9,509</w:t>
            </w:r>
          </w:p>
        </w:tc>
        <w:tc>
          <w:tcPr>
            <w:tcW w:w="0" w:type="dxa"/>
            <w:vAlign w:val="bottom"/>
          </w:tcPr>
          <w:p>
            <w:pPr>
              <w:spacing w:after="0"/>
              <w:rPr>
                <w:sz w:val="1"/>
                <w:szCs w:val="1"/>
                <w:color w:val="auto"/>
              </w:rPr>
            </w:pPr>
          </w:p>
        </w:tc>
      </w:tr>
      <w:tr>
        <w:trPr>
          <w:trHeight w:val="204"/>
        </w:trPr>
        <w:tc>
          <w:tcPr>
            <w:tcW w:w="806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17,825</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119,141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106,949</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162,783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149,642</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Loss from unconsolidated joint ventures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3,324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5,799</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223,819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219,542</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Transaction costs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Payroll and related costs from management services contracts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4,104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42,516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44,109</w:t>
            </w:r>
          </w:p>
        </w:tc>
        <w:tc>
          <w:tcPr>
            <w:tcW w:w="0" w:type="dxa"/>
            <w:vAlign w:val="bottom"/>
          </w:tcPr>
          <w:p>
            <w:pPr>
              <w:spacing w:after="0"/>
              <w:rPr>
                <w:sz w:val="1"/>
                <w:szCs w:val="1"/>
                <w:color w:val="auto"/>
              </w:rPr>
            </w:pPr>
          </w:p>
        </w:tc>
      </w:tr>
      <w:tr>
        <w:trPr>
          <w:trHeight w:val="202"/>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Interest and other income (loss)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8,063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10,788</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Unrealized gain (loss) on non-real estate investments</w:t>
            </w:r>
          </w:p>
        </w:tc>
        <w:tc>
          <w:tcPr>
            <w:tcW w:w="26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Gains from investments in securities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2,600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Gain on sale of real estate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18,390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4,104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204"/>
        </w:trPr>
        <w:tc>
          <w:tcPr>
            <w:tcW w:w="8060" w:type="dxa"/>
            <w:vAlign w:val="bottom"/>
          </w:tcPr>
          <w:p>
            <w:pPr>
              <w:ind w:left="520"/>
              <w:spacing w:after="0"/>
              <w:rPr>
                <w:sz w:val="20"/>
                <w:szCs w:val="20"/>
                <w:color w:val="auto"/>
              </w:rPr>
            </w:pPr>
            <w:r>
              <w:rPr>
                <w:rFonts w:ascii="Arial" w:cs="Arial" w:eastAsia="Arial" w:hAnsi="Arial"/>
                <w:sz w:val="14"/>
                <w:szCs w:val="14"/>
                <w:color w:val="auto"/>
              </w:rPr>
              <w:t>Development and management services revenue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8,846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514,080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508,717</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60" w:type="dxa"/>
            <w:vAlign w:val="bottom"/>
          </w:tcPr>
          <w:p>
            <w:pPr>
              <w:ind w:left="480"/>
              <w:spacing w:after="0"/>
              <w:rPr>
                <w:sz w:val="20"/>
                <w:szCs w:val="20"/>
                <w:color w:val="auto"/>
              </w:rPr>
            </w:pPr>
            <w:r>
              <w:rPr>
                <w:rFonts w:ascii="Arial" w:cs="Arial" w:eastAsia="Arial" w:hAnsi="Arial"/>
                <w:sz w:val="14"/>
                <w:szCs w:val="14"/>
                <w:color w:val="auto"/>
              </w:rPr>
              <w:t>Straight-line rent</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24,533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16,094</w:t>
            </w:r>
          </w:p>
        </w:tc>
        <w:tc>
          <w:tcPr>
            <w:tcW w:w="0" w:type="dxa"/>
            <w:vAlign w:val="bottom"/>
          </w:tcPr>
          <w:p>
            <w:pPr>
              <w:spacing w:after="0"/>
              <w:rPr>
                <w:sz w:val="1"/>
                <w:szCs w:val="1"/>
                <w:color w:val="auto"/>
              </w:rPr>
            </w:pPr>
          </w:p>
        </w:tc>
      </w:tr>
      <w:tr>
        <w:trPr>
          <w:trHeight w:val="203"/>
        </w:trPr>
        <w:tc>
          <w:tcPr>
            <w:tcW w:w="8060" w:type="dxa"/>
            <w:vAlign w:val="bottom"/>
          </w:tcPr>
          <w:p>
            <w:pPr>
              <w:ind w:left="480"/>
              <w:spacing w:after="0"/>
              <w:rPr>
                <w:sz w:val="20"/>
                <w:szCs w:val="20"/>
                <w:color w:val="auto"/>
              </w:rPr>
            </w:pPr>
            <w:r>
              <w:rPr>
                <w:rFonts w:ascii="Arial" w:cs="Arial" w:eastAsia="Arial" w:hAnsi="Arial"/>
                <w:sz w:val="14"/>
                <w:szCs w:val="14"/>
                <w:color w:val="auto"/>
              </w:rPr>
              <w:t>Fair value lease revenue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1,915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203"/>
        </w:trPr>
        <w:tc>
          <w:tcPr>
            <w:tcW w:w="8060" w:type="dxa"/>
            <w:vAlign w:val="bottom"/>
          </w:tcPr>
          <w:p>
            <w:pPr>
              <w:ind w:left="480"/>
              <w:spacing w:after="0"/>
              <w:rPr>
                <w:sz w:val="20"/>
                <w:szCs w:val="20"/>
                <w:color w:val="auto"/>
              </w:rPr>
            </w:pPr>
            <w:r>
              <w:rPr>
                <w:rFonts w:ascii="Arial" w:cs="Arial" w:eastAsia="Arial" w:hAnsi="Arial"/>
                <w:sz w:val="14"/>
                <w:szCs w:val="14"/>
                <w:color w:val="auto"/>
              </w:rPr>
              <w:t>Amortization and accretion related to sales type lease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232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3"/>
        </w:trPr>
        <w:tc>
          <w:tcPr>
            <w:tcW w:w="8060" w:type="dxa"/>
            <w:vAlign w:val="bottom"/>
          </w:tcPr>
          <w:p>
            <w:pPr>
              <w:ind w:left="480"/>
              <w:spacing w:after="0"/>
              <w:rPr>
                <w:sz w:val="20"/>
                <w:szCs w:val="20"/>
                <w:color w:val="auto"/>
              </w:rPr>
            </w:pPr>
            <w:r>
              <w:rPr>
                <w:rFonts w:ascii="Arial" w:cs="Arial" w:eastAsia="Arial" w:hAnsi="Arial"/>
                <w:sz w:val="14"/>
                <w:szCs w:val="14"/>
                <w:color w:val="auto"/>
              </w:rPr>
              <w:t>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60" w:type="dxa"/>
            <w:vAlign w:val="bottom"/>
          </w:tcPr>
          <w:p>
            <w:pPr>
              <w:ind w:left="480"/>
              <w:spacing w:after="0"/>
              <w:rPr>
                <w:sz w:val="20"/>
                <w:szCs w:val="20"/>
                <w:color w:val="auto"/>
              </w:rPr>
            </w:pPr>
            <w:r>
              <w:rPr>
                <w:rFonts w:ascii="Arial" w:cs="Arial" w:eastAsia="Arial" w:hAnsi="Arial"/>
                <w:sz w:val="14"/>
                <w:szCs w:val="14"/>
                <w:color w:val="auto"/>
              </w:rPr>
              <w:t xml:space="preserve">Straight-line ground rent expense adjustment </w:t>
            </w:r>
            <w:r>
              <w:rPr>
                <w:rFonts w:ascii="Arial" w:cs="Arial" w:eastAsia="Arial" w:hAnsi="Arial"/>
                <w:sz w:val="18"/>
                <w:szCs w:val="18"/>
                <w:color w:val="auto"/>
                <w:vertAlign w:val="superscript"/>
              </w:rPr>
              <w:t>1</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1"/>
        </w:trPr>
        <w:tc>
          <w:tcPr>
            <w:tcW w:w="8060" w:type="dxa"/>
            <w:vAlign w:val="bottom"/>
          </w:tcPr>
          <w:p>
            <w:pPr>
              <w:ind w:left="480"/>
              <w:spacing w:after="0" w:line="201" w:lineRule="exact"/>
              <w:rPr>
                <w:sz w:val="20"/>
                <w:szCs w:val="20"/>
                <w:color w:val="auto"/>
              </w:rPr>
            </w:pPr>
            <w:r>
              <w:rPr>
                <w:rFonts w:ascii="Arial" w:cs="Arial" w:eastAsia="Arial" w:hAnsi="Arial"/>
                <w:sz w:val="14"/>
                <w:szCs w:val="14"/>
                <w:color w:val="auto"/>
              </w:rPr>
              <w:t xml:space="preserve">Lease transaction costs that qualify as rent inducements </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4,427</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w:t>
            </w:r>
          </w:p>
        </w:tc>
        <w:tc>
          <w:tcPr>
            <w:tcW w:w="0" w:type="dxa"/>
            <w:vAlign w:val="bottom"/>
          </w:tcPr>
          <w:p>
            <w:pPr>
              <w:spacing w:after="0"/>
              <w:rPr>
                <w:sz w:val="1"/>
                <w:szCs w:val="1"/>
                <w:color w:val="auto"/>
              </w:rPr>
            </w:pPr>
          </w:p>
        </w:tc>
      </w:tr>
      <w:tr>
        <w:trPr>
          <w:trHeight w:val="188"/>
        </w:trPr>
        <w:tc>
          <w:tcPr>
            <w:tcW w:w="8060" w:type="dxa"/>
            <w:vAlign w:val="bottom"/>
          </w:tcPr>
          <w:p>
            <w:pPr>
              <w:ind w:left="20"/>
              <w:spacing w:after="0"/>
              <w:rPr>
                <w:sz w:val="20"/>
                <w:szCs w:val="20"/>
                <w:color w:val="auto"/>
              </w:rPr>
            </w:pPr>
            <w:r>
              <w:rPr>
                <w:rFonts w:ascii="Arial" w:cs="Arial" w:eastAsia="Arial" w:hAnsi="Arial"/>
                <w:sz w:val="14"/>
                <w:szCs w:val="14"/>
                <w:color w:val="auto"/>
              </w:rPr>
              <w:t>NOI - cash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491,449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494,229</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60" w:type="dxa"/>
            <w:vAlign w:val="bottom"/>
          </w:tcPr>
          <w:p>
            <w:pPr>
              <w:ind w:left="520"/>
              <w:spacing w:after="0"/>
              <w:rPr>
                <w:sz w:val="20"/>
                <w:szCs w:val="20"/>
                <w:color w:val="auto"/>
              </w:rPr>
            </w:pPr>
            <w:r>
              <w:rPr>
                <w:rFonts w:ascii="Arial" w:cs="Arial" w:eastAsia="Arial" w:hAnsi="Arial"/>
                <w:sz w:val="14"/>
                <w:szCs w:val="14"/>
                <w:color w:val="auto"/>
              </w:rPr>
              <w:t>NOI - cash from non Same Properties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10,276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17,006</w:t>
            </w:r>
          </w:p>
        </w:tc>
        <w:tc>
          <w:tcPr>
            <w:tcW w:w="0" w:type="dxa"/>
            <w:vAlign w:val="bottom"/>
          </w:tcPr>
          <w:p>
            <w:pPr>
              <w:spacing w:after="0"/>
              <w:rPr>
                <w:sz w:val="1"/>
                <w:szCs w:val="1"/>
                <w:color w:val="auto"/>
              </w:rPr>
            </w:pPr>
          </w:p>
        </w:tc>
      </w:tr>
      <w:tr>
        <w:trPr>
          <w:trHeight w:val="194"/>
        </w:trPr>
        <w:tc>
          <w:tcPr>
            <w:tcW w:w="8060" w:type="dxa"/>
            <w:vAlign w:val="bottom"/>
          </w:tcPr>
          <w:p>
            <w:pPr>
              <w:ind w:left="20"/>
              <w:spacing w:after="0"/>
              <w:rPr>
                <w:sz w:val="20"/>
                <w:szCs w:val="20"/>
                <w:color w:val="auto"/>
              </w:rPr>
            </w:pPr>
            <w:r>
              <w:rPr>
                <w:rFonts w:ascii="Arial" w:cs="Arial" w:eastAsia="Arial" w:hAnsi="Arial"/>
                <w:sz w:val="14"/>
                <w:szCs w:val="14"/>
                <w:color w:val="auto"/>
              </w:rPr>
              <w:t>Same Property NOI - cash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481,173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477,223</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60" w:type="dxa"/>
            <w:vAlign w:val="bottom"/>
          </w:tcPr>
          <w:p>
            <w:pPr>
              <w:ind w:left="520"/>
              <w:spacing w:after="0"/>
              <w:rPr>
                <w:sz w:val="20"/>
                <w:szCs w:val="20"/>
                <w:color w:val="auto"/>
              </w:rPr>
            </w:pPr>
            <w:r>
              <w:rPr>
                <w:rFonts w:ascii="Arial" w:cs="Arial" w:eastAsia="Arial" w:hAnsi="Arial"/>
                <w:sz w:val="14"/>
                <w:szCs w:val="14"/>
                <w:color w:val="auto"/>
              </w:rPr>
              <w:t>Partners’ share of NOI - cash from consolidated joint ventures (excluding termination income and after income</w:t>
            </w:r>
          </w:p>
        </w:tc>
        <w:tc>
          <w:tcPr>
            <w:tcW w:w="260" w:type="dxa"/>
            <w:vAlign w:val="bottom"/>
          </w:tcPr>
          <w:p>
            <w:pPr>
              <w:spacing w:after="0"/>
              <w:rPr>
                <w:sz w:val="13"/>
                <w:szCs w:val="13"/>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46,250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45,068</w:t>
            </w:r>
          </w:p>
        </w:tc>
        <w:tc>
          <w:tcPr>
            <w:tcW w:w="0" w:type="dxa"/>
            <w:vAlign w:val="bottom"/>
          </w:tcPr>
          <w:p>
            <w:pPr>
              <w:spacing w:after="0"/>
              <w:rPr>
                <w:sz w:val="1"/>
                <w:szCs w:val="1"/>
                <w:color w:val="auto"/>
              </w:rPr>
            </w:pPr>
          </w:p>
        </w:tc>
      </w:tr>
      <w:tr>
        <w:trPr>
          <w:trHeight w:val="189"/>
        </w:trPr>
        <w:tc>
          <w:tcPr>
            <w:tcW w:w="8060" w:type="dxa"/>
            <w:vAlign w:val="bottom"/>
          </w:tcPr>
          <w:p>
            <w:pPr>
              <w:ind w:left="680"/>
              <w:spacing w:after="0"/>
              <w:rPr>
                <w:sz w:val="20"/>
                <w:szCs w:val="20"/>
                <w:color w:val="auto"/>
              </w:rPr>
            </w:pPr>
            <w:r>
              <w:rPr>
                <w:rFonts w:ascii="Arial" w:cs="Arial" w:eastAsia="Arial" w:hAnsi="Arial"/>
                <w:sz w:val="14"/>
                <w:szCs w:val="14"/>
                <w:color w:val="auto"/>
              </w:rPr>
              <w:t>allocation 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26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60" w:type="dxa"/>
            <w:vAlign w:val="bottom"/>
          </w:tcPr>
          <w:p>
            <w:pPr>
              <w:ind w:left="520"/>
              <w:spacing w:after="0"/>
              <w:rPr>
                <w:sz w:val="20"/>
                <w:szCs w:val="20"/>
                <w:color w:val="auto"/>
              </w:rPr>
            </w:pPr>
            <w:r>
              <w:rPr>
                <w:rFonts w:ascii="Arial" w:cs="Arial" w:eastAsia="Arial" w:hAnsi="Arial"/>
                <w:sz w:val="14"/>
                <w:szCs w:val="14"/>
                <w:color w:val="auto"/>
              </w:rPr>
              <w:t>Partners’ share of NOI - cash from non Same Properties from consolidated joint ventures (excluding termination</w:t>
            </w:r>
          </w:p>
        </w:tc>
        <w:tc>
          <w:tcPr>
            <w:tcW w:w="260" w:type="dxa"/>
            <w:vAlign w:val="bottom"/>
          </w:tcPr>
          <w:p>
            <w:pPr>
              <w:spacing w:after="0"/>
              <w:rPr>
                <w:sz w:val="13"/>
                <w:szCs w:val="13"/>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3,321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60" w:type="dxa"/>
            <w:vAlign w:val="bottom"/>
          </w:tcPr>
          <w:p>
            <w:pPr>
              <w:ind w:left="680"/>
              <w:spacing w:after="0"/>
              <w:rPr>
                <w:sz w:val="20"/>
                <w:szCs w:val="20"/>
                <w:color w:val="auto"/>
              </w:rPr>
            </w:pPr>
            <w:r>
              <w:rPr>
                <w:rFonts w:ascii="Arial" w:cs="Arial" w:eastAsia="Arial" w:hAnsi="Arial"/>
                <w:sz w:val="14"/>
                <w:szCs w:val="14"/>
                <w:color w:val="auto"/>
              </w:rPr>
              <w:t>income and after income allocation 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60" w:type="dxa"/>
            <w:vAlign w:val="bottom"/>
          </w:tcPr>
          <w:p>
            <w:pPr>
              <w:ind w:left="520"/>
              <w:spacing w:after="0"/>
              <w:rPr>
                <w:sz w:val="20"/>
                <w:szCs w:val="20"/>
                <w:color w:val="auto"/>
              </w:rPr>
            </w:pPr>
            <w:r>
              <w:rPr>
                <w:rFonts w:ascii="Arial" w:cs="Arial" w:eastAsia="Arial" w:hAnsi="Arial"/>
                <w:sz w:val="14"/>
                <w:szCs w:val="14"/>
                <w:color w:val="auto"/>
              </w:rPr>
              <w:t>BXP’s share of NOI - cash from unconsolidated joint ventures (excluding termination income)</w:t>
            </w:r>
          </w:p>
        </w:tc>
        <w:tc>
          <w:tcPr>
            <w:tcW w:w="26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27,909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27,473</w:t>
            </w: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60" w:type="dxa"/>
            <w:vAlign w:val="bottom"/>
          </w:tcPr>
          <w:p>
            <w:pPr>
              <w:ind w:left="520"/>
              <w:spacing w:after="0"/>
              <w:rPr>
                <w:sz w:val="20"/>
                <w:szCs w:val="20"/>
                <w:color w:val="auto"/>
              </w:rPr>
            </w:pPr>
            <w:r>
              <w:rPr>
                <w:rFonts w:ascii="Arial" w:cs="Arial" w:eastAsia="Arial" w:hAnsi="Arial"/>
                <w:sz w:val="14"/>
                <w:szCs w:val="14"/>
                <w:color w:val="auto"/>
              </w:rPr>
              <w:t>BXP’s share of NOI - cash from non Same Properties from unconsolidated joint ventures (excluding termination</w:t>
            </w:r>
          </w:p>
        </w:tc>
        <w:tc>
          <w:tcPr>
            <w:tcW w:w="260" w:type="dxa"/>
            <w:vAlign w:val="bottom"/>
          </w:tcPr>
          <w:p>
            <w:pPr>
              <w:spacing w:after="0"/>
              <w:rPr>
                <w:sz w:val="13"/>
                <w:szCs w:val="13"/>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color w:val="auto"/>
              </w:rPr>
              <w:t>(1,774)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5"/>
        </w:trPr>
        <w:tc>
          <w:tcPr>
            <w:tcW w:w="8060" w:type="dxa"/>
            <w:vAlign w:val="bottom"/>
          </w:tcPr>
          <w:p>
            <w:pPr>
              <w:ind w:left="680"/>
              <w:spacing w:after="0"/>
              <w:rPr>
                <w:sz w:val="20"/>
                <w:szCs w:val="20"/>
                <w:color w:val="auto"/>
              </w:rPr>
            </w:pPr>
            <w:r>
              <w:rPr>
                <w:rFonts w:ascii="Arial" w:cs="Arial" w:eastAsia="Arial" w:hAnsi="Arial"/>
                <w:sz w:val="14"/>
                <w:szCs w:val="14"/>
                <w:color w:val="auto"/>
              </w:rPr>
              <w:t>income)</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60" w:type="dxa"/>
            <w:vAlign w:val="bottom"/>
          </w:tcPr>
          <w:p>
            <w:pPr>
              <w:ind w:left="20"/>
              <w:spacing w:after="0"/>
              <w:rPr>
                <w:sz w:val="20"/>
                <w:szCs w:val="20"/>
                <w:color w:val="auto"/>
              </w:rPr>
            </w:pPr>
            <w:r>
              <w:rPr>
                <w:rFonts w:ascii="Arial" w:cs="Arial" w:eastAsia="Arial" w:hAnsi="Arial"/>
                <w:sz w:val="14"/>
                <w:szCs w:val="14"/>
                <w:color w:val="auto"/>
              </w:rPr>
              <w:t>BXP’s Share of Same Property NOI - cash (excluding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467,927</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459,928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8060" w:type="dxa"/>
            <w:vAlign w:val="bottom"/>
          </w:tcPr>
          <w:p>
            <w:pPr>
              <w:ind w:left="20"/>
              <w:spacing w:after="0"/>
              <w:rPr>
                <w:sz w:val="20"/>
                <w:szCs w:val="20"/>
                <w:color w:val="auto"/>
              </w:rPr>
            </w:pPr>
            <w:r>
              <w:rPr>
                <w:rFonts w:ascii="Arial" w:cs="Arial" w:eastAsia="Arial" w:hAnsi="Arial"/>
                <w:sz w:val="14"/>
                <w:szCs w:val="14"/>
                <w:color w:val="auto"/>
              </w:rPr>
              <w:t>Change in BXP’s Share of Same Property NOI - cash (excluding termination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7,999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Change in BXP’s Share of Same Property NOI - cash (excluding termination income)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-7080250</wp:posOffset>
            </wp:positionV>
            <wp:extent cx="25717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42" w:lineRule="exact"/>
        <w:rPr>
          <w:sz w:val="20"/>
          <w:szCs w:val="20"/>
          <w:color w:val="auto"/>
        </w:rPr>
      </w:pPr>
    </w:p>
    <w:p>
      <w:pPr>
        <w:ind w:left="80" w:right="20" w:hanging="72"/>
        <w:spacing w:after="0" w:line="253" w:lineRule="auto"/>
        <w:tabs>
          <w:tab w:leader="none" w:pos="78" w:val="left"/>
        </w:tabs>
        <w:numPr>
          <w:ilvl w:val="0"/>
          <w:numId w:val="129"/>
        </w:numPr>
        <w:rPr>
          <w:rFonts w:ascii="Arial" w:cs="Arial" w:eastAsia="Arial" w:hAnsi="Arial"/>
          <w:sz w:val="18"/>
          <w:szCs w:val="18"/>
          <w:color w:val="auto"/>
          <w:vertAlign w:val="superscript"/>
        </w:rPr>
      </w:pPr>
      <w:r>
        <w:rPr>
          <w:rFonts w:ascii="Arial" w:cs="Arial" w:eastAsia="Arial" w:hAnsi="Arial"/>
          <w:sz w:val="14"/>
          <w:szCs w:val="14"/>
          <w:color w:val="auto"/>
        </w:rPr>
        <w:t>In light of the front-ended, uneven rental payments required by the Company’s 99-year ground and air rights lease for the 100 Clarendon Street garage and Back Bay Transit Station in Boston, MA, and to make period-to-period comparisons more meaningful to investors, the adjustment does not include the straight-line impact of approximately $(83) and $4 for the three months ended June 30, 2025 and 2024, respectively. As of June 30, 2025, the Company has remaining lease payments aggregating approximately $30.6 million, all of which it expects to incur by the end of 2027 with no payments thereafter. Under GAAP, the Company recognizes expense of $(111) per quarter on a straight-line basis over the term of the lease. However, unlike more traditional ground and air rights leases, the timing and amounts of the rental payments by the Company correlate to the uneven timing and funding by the Company of capital expenditures related to improvements at Back Bay Transit Station. As a result, the amounts excluded from the adjustment each quarter through 2027 may vary significantly.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80" w:type="dxa"/>
            <w:vAlign w:val="bottom"/>
          </w:tcPr>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Consists of lease transaction costs that qualify as rent inducements in accordance with GAAP.</w:t>
            </w:r>
          </w:p>
        </w:tc>
        <w:tc>
          <w:tcPr>
            <w:tcW w:w="2660" w:type="dxa"/>
            <w:vAlign w:val="bottom"/>
          </w:tcPr>
          <w:p>
            <w:pPr>
              <w:jc w:val="right"/>
              <w:spacing w:after="0"/>
              <w:rPr>
                <w:sz w:val="20"/>
                <w:szCs w:val="20"/>
                <w:color w:val="auto"/>
              </w:rPr>
            </w:pPr>
            <w:r>
              <w:rPr>
                <w:rFonts w:ascii="Arial" w:cs="Arial" w:eastAsia="Arial" w:hAnsi="Arial"/>
                <w:sz w:val="14"/>
                <w:szCs w:val="14"/>
                <w:color w:val="auto"/>
              </w:rPr>
              <w:t>67</w:t>
            </w:r>
          </w:p>
        </w:tc>
      </w:tr>
    </w:tbl>
    <w:p>
      <w:pPr>
        <w:sectPr>
          <w:pgSz w:w="11900" w:h="16838" w:orient="portrait"/>
          <w:cols w:equalWidth="0" w:num="1">
            <w:col w:w="11240"/>
          </w:cols>
          <w:pgMar w:left="320" w:top="265" w:right="339" w:bottom="1440" w:gutter="0" w:footer="0" w:header="0"/>
        </w:sectPr>
      </w:pPr>
    </w:p>
    <w:bookmarkStart w:id="75" w:name="page76"/>
    <w:bookmarkEnd w:id="75"/>
    <w:p>
      <w:pPr>
        <w:jc w:val="right"/>
        <w:ind w:right="20"/>
        <w:spacing w:after="0"/>
        <w:rPr>
          <w:sz w:val="20"/>
          <w:szCs w:val="20"/>
          <w:color w:val="auto"/>
        </w:rPr>
      </w:pPr>
      <w:r>
        <w:rPr>
          <w:rFonts w:ascii="Arial" w:cs="Arial" w:eastAsia="Arial" w:hAnsi="Arial"/>
          <w:sz w:val="14"/>
          <w:szCs w:val="14"/>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Income Statement -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20"/>
                <w:szCs w:val="20"/>
                <w:color w:val="auto"/>
              </w:rPr>
            </w:pPr>
            <w:r>
              <w:rPr>
                <w:rFonts w:ascii="Arial" w:cs="Arial" w:eastAsia="Arial" w:hAnsi="Arial"/>
                <w:sz w:val="14"/>
                <w:szCs w:val="14"/>
                <w:color w:val="auto"/>
              </w:rPr>
              <w:t>(unaudited and in thousands, except per share amounts)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30-Sep-24</w:t>
            </w:r>
          </w:p>
        </w:tc>
        <w:tc>
          <w:tcPr>
            <w:tcW w:w="340" w:type="dxa"/>
            <w:vAlign w:val="bottom"/>
          </w:tcPr>
          <w:p>
            <w:pPr>
              <w:spacing w:after="0"/>
              <w:rPr>
                <w:sz w:val="16"/>
                <w:szCs w:val="16"/>
                <w:color w:val="auto"/>
              </w:rPr>
            </w:pP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30-Jun-24</w:t>
            </w:r>
          </w:p>
        </w:tc>
        <w:tc>
          <w:tcPr>
            <w:tcW w:w="0" w:type="dxa"/>
            <w:vAlign w:val="bottom"/>
          </w:tcPr>
          <w:p>
            <w:pPr>
              <w:spacing w:after="0"/>
              <w:rPr>
                <w:sz w:val="1"/>
                <w:szCs w:val="1"/>
                <w:color w:val="auto"/>
              </w:rPr>
            </w:pPr>
          </w:p>
        </w:tc>
      </w:tr>
      <w:tr>
        <w:trPr>
          <w:trHeight w:val="177"/>
        </w:trPr>
        <w:tc>
          <w:tcPr>
            <w:tcW w:w="7400" w:type="dxa"/>
            <w:vAlign w:val="bottom"/>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Lease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799,471</w:t>
            </w:r>
          </w:p>
        </w:tc>
        <w:tc>
          <w:tcPr>
            <w:tcW w:w="2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790,555</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Parking and other</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34,255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33,890</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Insurance proceeds</w:t>
            </w:r>
          </w:p>
        </w:tc>
        <w:tc>
          <w:tcPr>
            <w:tcW w:w="34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Hotel revenue</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15,082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14,812</w:t>
            </w:r>
          </w:p>
        </w:tc>
        <w:tc>
          <w:tcPr>
            <w:tcW w:w="0" w:type="dxa"/>
            <w:vAlign w:val="bottom"/>
          </w:tcPr>
          <w:p>
            <w:pPr>
              <w:spacing w:after="0"/>
              <w:rPr>
                <w:sz w:val="1"/>
                <w:szCs w:val="1"/>
                <w:color w:val="auto"/>
              </w:rPr>
            </w:pPr>
          </w:p>
        </w:tc>
      </w:tr>
      <w:tr>
        <w:trPr>
          <w:trHeight w:val="202"/>
        </w:trPr>
        <w:tc>
          <w:tcPr>
            <w:tcW w:w="7400" w:type="dxa"/>
            <w:vAlign w:val="bottom"/>
          </w:tcPr>
          <w:p>
            <w:pPr>
              <w:ind w:left="260"/>
              <w:spacing w:after="0"/>
              <w:rPr>
                <w:sz w:val="20"/>
                <w:szCs w:val="20"/>
                <w:color w:val="auto"/>
              </w:rPr>
            </w:pPr>
            <w:r>
              <w:rPr>
                <w:rFonts w:ascii="Arial" w:cs="Arial" w:eastAsia="Arial" w:hAnsi="Arial"/>
                <w:sz w:val="14"/>
                <w:szCs w:val="14"/>
                <w:color w:val="auto"/>
              </w:rPr>
              <w:t>Development and management services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6,770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204"/>
        </w:trPr>
        <w:tc>
          <w:tcPr>
            <w:tcW w:w="7400" w:type="dxa"/>
            <w:vAlign w:val="bottom"/>
          </w:tcPr>
          <w:p>
            <w:pPr>
              <w:ind w:left="26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196"/>
        </w:trPr>
        <w:tc>
          <w:tcPr>
            <w:tcW w:w="7400" w:type="dxa"/>
            <w:vAlign w:val="bottom"/>
          </w:tcPr>
          <w:p>
            <w:pPr>
              <w:ind w:left="1080"/>
              <w:spacing w:after="0"/>
              <w:rPr>
                <w:sz w:val="20"/>
                <w:szCs w:val="20"/>
                <w:color w:val="auto"/>
              </w:rPr>
            </w:pPr>
            <w:r>
              <w:rPr>
                <w:rFonts w:ascii="Arial" w:cs="Arial" w:eastAsia="Arial" w:hAnsi="Arial"/>
                <w:sz w:val="14"/>
                <w:szCs w:val="14"/>
                <w:color w:val="auto"/>
              </w:rPr>
              <w:t>Total revenue</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859,227</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850,482</w:t>
            </w:r>
          </w:p>
        </w:tc>
        <w:tc>
          <w:tcPr>
            <w:tcW w:w="0" w:type="dxa"/>
            <w:vAlign w:val="bottom"/>
          </w:tcPr>
          <w:p>
            <w:pPr>
              <w:spacing w:after="0"/>
              <w:rPr>
                <w:sz w:val="1"/>
                <w:szCs w:val="1"/>
                <w:color w:val="auto"/>
              </w:rPr>
            </w:pPr>
          </w:p>
        </w:tc>
      </w:tr>
      <w:tr>
        <w:trPr>
          <w:trHeight w:val="181"/>
        </w:trPr>
        <w:tc>
          <w:tcPr>
            <w:tcW w:w="7400" w:type="dxa"/>
            <w:vAlign w:val="bottom"/>
          </w:tcPr>
          <w:p>
            <w:pPr>
              <w:ind w:left="20"/>
              <w:spacing w:after="0"/>
              <w:rPr>
                <w:sz w:val="20"/>
                <w:szCs w:val="20"/>
                <w:color w:val="auto"/>
              </w:rPr>
            </w:pPr>
            <w:r>
              <w:rPr>
                <w:rFonts w:ascii="Arial" w:cs="Arial" w:eastAsia="Arial" w:hAnsi="Arial"/>
                <w:sz w:val="14"/>
                <w:szCs w:val="14"/>
                <w:color w:val="auto"/>
              </w:rPr>
              <w:t>Expenses</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Operating</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178,834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175,545</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Real estate taxes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148,809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144,994</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Restoration expenses related to insurance claims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Hotel operating</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9,833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9,839</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33,352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44,109</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Payroll and related costs from management services contracts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3,649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Transaction costs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4"/>
        </w:trPr>
        <w:tc>
          <w:tcPr>
            <w:tcW w:w="74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222,890</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219,542</w:t>
            </w:r>
          </w:p>
        </w:tc>
        <w:tc>
          <w:tcPr>
            <w:tcW w:w="0" w:type="dxa"/>
            <w:vAlign w:val="bottom"/>
          </w:tcPr>
          <w:p>
            <w:pPr>
              <w:spacing w:after="0"/>
              <w:rPr>
                <w:sz w:val="1"/>
                <w:szCs w:val="1"/>
                <w:color w:val="auto"/>
              </w:rPr>
            </w:pPr>
          </w:p>
        </w:tc>
      </w:tr>
      <w:tr>
        <w:trPr>
          <w:trHeight w:val="196"/>
        </w:trPr>
        <w:tc>
          <w:tcPr>
            <w:tcW w:w="7400" w:type="dxa"/>
            <w:vAlign w:val="bottom"/>
          </w:tcPr>
          <w:p>
            <w:pPr>
              <w:ind w:left="1080"/>
              <w:spacing w:after="0"/>
              <w:rPr>
                <w:sz w:val="20"/>
                <w:szCs w:val="20"/>
                <w:color w:val="auto"/>
              </w:rPr>
            </w:pPr>
            <w:r>
              <w:rPr>
                <w:rFonts w:ascii="Arial" w:cs="Arial" w:eastAsia="Arial" w:hAnsi="Arial"/>
                <w:sz w:val="14"/>
                <w:szCs w:val="14"/>
                <w:color w:val="auto"/>
              </w:rPr>
              <w:t>Total expenses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597,809</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599,253</w:t>
            </w:r>
          </w:p>
        </w:tc>
        <w:tc>
          <w:tcPr>
            <w:tcW w:w="0" w:type="dxa"/>
            <w:vAlign w:val="bottom"/>
          </w:tcPr>
          <w:p>
            <w:pPr>
              <w:spacing w:after="0"/>
              <w:rPr>
                <w:sz w:val="1"/>
                <w:szCs w:val="1"/>
                <w:color w:val="auto"/>
              </w:rPr>
            </w:pPr>
          </w:p>
        </w:tc>
      </w:tr>
      <w:tr>
        <w:trPr>
          <w:trHeight w:val="181"/>
        </w:trPr>
        <w:tc>
          <w:tcPr>
            <w:tcW w:w="74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Loss from unconsolidated joint ventures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(7,011)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(5,799)</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Gain on sale of real estate</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Gains from investments in securities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2,198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Unrealized gain on non-real estate investments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2"/>
        </w:trPr>
        <w:tc>
          <w:tcPr>
            <w:tcW w:w="7400" w:type="dxa"/>
            <w:vAlign w:val="bottom"/>
          </w:tcPr>
          <w:p>
            <w:pPr>
              <w:ind w:left="260"/>
              <w:spacing w:after="0"/>
              <w:rPr>
                <w:sz w:val="20"/>
                <w:szCs w:val="20"/>
                <w:color w:val="auto"/>
              </w:rPr>
            </w:pPr>
            <w:r>
              <w:rPr>
                <w:rFonts w:ascii="Arial" w:cs="Arial" w:eastAsia="Arial" w:hAnsi="Arial"/>
                <w:sz w:val="14"/>
                <w:szCs w:val="14"/>
                <w:color w:val="auto"/>
              </w:rPr>
              <w:t>Interest and other income (loss)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14,430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10,788</w:t>
            </w:r>
          </w:p>
        </w:tc>
        <w:tc>
          <w:tcPr>
            <w:tcW w:w="0" w:type="dxa"/>
            <w:vAlign w:val="bottom"/>
          </w:tcPr>
          <w:p>
            <w:pPr>
              <w:spacing w:after="0"/>
              <w:rPr>
                <w:sz w:val="1"/>
                <w:szCs w:val="1"/>
                <w:color w:val="auto"/>
              </w:rPr>
            </w:pPr>
          </w:p>
        </w:tc>
      </w:tr>
      <w:tr>
        <w:trPr>
          <w:trHeight w:val="204"/>
        </w:trPr>
        <w:tc>
          <w:tcPr>
            <w:tcW w:w="740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(163,194)</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(149,642)</w:t>
            </w:r>
          </w:p>
        </w:tc>
        <w:tc>
          <w:tcPr>
            <w:tcW w:w="0" w:type="dxa"/>
            <w:vAlign w:val="bottom"/>
          </w:tcPr>
          <w:p>
            <w:pPr>
              <w:spacing w:after="0"/>
              <w:rPr>
                <w:sz w:val="1"/>
                <w:szCs w:val="1"/>
                <w:color w:val="auto"/>
              </w:rPr>
            </w:pPr>
          </w:p>
        </w:tc>
      </w:tr>
      <w:tr>
        <w:trPr>
          <w:trHeight w:val="194"/>
        </w:trPr>
        <w:tc>
          <w:tcPr>
            <w:tcW w:w="7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108,452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106,949</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(15,237)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(17,825)</w:t>
            </w:r>
          </w:p>
        </w:tc>
        <w:tc>
          <w:tcPr>
            <w:tcW w:w="0" w:type="dxa"/>
            <w:vAlign w:val="bottom"/>
          </w:tcPr>
          <w:p>
            <w:pPr>
              <w:spacing w:after="0"/>
              <w:rPr>
                <w:sz w:val="1"/>
                <w:szCs w:val="1"/>
                <w:color w:val="auto"/>
              </w:rPr>
            </w:pPr>
          </w:p>
        </w:tc>
      </w:tr>
      <w:tr>
        <w:trPr>
          <w:trHeight w:val="207"/>
        </w:trPr>
        <w:tc>
          <w:tcPr>
            <w:tcW w:w="740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(9,587)</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(9,509)</w:t>
            </w:r>
          </w:p>
        </w:tc>
        <w:tc>
          <w:tcPr>
            <w:tcW w:w="0" w:type="dxa"/>
            <w:vAlign w:val="bottom"/>
          </w:tcPr>
          <w:p>
            <w:pPr>
              <w:spacing w:after="0"/>
              <w:rPr>
                <w:sz w:val="1"/>
                <w:szCs w:val="1"/>
                <w:color w:val="auto"/>
              </w:rPr>
            </w:pPr>
          </w:p>
        </w:tc>
      </w:tr>
      <w:tr>
        <w:trPr>
          <w:trHeight w:val="200"/>
        </w:trPr>
        <w:tc>
          <w:tcPr>
            <w:tcW w:w="740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83,628</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79,615</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PER SHARE OF COMMON STOCK (EPS)</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74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00" w:type="dxa"/>
            <w:vAlign w:val="bottom"/>
          </w:tcPr>
          <w:p>
            <w:pPr>
              <w:ind w:left="20"/>
              <w:spacing w:after="0"/>
              <w:rPr>
                <w:sz w:val="20"/>
                <w:szCs w:val="20"/>
                <w:color w:val="auto"/>
              </w:rPr>
            </w:pPr>
            <w:r>
              <w:rPr>
                <w:rFonts w:ascii="Arial" w:cs="Arial" w:eastAsia="Arial" w:hAnsi="Arial"/>
                <w:sz w:val="14"/>
                <w:szCs w:val="14"/>
                <w:color w:val="auto"/>
              </w:rPr>
              <w:t>Net income attributable to BXP, Inc. per share - basic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4"/>
                <w:szCs w:val="14"/>
                <w:color w:val="auto"/>
              </w:rPr>
              <w:t>Net income attributable to BXP, Inc. per share - diluted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40"/>
          </w:cols>
          <w:pgMar w:left="320" w:top="26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59765" cy="4286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97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340" w:right="280"/>
        <w:spacing w:after="0" w:line="281" w:lineRule="auto"/>
        <w:rPr>
          <w:sz w:val="20"/>
          <w:szCs w:val="20"/>
          <w:color w:val="auto"/>
        </w:rPr>
      </w:pPr>
      <w:r>
        <w:rPr>
          <w:rFonts w:ascii="Arial" w:cs="Arial" w:eastAsia="Arial" w:hAnsi="Arial"/>
          <w:sz w:val="22"/>
          <w:szCs w:val="22"/>
          <w:b w:val="1"/>
          <w:bCs w:val="1"/>
          <w:color w:val="6D6D6D"/>
        </w:rPr>
        <w:t>BXP ANNOUNCES THIRD QUARTER 2025 RESULTS Signed Leases for More Than 1.5 Million Square Feet in Q3 and Issued $1 Billion in 2.00% Exchangeable Notes Due 2030</w:t>
      </w:r>
    </w:p>
    <w:p>
      <w:pPr>
        <w:spacing w:after="0" w:line="200" w:lineRule="exact"/>
        <w:rPr>
          <w:sz w:val="20"/>
          <w:szCs w:val="20"/>
          <w:color w:val="auto"/>
        </w:rPr>
      </w:pPr>
    </w:p>
    <w:p>
      <w:pPr>
        <w:spacing w:after="0" w:line="234"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b w:val="1"/>
          <w:bCs w:val="1"/>
          <w:color w:val="6D6D6D"/>
        </w:rPr>
        <w:t xml:space="preserve">BOSTON, MA, October 28, 2025 - </w:t>
      </w:r>
      <w:r>
        <w:rPr>
          <w:rFonts w:ascii="Arial" w:cs="Arial" w:eastAsia="Arial" w:hAnsi="Arial"/>
          <w:sz w:val="22"/>
          <w:szCs w:val="22"/>
          <w:b w:val="1"/>
          <w:bCs w:val="1"/>
          <w:u w:val="single" w:color="auto"/>
          <w:color w:val="6D6D6D"/>
        </w:rPr>
        <w:t>BXP, Inc.</w:t>
      </w:r>
      <w:r>
        <w:rPr>
          <w:rFonts w:ascii="Arial" w:cs="Arial" w:eastAsia="Arial" w:hAnsi="Arial"/>
          <w:sz w:val="22"/>
          <w:szCs w:val="22"/>
          <w:b w:val="1"/>
          <w:bCs w:val="1"/>
          <w:color w:val="6D6D6D"/>
        </w:rPr>
        <w:t xml:space="preserve"> (NYSE: BXP)</w:t>
      </w:r>
      <w:r>
        <w:rPr>
          <w:rFonts w:ascii="Arial" w:cs="Arial" w:eastAsia="Arial" w:hAnsi="Arial"/>
          <w:sz w:val="22"/>
          <w:szCs w:val="22"/>
          <w:color w:val="6D6D6D"/>
        </w:rPr>
        <w:t>, the largest publicly traded developer, owner, and</w:t>
      </w:r>
      <w:r>
        <w:rPr>
          <w:rFonts w:ascii="Arial" w:cs="Arial" w:eastAsia="Arial" w:hAnsi="Arial"/>
          <w:sz w:val="22"/>
          <w:szCs w:val="22"/>
          <w:b w:val="1"/>
          <w:bCs w:val="1"/>
          <w:color w:val="6D6D6D"/>
        </w:rPr>
        <w:t xml:space="preserve"> </w:t>
      </w:r>
      <w:r>
        <w:rPr>
          <w:rFonts w:ascii="Arial" w:cs="Arial" w:eastAsia="Arial" w:hAnsi="Arial"/>
          <w:sz w:val="22"/>
          <w:szCs w:val="22"/>
          <w:color w:val="6D6D6D"/>
        </w:rPr>
        <w:t>manager of premier workplaces in the United States, reported results today for the third quarter ended September 30, 2025.</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Financial Highlights</w:t>
      </w:r>
    </w:p>
    <w:p>
      <w:pPr>
        <w:spacing w:after="0" w:line="235" w:lineRule="exact"/>
        <w:rPr>
          <w:sz w:val="20"/>
          <w:szCs w:val="20"/>
          <w:color w:val="auto"/>
        </w:rPr>
      </w:pPr>
    </w:p>
    <w:p>
      <w:pPr>
        <w:ind w:left="340" w:right="60" w:hanging="332"/>
        <w:spacing w:after="0" w:line="259" w:lineRule="auto"/>
        <w:tabs>
          <w:tab w:leader="none" w:pos="335" w:val="left"/>
        </w:tabs>
        <w:numPr>
          <w:ilvl w:val="0"/>
          <w:numId w:val="130"/>
        </w:numPr>
        <w:rPr>
          <w:rFonts w:ascii="Arial" w:cs="Arial" w:eastAsia="Arial" w:hAnsi="Arial"/>
          <w:sz w:val="22"/>
          <w:szCs w:val="22"/>
          <w:color w:val="6D6D6D"/>
        </w:rPr>
      </w:pPr>
      <w:r>
        <w:rPr>
          <w:rFonts w:ascii="Arial" w:cs="Arial" w:eastAsia="Arial" w:hAnsi="Arial"/>
          <w:sz w:val="22"/>
          <w:szCs w:val="22"/>
          <w:color w:val="6D6D6D"/>
        </w:rPr>
        <w:t>Revenue increased 1.4% to $871.5 million for the quarter ended September 30, 2025, compared to $859.2 million for the quarter ended September 30, 2024.</w:t>
      </w:r>
    </w:p>
    <w:p>
      <w:pPr>
        <w:spacing w:after="0" w:line="183" w:lineRule="exact"/>
        <w:rPr>
          <w:rFonts w:ascii="Arial" w:cs="Arial" w:eastAsia="Arial" w:hAnsi="Arial"/>
          <w:sz w:val="22"/>
          <w:szCs w:val="22"/>
          <w:color w:val="6D6D6D"/>
        </w:rPr>
      </w:pPr>
    </w:p>
    <w:p>
      <w:pPr>
        <w:ind w:left="340" w:right="320" w:hanging="332"/>
        <w:spacing w:after="0" w:line="232" w:lineRule="auto"/>
        <w:tabs>
          <w:tab w:leader="none" w:pos="335" w:val="left"/>
        </w:tabs>
        <w:numPr>
          <w:ilvl w:val="0"/>
          <w:numId w:val="130"/>
        </w:numPr>
        <w:rPr>
          <w:rFonts w:ascii="Arial" w:cs="Arial" w:eastAsia="Arial" w:hAnsi="Arial"/>
          <w:sz w:val="22"/>
          <w:szCs w:val="22"/>
          <w:color w:val="6D6D6D"/>
        </w:rPr>
      </w:pPr>
      <w:r>
        <w:rPr>
          <w:rFonts w:ascii="Arial" w:cs="Arial" w:eastAsia="Arial" w:hAnsi="Arial"/>
          <w:sz w:val="22"/>
          <w:szCs w:val="22"/>
          <w:color w:val="6D6D6D"/>
        </w:rPr>
        <w:t>Net income (loss) attributable to BXP, Inc. of $(121.7) million, or $(0.77) per diluted share (EPS), for the quarter ended September 30, 2025, compared to $83.6 million, or $0.53 per diluted share, for the quarter ended September 30, 2024.</w:t>
      </w:r>
    </w:p>
    <w:p>
      <w:pPr>
        <w:spacing w:after="0" w:line="1" w:lineRule="exact"/>
        <w:rPr>
          <w:rFonts w:ascii="Arial" w:cs="Arial" w:eastAsia="Arial" w:hAnsi="Arial"/>
          <w:sz w:val="22"/>
          <w:szCs w:val="22"/>
          <w:color w:val="6D6D6D"/>
        </w:rPr>
      </w:pPr>
    </w:p>
    <w:p>
      <w:pPr>
        <w:ind w:left="980" w:right="120" w:hanging="324"/>
        <w:spacing w:after="0" w:line="263" w:lineRule="auto"/>
        <w:tabs>
          <w:tab w:leader="none" w:pos="976" w:val="left"/>
        </w:tabs>
        <w:numPr>
          <w:ilvl w:val="1"/>
          <w:numId w:val="130"/>
        </w:numPr>
        <w:rPr>
          <w:rFonts w:ascii="Arial" w:cs="Arial" w:eastAsia="Arial" w:hAnsi="Arial"/>
          <w:sz w:val="21"/>
          <w:szCs w:val="21"/>
          <w:color w:val="6D6D6D"/>
        </w:rPr>
      </w:pPr>
      <w:r>
        <w:rPr>
          <w:rFonts w:ascii="Arial" w:cs="Arial" w:eastAsia="Arial" w:hAnsi="Arial"/>
          <w:sz w:val="21"/>
          <w:szCs w:val="21"/>
          <w:color w:val="6D6D6D"/>
        </w:rPr>
        <w:t>EPS for the third quarter fell short of the mid-point of guidance by $1.19 per diluted share primarily due to non-cash impairment charges totaling $1.22 per diluted share related to our strategic asset sales program.</w:t>
      </w:r>
    </w:p>
    <w:p>
      <w:pPr>
        <w:spacing w:after="0" w:line="179" w:lineRule="exact"/>
        <w:rPr>
          <w:rFonts w:ascii="Arial" w:cs="Arial" w:eastAsia="Arial" w:hAnsi="Arial"/>
          <w:sz w:val="21"/>
          <w:szCs w:val="21"/>
          <w:color w:val="6D6D6D"/>
        </w:rPr>
      </w:pPr>
    </w:p>
    <w:p>
      <w:pPr>
        <w:jc w:val="both"/>
        <w:ind w:left="340" w:right="180" w:hanging="332"/>
        <w:spacing w:after="0" w:line="251" w:lineRule="auto"/>
        <w:tabs>
          <w:tab w:leader="none" w:pos="335" w:val="left"/>
        </w:tabs>
        <w:numPr>
          <w:ilvl w:val="0"/>
          <w:numId w:val="130"/>
        </w:numPr>
        <w:rPr>
          <w:rFonts w:ascii="Arial" w:cs="Arial" w:eastAsia="Arial" w:hAnsi="Arial"/>
          <w:sz w:val="21"/>
          <w:szCs w:val="21"/>
          <w:color w:val="6D6D6D"/>
        </w:rPr>
      </w:pPr>
      <w:r>
        <w:rPr>
          <w:rFonts w:ascii="Arial" w:cs="Arial" w:eastAsia="Arial" w:hAnsi="Arial"/>
          <w:sz w:val="21"/>
          <w:szCs w:val="21"/>
          <w:color w:val="6D6D6D"/>
        </w:rPr>
        <w:t>Funds from Operations (FFO) of $276.7 million, or $1.74 per diluted share, for the quarter ended September 30, 2025, compared to FFO of $286.9 million, or $1.81 per diluted share, for the quarter ended September 30, 2024.</w:t>
      </w:r>
    </w:p>
    <w:p>
      <w:pPr>
        <w:ind w:left="980" w:right="1500" w:hanging="324"/>
        <w:spacing w:after="0"/>
        <w:tabs>
          <w:tab w:leader="none" w:pos="976" w:val="left"/>
        </w:tabs>
        <w:numPr>
          <w:ilvl w:val="1"/>
          <w:numId w:val="130"/>
        </w:numPr>
        <w:rPr>
          <w:rFonts w:ascii="Arial" w:cs="Arial" w:eastAsia="Arial" w:hAnsi="Arial"/>
          <w:sz w:val="22"/>
          <w:szCs w:val="22"/>
          <w:color w:val="6D6D6D"/>
        </w:rPr>
      </w:pPr>
      <w:r>
        <w:rPr>
          <w:rFonts w:ascii="Arial" w:cs="Arial" w:eastAsia="Arial" w:hAnsi="Arial"/>
          <w:sz w:val="22"/>
          <w:szCs w:val="22"/>
          <w:color w:val="6D6D6D"/>
        </w:rPr>
        <w:t>FFO exceeded the midpoint of guidance by $0.04 per diluted share primarily due to portfolio outperformance.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Guidance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6D6D6D"/>
        </w:rPr>
        <w:t>BXP provided updated guidance for full year 2025 EPS of $0.99 - $1.02 and FFO of $6.89 - $6.92 per diluted share.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6D6D6D"/>
        </w:rPr>
        <w:t>See “EPS and FFO per Share Guidance” below.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Leasing &amp; Occupancy</w:t>
      </w:r>
    </w:p>
    <w:p>
      <w:pPr>
        <w:spacing w:after="0" w:line="100" w:lineRule="exact"/>
        <w:rPr>
          <w:sz w:val="20"/>
          <w:szCs w:val="20"/>
          <w:color w:val="auto"/>
        </w:rPr>
      </w:pPr>
    </w:p>
    <w:p>
      <w:pPr>
        <w:jc w:val="both"/>
        <w:ind w:left="340" w:right="220" w:hanging="332"/>
        <w:spacing w:after="0" w:line="239" w:lineRule="auto"/>
        <w:tabs>
          <w:tab w:leader="none" w:pos="335" w:val="left"/>
        </w:tabs>
        <w:numPr>
          <w:ilvl w:val="0"/>
          <w:numId w:val="131"/>
        </w:numPr>
        <w:rPr>
          <w:rFonts w:ascii="Arial" w:cs="Arial" w:eastAsia="Arial" w:hAnsi="Arial"/>
          <w:sz w:val="22"/>
          <w:szCs w:val="22"/>
          <w:color w:val="6D6D6D"/>
        </w:rPr>
      </w:pPr>
      <w:r>
        <w:rPr>
          <w:rFonts w:ascii="Arial" w:cs="Arial" w:eastAsia="Arial" w:hAnsi="Arial"/>
          <w:sz w:val="22"/>
          <w:szCs w:val="22"/>
          <w:color w:val="6D6D6D"/>
        </w:rPr>
        <w:t>Executed 79 leases in the third quarter totaling more than 1.5 million square feet with a weighted-average lease term of 7.9 years. This leasing volume represents BXP’s strongest third quarter since 2019, and a 38% increase from the third quarter of 2024.</w:t>
      </w:r>
    </w:p>
    <w:p>
      <w:pPr>
        <w:spacing w:after="0" w:line="202" w:lineRule="exact"/>
        <w:rPr>
          <w:rFonts w:ascii="Arial" w:cs="Arial" w:eastAsia="Arial" w:hAnsi="Arial"/>
          <w:sz w:val="22"/>
          <w:szCs w:val="22"/>
          <w:color w:val="6D6D6D"/>
        </w:rPr>
      </w:pPr>
    </w:p>
    <w:p>
      <w:pPr>
        <w:ind w:left="340" w:right="280" w:hanging="332"/>
        <w:spacing w:after="0" w:line="238" w:lineRule="auto"/>
        <w:tabs>
          <w:tab w:leader="none" w:pos="335" w:val="left"/>
        </w:tabs>
        <w:numPr>
          <w:ilvl w:val="0"/>
          <w:numId w:val="131"/>
        </w:numPr>
        <w:rPr>
          <w:rFonts w:ascii="Arial" w:cs="Arial" w:eastAsia="Arial" w:hAnsi="Arial"/>
          <w:sz w:val="22"/>
          <w:szCs w:val="22"/>
          <w:color w:val="6D6D6D"/>
        </w:rPr>
      </w:pPr>
      <w:r>
        <w:rPr>
          <w:rFonts w:ascii="Arial" w:cs="Arial" w:eastAsia="Arial" w:hAnsi="Arial"/>
          <w:sz w:val="22"/>
          <w:szCs w:val="22"/>
          <w:color w:val="6D6D6D"/>
        </w:rPr>
        <w:t>BXP’s CBD portfolio of premier workplaces was 89.3% occupied and 92.0% leased (including vacant space for which we have signed leases that have not yet commenced in accordance with GAAP) for the third quarter. Approximately 89.0% of BXP’s Share of annualized rental obligations is derived from clients located in our CBD portfolio, underscoring the strength of BXP’s strategy to invest in the highest quality buildings in dynamic urban gateway markets.</w:t>
      </w:r>
    </w:p>
    <w:p>
      <w:pPr>
        <w:spacing w:after="0" w:line="203" w:lineRule="exact"/>
        <w:rPr>
          <w:rFonts w:ascii="Arial" w:cs="Arial" w:eastAsia="Arial" w:hAnsi="Arial"/>
          <w:sz w:val="22"/>
          <w:szCs w:val="22"/>
          <w:color w:val="6D6D6D"/>
        </w:rPr>
      </w:pPr>
    </w:p>
    <w:p>
      <w:pPr>
        <w:ind w:left="340" w:right="280" w:hanging="332"/>
        <w:spacing w:after="0" w:line="245" w:lineRule="auto"/>
        <w:tabs>
          <w:tab w:leader="none" w:pos="335" w:val="left"/>
        </w:tabs>
        <w:numPr>
          <w:ilvl w:val="0"/>
          <w:numId w:val="131"/>
        </w:numPr>
        <w:rPr>
          <w:rFonts w:ascii="Arial" w:cs="Arial" w:eastAsia="Arial" w:hAnsi="Arial"/>
          <w:sz w:val="22"/>
          <w:szCs w:val="22"/>
          <w:color w:val="6D6D6D"/>
        </w:rPr>
      </w:pPr>
      <w:r>
        <w:rPr>
          <w:rFonts w:ascii="Arial" w:cs="Arial" w:eastAsia="Arial" w:hAnsi="Arial"/>
          <w:sz w:val="22"/>
          <w:szCs w:val="22"/>
          <w:color w:val="6D6D6D"/>
        </w:rPr>
        <w:t>BXP’s portfolio occupancy for the third quarter was 86.6% (excluding third quarter development deliveries), an increase of 20 basis points from the previous quarter. Upon adding 360 Park Avenue South, 1050 Winter Street and Reston Next Office Phase II to the</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6D6D6D"/>
        </w:rPr>
        <w:t>–more–</w:t>
      </w:r>
    </w:p>
    <w:p>
      <w:pPr>
        <w:sectPr>
          <w:pgSz w:w="11900" w:h="16838" w:orient="portrait"/>
          <w:cols w:equalWidth="0" w:num="1">
            <w:col w:w="11240"/>
          </w:cols>
          <w:pgMar w:left="320" w:top="1052" w:right="339" w:bottom="1440" w:gutter="0" w:footer="0" w:header="0"/>
          <w:type w:val="continuous"/>
        </w:sectPr>
      </w:pPr>
    </w:p>
    <w:bookmarkStart w:id="77" w:name="page78"/>
    <w:bookmarkEnd w:id="77"/>
    <w:p>
      <w:pPr>
        <w:ind w:left="340" w:right="220"/>
        <w:spacing w:after="0" w:line="245" w:lineRule="auto"/>
        <w:rPr>
          <w:sz w:val="20"/>
          <w:szCs w:val="20"/>
          <w:color w:val="auto"/>
        </w:rPr>
      </w:pPr>
      <w:r>
        <w:rPr>
          <w:rFonts w:ascii="Arial" w:cs="Arial" w:eastAsia="Arial" w:hAnsi="Arial"/>
          <w:sz w:val="22"/>
          <w:szCs w:val="22"/>
          <w:color w:val="6D6D6D"/>
        </w:rPr>
        <w:t>in-service portfolio, the resultant total portfolio occupancy rate for the third quarter was 86.0%, a decrease of 40 basis points from Q2 2025 as each development project has leases for which revenue recognition has not commenced in accordance with GAAP.</w:t>
      </w:r>
    </w:p>
    <w:p>
      <w:pPr>
        <w:spacing w:after="0" w:line="197" w:lineRule="exact"/>
        <w:rPr>
          <w:sz w:val="20"/>
          <w:szCs w:val="20"/>
          <w:color w:val="auto"/>
        </w:rPr>
      </w:pPr>
    </w:p>
    <w:p>
      <w:pPr>
        <w:ind w:left="340" w:right="120" w:hanging="332"/>
        <w:spacing w:after="0"/>
        <w:tabs>
          <w:tab w:leader="none" w:pos="335" w:val="left"/>
        </w:tabs>
        <w:numPr>
          <w:ilvl w:val="0"/>
          <w:numId w:val="132"/>
        </w:numPr>
        <w:rPr>
          <w:rFonts w:ascii="Arial" w:cs="Arial" w:eastAsia="Arial" w:hAnsi="Arial"/>
          <w:sz w:val="22"/>
          <w:szCs w:val="22"/>
          <w:color w:val="6D6D6D"/>
        </w:rPr>
      </w:pPr>
      <w:r>
        <w:rPr>
          <w:rFonts w:ascii="Arial" w:cs="Arial" w:eastAsia="Arial" w:hAnsi="Arial"/>
          <w:sz w:val="22"/>
          <w:szCs w:val="22"/>
          <w:color w:val="6D6D6D"/>
        </w:rPr>
        <w:t>BXP’s portfolio percentage leased for the third quarter was 89.2% (excluding third quarter development deliveries), an increase of 10 basis points from the previous quarter (including vacant space for which we have signed leases that have not yet commenced in accordance with GAAP). Including the impact of placing the three development properties in-service, the total portfolio leased percentage decreased by 30 basis points from Q2 2025 to 88.8%.</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Development</w:t>
      </w:r>
    </w:p>
    <w:p>
      <w:pPr>
        <w:spacing w:after="0" w:line="100" w:lineRule="exact"/>
        <w:rPr>
          <w:sz w:val="20"/>
          <w:szCs w:val="20"/>
          <w:color w:val="auto"/>
        </w:rPr>
      </w:pPr>
    </w:p>
    <w:p>
      <w:pPr>
        <w:ind w:left="340" w:hanging="332"/>
        <w:spacing w:after="0" w:line="234" w:lineRule="auto"/>
        <w:tabs>
          <w:tab w:leader="none" w:pos="335" w:val="left"/>
        </w:tabs>
        <w:numPr>
          <w:ilvl w:val="0"/>
          <w:numId w:val="133"/>
        </w:numPr>
        <w:rPr>
          <w:rFonts w:ascii="Arial" w:cs="Arial" w:eastAsia="Arial" w:hAnsi="Arial"/>
          <w:sz w:val="22"/>
          <w:szCs w:val="22"/>
          <w:color w:val="6D6D6D"/>
        </w:rPr>
      </w:pPr>
      <w:r>
        <w:rPr>
          <w:rFonts w:ascii="Arial" w:cs="Arial" w:eastAsia="Arial" w:hAnsi="Arial"/>
          <w:sz w:val="22"/>
          <w:szCs w:val="22"/>
          <w:color w:val="6D6D6D"/>
        </w:rPr>
        <w:t>BXP commenced full vertical construction of 343 Madison Avenue in New York City, New York. 343 Madison Avenue will be a highly amenitized, sustainably designed, 46-story, 930,000 square foot premier workplace located on one of the best office development sites in Manhattan with direct access to Grand Central Station. In addition, BXP signed a letter of intent with a prospective client to lease approximately 274,000 square feet, or 30% of the building’s square footage. BXP is in active discussions with other prospective clients, underscoring the continued strong demand for the future premier workplace. 343 Madison represents a strong and significant value creation opportunity for shareholders.</w:t>
      </w:r>
    </w:p>
    <w:p>
      <w:pPr>
        <w:spacing w:after="0" w:line="204" w:lineRule="exact"/>
        <w:rPr>
          <w:rFonts w:ascii="Arial" w:cs="Arial" w:eastAsia="Arial" w:hAnsi="Arial"/>
          <w:sz w:val="22"/>
          <w:szCs w:val="22"/>
          <w:color w:val="6D6D6D"/>
        </w:rPr>
      </w:pPr>
    </w:p>
    <w:p>
      <w:pPr>
        <w:ind w:left="320" w:hanging="312"/>
        <w:spacing w:after="0"/>
        <w:tabs>
          <w:tab w:leader="none" w:pos="320" w:val="left"/>
        </w:tabs>
        <w:numPr>
          <w:ilvl w:val="0"/>
          <w:numId w:val="133"/>
        </w:numPr>
        <w:rPr>
          <w:rFonts w:ascii="Arial" w:cs="Arial" w:eastAsia="Arial" w:hAnsi="Arial"/>
          <w:sz w:val="22"/>
          <w:szCs w:val="22"/>
          <w:color w:val="6D6D6D"/>
        </w:rPr>
      </w:pPr>
      <w:r>
        <w:rPr>
          <w:rFonts w:ascii="Arial" w:cs="Arial" w:eastAsia="Arial" w:hAnsi="Arial"/>
          <w:sz w:val="22"/>
          <w:szCs w:val="22"/>
          <w:color w:val="6D6D6D"/>
        </w:rPr>
        <w:t>Fully placed in-service three development projects:</w:t>
      </w:r>
    </w:p>
    <w:p>
      <w:pPr>
        <w:spacing w:after="0" w:line="10" w:lineRule="exact"/>
        <w:rPr>
          <w:rFonts w:ascii="Arial" w:cs="Arial" w:eastAsia="Arial" w:hAnsi="Arial"/>
          <w:sz w:val="22"/>
          <w:szCs w:val="22"/>
          <w:color w:val="6D6D6D"/>
        </w:rPr>
      </w:pPr>
    </w:p>
    <w:p>
      <w:pPr>
        <w:ind w:left="980" w:right="540" w:hanging="324"/>
        <w:spacing w:after="0" w:line="230" w:lineRule="auto"/>
        <w:tabs>
          <w:tab w:leader="none" w:pos="976" w:val="left"/>
        </w:tabs>
        <w:numPr>
          <w:ilvl w:val="1"/>
          <w:numId w:val="133"/>
        </w:numPr>
        <w:rPr>
          <w:rFonts w:ascii="Arial" w:cs="Arial" w:eastAsia="Arial" w:hAnsi="Arial"/>
          <w:sz w:val="22"/>
          <w:szCs w:val="22"/>
          <w:color w:val="6D6D6D"/>
        </w:rPr>
      </w:pPr>
      <w:r>
        <w:rPr>
          <w:rFonts w:ascii="Arial" w:cs="Arial" w:eastAsia="Arial" w:hAnsi="Arial"/>
          <w:sz w:val="22"/>
          <w:szCs w:val="22"/>
          <w:color w:val="6D6D6D"/>
        </w:rPr>
        <w:t>1050 Winter Street, an approximately 162,000 square foot office building located in the urban edge of Boston, Massachusetts. The project is 100% leased.</w:t>
      </w:r>
    </w:p>
    <w:p>
      <w:pPr>
        <w:spacing w:after="0" w:line="1" w:lineRule="exact"/>
        <w:rPr>
          <w:rFonts w:ascii="Arial" w:cs="Arial" w:eastAsia="Arial" w:hAnsi="Arial"/>
          <w:sz w:val="22"/>
          <w:szCs w:val="22"/>
          <w:color w:val="6D6D6D"/>
        </w:rPr>
      </w:pPr>
    </w:p>
    <w:p>
      <w:pPr>
        <w:ind w:left="980" w:right="220" w:hanging="324"/>
        <w:spacing w:after="0" w:line="230" w:lineRule="auto"/>
        <w:tabs>
          <w:tab w:leader="none" w:pos="976" w:val="left"/>
        </w:tabs>
        <w:numPr>
          <w:ilvl w:val="1"/>
          <w:numId w:val="133"/>
        </w:numPr>
        <w:rPr>
          <w:rFonts w:ascii="Arial" w:cs="Arial" w:eastAsia="Arial" w:hAnsi="Arial"/>
          <w:sz w:val="22"/>
          <w:szCs w:val="22"/>
          <w:color w:val="6D6D6D"/>
        </w:rPr>
      </w:pPr>
      <w:r>
        <w:rPr>
          <w:rFonts w:ascii="Arial" w:cs="Arial" w:eastAsia="Arial" w:hAnsi="Arial"/>
          <w:sz w:val="22"/>
          <w:szCs w:val="22"/>
          <w:color w:val="6D6D6D"/>
        </w:rPr>
        <w:t>Reston Next Office Phase II, an approximately 87,000 square foot boutique premier workplace located in Reston, Virginia. The project is 92% leased.</w:t>
      </w:r>
    </w:p>
    <w:p>
      <w:pPr>
        <w:spacing w:after="0" w:line="1" w:lineRule="exact"/>
        <w:rPr>
          <w:rFonts w:ascii="Arial" w:cs="Arial" w:eastAsia="Arial" w:hAnsi="Arial"/>
          <w:sz w:val="22"/>
          <w:szCs w:val="22"/>
          <w:color w:val="6D6D6D"/>
        </w:rPr>
      </w:pPr>
    </w:p>
    <w:p>
      <w:pPr>
        <w:ind w:left="980" w:right="400" w:hanging="324"/>
        <w:spacing w:after="0"/>
        <w:tabs>
          <w:tab w:leader="none" w:pos="976" w:val="left"/>
        </w:tabs>
        <w:numPr>
          <w:ilvl w:val="1"/>
          <w:numId w:val="133"/>
        </w:numPr>
        <w:rPr>
          <w:rFonts w:ascii="Arial" w:cs="Arial" w:eastAsia="Arial" w:hAnsi="Arial"/>
          <w:sz w:val="22"/>
          <w:szCs w:val="22"/>
          <w:color w:val="6D6D6D"/>
        </w:rPr>
      </w:pPr>
      <w:r>
        <w:rPr>
          <w:rFonts w:ascii="Arial" w:cs="Arial" w:eastAsia="Arial" w:hAnsi="Arial"/>
          <w:sz w:val="22"/>
          <w:szCs w:val="22"/>
          <w:color w:val="6D6D6D"/>
        </w:rPr>
        <w:t>360 Park Avenue South, an approximately 448,000 square foot premier workplace located in New York City, New York. The project is 38% leased.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Transactions</w:t>
      </w:r>
    </w:p>
    <w:p>
      <w:pPr>
        <w:spacing w:after="0" w:line="100" w:lineRule="exact"/>
        <w:rPr>
          <w:sz w:val="20"/>
          <w:szCs w:val="20"/>
          <w:color w:val="auto"/>
        </w:rPr>
      </w:pPr>
    </w:p>
    <w:p>
      <w:pPr>
        <w:ind w:left="340" w:right="380" w:hanging="332"/>
        <w:spacing w:after="0" w:line="283" w:lineRule="auto"/>
        <w:tabs>
          <w:tab w:leader="none" w:pos="335" w:val="left"/>
        </w:tabs>
        <w:numPr>
          <w:ilvl w:val="0"/>
          <w:numId w:val="134"/>
        </w:numPr>
        <w:rPr>
          <w:rFonts w:ascii="Arial" w:cs="Arial" w:eastAsia="Arial" w:hAnsi="Arial"/>
          <w:sz w:val="21"/>
          <w:szCs w:val="21"/>
          <w:color w:val="6D6D6D"/>
        </w:rPr>
      </w:pPr>
      <w:r>
        <w:rPr>
          <w:rFonts w:ascii="Arial" w:cs="Arial" w:eastAsia="Arial" w:hAnsi="Arial"/>
          <w:sz w:val="21"/>
          <w:szCs w:val="21"/>
          <w:color w:val="6D6D6D"/>
        </w:rPr>
        <w:t>Since our Investor Day on September 8, 2025, BXP completed the sale of three land parcels for a gross sales price aggregating approximately $42.0 million. BXP’s net cash proceeds totaled approximately $39.5 million.</w:t>
      </w:r>
    </w:p>
    <w:p>
      <w:pPr>
        <w:spacing w:after="0" w:line="159" w:lineRule="exact"/>
        <w:rPr>
          <w:rFonts w:ascii="Arial" w:cs="Arial" w:eastAsia="Arial" w:hAnsi="Arial"/>
          <w:sz w:val="21"/>
          <w:szCs w:val="21"/>
          <w:color w:val="6D6D6D"/>
        </w:rPr>
      </w:pPr>
    </w:p>
    <w:p>
      <w:pPr>
        <w:ind w:left="340" w:right="40" w:hanging="332"/>
        <w:spacing w:after="0" w:line="244" w:lineRule="auto"/>
        <w:tabs>
          <w:tab w:leader="none" w:pos="335" w:val="left"/>
        </w:tabs>
        <w:numPr>
          <w:ilvl w:val="0"/>
          <w:numId w:val="134"/>
        </w:numPr>
        <w:rPr>
          <w:rFonts w:ascii="Arial" w:cs="Arial" w:eastAsia="Arial" w:hAnsi="Arial"/>
          <w:sz w:val="22"/>
          <w:szCs w:val="22"/>
          <w:color w:val="6D6D6D"/>
        </w:rPr>
      </w:pPr>
      <w:r>
        <w:rPr>
          <w:rFonts w:ascii="Arial" w:cs="Arial" w:eastAsia="Arial" w:hAnsi="Arial"/>
          <w:sz w:val="22"/>
          <w:szCs w:val="22"/>
          <w:color w:val="6D6D6D"/>
        </w:rPr>
        <w:t>BXP has additional properties under contract for sale aggregating approximately $400 million of estimated net proceeds, to BXP, if consummated. The sales of these properties are subject to customary closing conditions that BXP expects to be completed between 2025 and 2027. There can be no assurance that BXP will sell these properties on the terms or the schedule currently contemplated.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Balance Sheet &amp; Liquidity</w:t>
      </w:r>
    </w:p>
    <w:p>
      <w:pPr>
        <w:spacing w:after="0" w:line="87" w:lineRule="exact"/>
        <w:rPr>
          <w:sz w:val="20"/>
          <w:szCs w:val="20"/>
          <w:color w:val="auto"/>
        </w:rPr>
      </w:pPr>
    </w:p>
    <w:p>
      <w:pPr>
        <w:ind w:left="340" w:hanging="332"/>
        <w:spacing w:after="0"/>
        <w:tabs>
          <w:tab w:leader="none" w:pos="335" w:val="left"/>
        </w:tabs>
        <w:numPr>
          <w:ilvl w:val="0"/>
          <w:numId w:val="135"/>
        </w:numPr>
        <w:rPr>
          <w:rFonts w:ascii="Arial" w:cs="Arial" w:eastAsia="Arial" w:hAnsi="Arial"/>
          <w:sz w:val="22"/>
          <w:szCs w:val="22"/>
          <w:color w:val="6D6D6D"/>
        </w:rPr>
      </w:pPr>
      <w:r>
        <w:rPr>
          <w:rFonts w:ascii="Arial" w:cs="Arial" w:eastAsia="Arial" w:hAnsi="Arial"/>
          <w:sz w:val="22"/>
          <w:szCs w:val="22"/>
          <w:color w:val="6D6D6D"/>
        </w:rPr>
        <w:t>Boston Properties Limited Partnership (“BPLP”) issued $1.0 billion aggregate principal amount of 2.00% Exchangeable Senior Notes due 2030. The offering was upsized from the initially announced offering size of $600 million. The GAAP interest rate on the notes is 2.5% per annum. Net proceeds after the initial purchaser’s discount and offering costs, including the capped call transaction costs, were approximately $940.1 million.</w:t>
      </w:r>
    </w:p>
    <w:p>
      <w:pPr>
        <w:spacing w:after="0" w:line="203" w:lineRule="exact"/>
        <w:rPr>
          <w:rFonts w:ascii="Arial" w:cs="Arial" w:eastAsia="Arial" w:hAnsi="Arial"/>
          <w:sz w:val="22"/>
          <w:szCs w:val="22"/>
          <w:color w:val="6D6D6D"/>
        </w:rPr>
      </w:pPr>
    </w:p>
    <w:p>
      <w:pPr>
        <w:ind w:left="340" w:right="80" w:hanging="332"/>
        <w:spacing w:after="0" w:line="238" w:lineRule="auto"/>
        <w:tabs>
          <w:tab w:leader="none" w:pos="335" w:val="left"/>
        </w:tabs>
        <w:numPr>
          <w:ilvl w:val="0"/>
          <w:numId w:val="135"/>
        </w:numPr>
        <w:rPr>
          <w:rFonts w:ascii="Arial" w:cs="Arial" w:eastAsia="Arial" w:hAnsi="Arial"/>
          <w:sz w:val="22"/>
          <w:szCs w:val="22"/>
          <w:color w:val="6D6D6D"/>
        </w:rPr>
      </w:pPr>
      <w:r>
        <w:rPr>
          <w:rFonts w:ascii="Arial" w:cs="Arial" w:eastAsia="Arial" w:hAnsi="Arial"/>
          <w:sz w:val="22"/>
          <w:szCs w:val="22"/>
          <w:color w:val="6D6D6D"/>
        </w:rPr>
        <w:t>A joint venture in which BXP has a 50% ownership interest closed on a $465.0 million, 5.5-year, non-recourse commercial mortgage-backed securities (“CMBS”) loan secured by the podium and office tower at The Hub on Causeway in Boston, Massachusetts. The loan is scheduled to mature on April 9, 2031, and bears interest at a fixed rate of approximately 5.73% per annum. Proceeds from the loan and retained cash flow were used to repay two</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180"/>
          </w:cols>
          <w:pgMar w:left="320" w:top="883" w:right="399" w:bottom="1440" w:gutter="0" w:footer="0" w:header="0"/>
        </w:sectPr>
      </w:pPr>
    </w:p>
    <w:bookmarkStart w:id="78" w:name="page79"/>
    <w:bookmarkEnd w:id="78"/>
    <w:p>
      <w:pPr>
        <w:ind w:left="340" w:right="20"/>
        <w:spacing w:after="0"/>
        <w:rPr>
          <w:sz w:val="20"/>
          <w:szCs w:val="20"/>
          <w:color w:val="auto"/>
        </w:rPr>
      </w:pPr>
      <w:r>
        <w:rPr>
          <w:rFonts w:ascii="Arial" w:cs="Arial" w:eastAsia="Arial" w:hAnsi="Arial"/>
          <w:sz w:val="22"/>
          <w:szCs w:val="22"/>
          <w:color w:val="6D6D6D"/>
        </w:rPr>
        <w:t>existing loans on the podium and office tower at The Hub on Causeway having an aggregate outstanding principal balance of approximately $490 million. This transaction represents BXP’s first “Green Bond” CMBS financing, underscoring the quality of The Hub on Causeway as a premier, sustainable workplace and highlighting BXP’s ongoing commitment to environmentally responsible development.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616161"/>
        </w:rPr>
        <w:t>EPS and FFO per Share Guidance:</w:t>
      </w:r>
    </w:p>
    <w:p>
      <w:pPr>
        <w:spacing w:after="0" w:line="235" w:lineRule="exact"/>
        <w:rPr>
          <w:sz w:val="20"/>
          <w:szCs w:val="20"/>
          <w:color w:val="auto"/>
        </w:rPr>
      </w:pPr>
    </w:p>
    <w:p>
      <w:pPr>
        <w:spacing w:after="0" w:line="231" w:lineRule="auto"/>
        <w:rPr>
          <w:sz w:val="20"/>
          <w:szCs w:val="20"/>
          <w:color w:val="auto"/>
        </w:rPr>
      </w:pPr>
      <w:r>
        <w:rPr>
          <w:rFonts w:ascii="Arial" w:cs="Arial" w:eastAsia="Arial" w:hAnsi="Arial"/>
          <w:sz w:val="22"/>
          <w:szCs w:val="22"/>
          <w:color w:val="616161"/>
        </w:rPr>
        <w:t xml:space="preserve">BXP’s guidance for the full year 2025 for EPS (diluted) and FFO per share (diluted) is set forth and reconciled below. Except </w:t>
      </w:r>
      <w:r>
        <w:rPr>
          <w:rFonts w:ascii="Arial" w:cs="Arial" w:eastAsia="Arial" w:hAnsi="Arial"/>
          <w:sz w:val="22"/>
          <w:szCs w:val="22"/>
          <w:color w:val="6D6D6D"/>
        </w:rPr>
        <w:t>as described below, the estimates reflect management’s view of</w:t>
      </w:r>
      <w:r>
        <w:rPr>
          <w:rFonts w:ascii="Arial" w:cs="Arial" w:eastAsia="Arial" w:hAnsi="Arial"/>
          <w:sz w:val="22"/>
          <w:szCs w:val="22"/>
          <w:color w:val="616161"/>
        </w:rPr>
        <w:t xml:space="preserve"> current and future market conditions, including assumptions with respect to rental rates, occupancy levels, interest rates, the timing of the lease-up of available space, the timing of development cost outlays and development deliveries, and the earnings impact of the events referenced in this release and those referenced during the related conference call. The estimates do not include (1) possible future gains or losses or the impact on operating results from other possible future property acquisitions or dispositions not under contract as of the date hereof, (2) the impacts of any other capital markets activity, (3) future write-offs or reinstatements of accounts receivable and accrued rent balances, or (4) future impairment charges. EPS estimates </w:t>
      </w:r>
      <w:r>
        <w:rPr>
          <w:rFonts w:ascii="Arial" w:cs="Arial" w:eastAsia="Arial" w:hAnsi="Arial"/>
          <w:sz w:val="22"/>
          <w:szCs w:val="22"/>
          <w:color w:val="6D6D6D"/>
        </w:rPr>
        <w:t>may fluctuate as a result of several factors, including changes in the recognition</w:t>
      </w:r>
      <w:r>
        <w:rPr>
          <w:rFonts w:ascii="Arial" w:cs="Arial" w:eastAsia="Arial" w:hAnsi="Arial"/>
          <w:sz w:val="22"/>
          <w:szCs w:val="22"/>
          <w:color w:val="616161"/>
        </w:rPr>
        <w:t xml:space="preserve"> </w:t>
      </w:r>
      <w:r>
        <w:rPr>
          <w:rFonts w:ascii="Arial" w:cs="Arial" w:eastAsia="Arial" w:hAnsi="Arial"/>
          <w:sz w:val="22"/>
          <w:szCs w:val="22"/>
          <w:color w:val="6D6D6D"/>
        </w:rPr>
        <w:t>of depreciation and amortization expense, impairment losses on depreciable real estate, and any gains or losses associated with disposition activity. BXP is not able t</w:t>
      </w:r>
      <w:r>
        <w:rPr>
          <w:rFonts w:ascii="Arial" w:cs="Arial" w:eastAsia="Arial" w:hAnsi="Arial"/>
          <w:sz w:val="22"/>
          <w:szCs w:val="22"/>
          <w:color w:val="616161"/>
        </w:rPr>
        <w:t>o assess at this time the potential impact of these factors on</w:t>
      </w:r>
      <w:r>
        <w:rPr>
          <w:rFonts w:ascii="Arial" w:cs="Arial" w:eastAsia="Arial" w:hAnsi="Arial"/>
          <w:sz w:val="22"/>
          <w:szCs w:val="22"/>
          <w:color w:val="6D6D6D"/>
        </w:rPr>
        <w:t xml:space="preserve"> </w:t>
      </w:r>
      <w:r>
        <w:rPr>
          <w:rFonts w:ascii="Arial" w:cs="Arial" w:eastAsia="Arial" w:hAnsi="Arial"/>
          <w:sz w:val="22"/>
          <w:szCs w:val="22"/>
          <w:color w:val="616161"/>
        </w:rPr>
        <w:t>projected EPS. By definition, FFO does not include real estate-related depreciation and amortization, impairment losses on depreciable real estate, or gains or losses associated with disposition activities. There can be no assurance that BXP’s actual results will not differ materially from the estimates set forth below.</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85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20"/>
                <w:szCs w:val="20"/>
                <w:b w:val="1"/>
                <w:bCs w:val="1"/>
                <w:color w:val="494949"/>
              </w:rPr>
              <w:t>Full Year 2025</w:t>
            </w:r>
          </w:p>
        </w:tc>
        <w:tc>
          <w:tcPr>
            <w:tcW w:w="0" w:type="dxa"/>
            <w:vAlign w:val="bottom"/>
          </w:tcPr>
          <w:p>
            <w:pPr>
              <w:spacing w:after="0"/>
              <w:rPr>
                <w:sz w:val="1"/>
                <w:szCs w:val="1"/>
                <w:color w:val="auto"/>
              </w:rPr>
            </w:pPr>
          </w:p>
        </w:tc>
      </w:tr>
      <w:tr>
        <w:trPr>
          <w:trHeight w:val="250"/>
        </w:trPr>
        <w:tc>
          <w:tcPr>
            <w:tcW w:w="8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160"/>
              <w:spacing w:after="0"/>
              <w:rPr>
                <w:sz w:val="20"/>
                <w:szCs w:val="20"/>
                <w:color w:val="auto"/>
              </w:rPr>
            </w:pPr>
            <w:r>
              <w:rPr>
                <w:rFonts w:ascii="Arial" w:cs="Arial" w:eastAsia="Arial" w:hAnsi="Arial"/>
                <w:sz w:val="20"/>
                <w:szCs w:val="20"/>
                <w:color w:val="494949"/>
              </w:rPr>
              <w:t>Low</w:t>
            </w:r>
          </w:p>
        </w:tc>
        <w:tc>
          <w:tcPr>
            <w:tcW w:w="260" w:type="dxa"/>
            <w:vAlign w:val="bottom"/>
          </w:tcPr>
          <w:p>
            <w:pPr>
              <w:spacing w:after="0"/>
              <w:rPr>
                <w:sz w:val="21"/>
                <w:szCs w:val="21"/>
                <w:color w:val="auto"/>
              </w:rPr>
            </w:pPr>
          </w:p>
        </w:tc>
        <w:tc>
          <w:tcPr>
            <w:tcW w:w="960" w:type="dxa"/>
            <w:vAlign w:val="bottom"/>
          </w:tcPr>
          <w:p>
            <w:pPr>
              <w:jc w:val="right"/>
              <w:ind w:right="321"/>
              <w:spacing w:after="0"/>
              <w:rPr>
                <w:sz w:val="20"/>
                <w:szCs w:val="20"/>
                <w:color w:val="auto"/>
              </w:rPr>
            </w:pPr>
            <w:r>
              <w:rPr>
                <w:rFonts w:ascii="Arial" w:cs="Arial" w:eastAsia="Arial" w:hAnsi="Arial"/>
                <w:sz w:val="20"/>
                <w:szCs w:val="20"/>
                <w:color w:val="494949"/>
              </w:rPr>
              <w:t>High</w:t>
            </w:r>
          </w:p>
        </w:tc>
        <w:tc>
          <w:tcPr>
            <w:tcW w:w="0" w:type="dxa"/>
            <w:vAlign w:val="bottom"/>
          </w:tcPr>
          <w:p>
            <w:pPr>
              <w:spacing w:after="0"/>
              <w:rPr>
                <w:sz w:val="1"/>
                <w:szCs w:val="1"/>
                <w:color w:val="auto"/>
              </w:rPr>
            </w:pPr>
          </w:p>
        </w:tc>
      </w:tr>
      <w:tr>
        <w:trPr>
          <w:trHeight w:val="242"/>
        </w:trPr>
        <w:tc>
          <w:tcPr>
            <w:tcW w:w="8520" w:type="dxa"/>
            <w:vAlign w:val="bottom"/>
          </w:tcPr>
          <w:p>
            <w:pPr>
              <w:spacing w:after="0"/>
              <w:rPr>
                <w:sz w:val="20"/>
                <w:szCs w:val="20"/>
                <w:color w:val="auto"/>
              </w:rPr>
            </w:pPr>
            <w:r>
              <w:rPr>
                <w:rFonts w:ascii="Arial" w:cs="Arial" w:eastAsia="Arial" w:hAnsi="Arial"/>
                <w:sz w:val="20"/>
                <w:szCs w:val="20"/>
                <w:color w:val="494949"/>
              </w:rPr>
              <w:t>Projected EPS (diluted)</w:t>
            </w:r>
          </w:p>
        </w:tc>
        <w:tc>
          <w:tcPr>
            <w:tcW w:w="2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494949"/>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494949"/>
              </w:rPr>
              <w:t>0.99</w:t>
            </w:r>
          </w:p>
        </w:tc>
        <w:tc>
          <w:tcPr>
            <w:tcW w:w="260" w:type="dxa"/>
            <w:vAlign w:val="bottom"/>
          </w:tcPr>
          <w:p>
            <w:pPr>
              <w:spacing w:after="0"/>
              <w:rPr>
                <w:sz w:val="21"/>
                <w:szCs w:val="21"/>
                <w:color w:val="auto"/>
              </w:rPr>
            </w:pPr>
          </w:p>
        </w:tc>
        <w:tc>
          <w:tcPr>
            <w:tcW w:w="2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494949"/>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494949"/>
              </w:rPr>
              <w:t>1.02</w:t>
            </w:r>
          </w:p>
        </w:tc>
        <w:tc>
          <w:tcPr>
            <w:tcW w:w="0" w:type="dxa"/>
            <w:vAlign w:val="bottom"/>
          </w:tcPr>
          <w:p>
            <w:pPr>
              <w:spacing w:after="0"/>
              <w:rPr>
                <w:sz w:val="1"/>
                <w:szCs w:val="1"/>
                <w:color w:val="auto"/>
              </w:rPr>
            </w:pPr>
          </w:p>
        </w:tc>
      </w:tr>
      <w:tr>
        <w:trPr>
          <w:trHeight w:val="256"/>
        </w:trPr>
        <w:tc>
          <w:tcPr>
            <w:tcW w:w="8520" w:type="dxa"/>
            <w:vAlign w:val="bottom"/>
          </w:tcPr>
          <w:p>
            <w:pPr>
              <w:ind w:left="340"/>
              <w:spacing w:after="0"/>
              <w:rPr>
                <w:sz w:val="20"/>
                <w:szCs w:val="20"/>
                <w:color w:val="auto"/>
              </w:rPr>
            </w:pPr>
            <w:r>
              <w:rPr>
                <w:rFonts w:ascii="Arial" w:cs="Arial" w:eastAsia="Arial" w:hAnsi="Arial"/>
                <w:sz w:val="20"/>
                <w:szCs w:val="20"/>
                <w:color w:val="494949"/>
              </w:rPr>
              <w:t>Add:</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520" w:type="dxa"/>
            <w:vAlign w:val="bottom"/>
          </w:tcPr>
          <w:p>
            <w:pPr>
              <w:ind w:left="900"/>
              <w:spacing w:after="0"/>
              <w:rPr>
                <w:sz w:val="20"/>
                <w:szCs w:val="20"/>
                <w:color w:val="auto"/>
              </w:rPr>
            </w:pPr>
            <w:r>
              <w:rPr>
                <w:rFonts w:ascii="Arial" w:cs="Arial" w:eastAsia="Arial" w:hAnsi="Arial"/>
                <w:sz w:val="20"/>
                <w:szCs w:val="20"/>
                <w:color w:val="494949"/>
              </w:rPr>
              <w:t>Projected Company share of real estate depreciation and amortization</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494949"/>
              </w:rPr>
              <w:t>5.15</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494949"/>
              </w:rPr>
              <w:t>5.15</w:t>
            </w:r>
          </w:p>
        </w:tc>
        <w:tc>
          <w:tcPr>
            <w:tcW w:w="0" w:type="dxa"/>
            <w:vAlign w:val="bottom"/>
          </w:tcPr>
          <w:p>
            <w:pPr>
              <w:spacing w:after="0"/>
              <w:rPr>
                <w:sz w:val="1"/>
                <w:szCs w:val="1"/>
                <w:color w:val="auto"/>
              </w:rPr>
            </w:pPr>
          </w:p>
        </w:tc>
      </w:tr>
      <w:tr>
        <w:trPr>
          <w:trHeight w:val="203"/>
        </w:trPr>
        <w:tc>
          <w:tcPr>
            <w:tcW w:w="8520" w:type="dxa"/>
            <w:vAlign w:val="bottom"/>
          </w:tcPr>
          <w:p>
            <w:pPr>
              <w:ind w:left="900"/>
              <w:spacing w:after="0" w:line="203" w:lineRule="exact"/>
              <w:rPr>
                <w:sz w:val="20"/>
                <w:szCs w:val="20"/>
                <w:color w:val="auto"/>
              </w:rPr>
            </w:pPr>
            <w:r>
              <w:rPr>
                <w:rFonts w:ascii="Arial" w:cs="Arial" w:eastAsia="Arial" w:hAnsi="Arial"/>
                <w:sz w:val="20"/>
                <w:szCs w:val="20"/>
                <w:color w:val="494949"/>
              </w:rPr>
              <w:t>Projected Company share of (gains)/losses on sales of real estate, gain on</w:t>
            </w: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494949"/>
              </w:rPr>
              <w:t>0.75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494949"/>
              </w:rPr>
              <w:t>0.75</w:t>
            </w:r>
          </w:p>
        </w:tc>
        <w:tc>
          <w:tcPr>
            <w:tcW w:w="0" w:type="dxa"/>
            <w:vAlign w:val="bottom"/>
          </w:tcPr>
          <w:p>
            <w:pPr>
              <w:spacing w:after="0"/>
              <w:rPr>
                <w:sz w:val="1"/>
                <w:szCs w:val="1"/>
                <w:color w:val="auto"/>
              </w:rPr>
            </w:pPr>
          </w:p>
        </w:tc>
      </w:tr>
      <w:tr>
        <w:trPr>
          <w:trHeight w:val="251"/>
        </w:trPr>
        <w:tc>
          <w:tcPr>
            <w:tcW w:w="8520" w:type="dxa"/>
            <w:vAlign w:val="bottom"/>
          </w:tcPr>
          <w:p>
            <w:pPr>
              <w:ind w:left="1140"/>
              <w:spacing w:after="0"/>
              <w:rPr>
                <w:sz w:val="20"/>
                <w:szCs w:val="20"/>
                <w:color w:val="auto"/>
              </w:rPr>
            </w:pPr>
            <w:r>
              <w:rPr>
                <w:rFonts w:ascii="Arial" w:cs="Arial" w:eastAsia="Arial" w:hAnsi="Arial"/>
                <w:sz w:val="20"/>
                <w:szCs w:val="20"/>
                <w:color w:val="494949"/>
              </w:rPr>
              <w:t>investment from unconsolidated joint venture and impairments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20" w:type="dxa"/>
            <w:vAlign w:val="bottom"/>
          </w:tcPr>
          <w:p>
            <w:pPr>
              <w:spacing w:after="0"/>
              <w:rPr>
                <w:sz w:val="20"/>
                <w:szCs w:val="20"/>
                <w:color w:val="auto"/>
              </w:rPr>
            </w:pPr>
            <w:r>
              <w:rPr>
                <w:rFonts w:ascii="Arial" w:cs="Arial" w:eastAsia="Arial" w:hAnsi="Arial"/>
                <w:sz w:val="20"/>
                <w:szCs w:val="20"/>
                <w:color w:val="494949"/>
              </w:rPr>
              <w:t>Projected FFO per share (diluted)</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494949"/>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494949"/>
              </w:rPr>
              <w:t>6.89</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494949"/>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494949"/>
              </w:rPr>
              <w:t>6.92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6D6D6D"/>
        </w:rPr>
        <w:t>The reported results are unaudited and there can be no assurance that these reported results will not vary from the final information for the quarter ende</w:t>
      </w:r>
      <w:r>
        <w:rPr>
          <w:rFonts w:ascii="Arial" w:cs="Arial" w:eastAsia="Arial" w:hAnsi="Arial"/>
          <w:sz w:val="22"/>
          <w:szCs w:val="22"/>
          <w:color w:val="616161"/>
        </w:rPr>
        <w:t>d</w:t>
      </w:r>
      <w:r>
        <w:rPr>
          <w:rFonts w:ascii="Arial" w:cs="Arial" w:eastAsia="Arial" w:hAnsi="Arial"/>
          <w:sz w:val="22"/>
          <w:szCs w:val="22"/>
          <w:color w:val="6D6D6D"/>
        </w:rPr>
        <w:t xml:space="preserve"> September 30, 2025</w:t>
      </w:r>
      <w:r>
        <w:rPr>
          <w:rFonts w:ascii="Arial" w:cs="Arial" w:eastAsia="Arial" w:hAnsi="Arial"/>
          <w:sz w:val="22"/>
          <w:szCs w:val="22"/>
          <w:color w:val="616161"/>
        </w:rPr>
        <w:t>. In the opinion of management, BXP has made all</w:t>
      </w:r>
      <w:r>
        <w:rPr>
          <w:rFonts w:ascii="Arial" w:cs="Arial" w:eastAsia="Arial" w:hAnsi="Arial"/>
          <w:sz w:val="22"/>
          <w:szCs w:val="22"/>
          <w:color w:val="6D6D6D"/>
        </w:rPr>
        <w:t xml:space="preserve"> </w:t>
      </w:r>
      <w:r>
        <w:rPr>
          <w:rFonts w:ascii="Arial" w:cs="Arial" w:eastAsia="Arial" w:hAnsi="Arial"/>
          <w:sz w:val="22"/>
          <w:szCs w:val="22"/>
          <w:color w:val="616161"/>
        </w:rPr>
        <w:t>adjustments considered necessary for a fair statement of these reported results.</w:t>
      </w:r>
    </w:p>
    <w:p>
      <w:pPr>
        <w:spacing w:after="0" w:line="197"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616161"/>
        </w:rPr>
        <w:t xml:space="preserve">BXP will host a conference call on Wednesday, October 29, 2025 at 10:00 AM Eastern Time, open to the general public, to discuss the </w:t>
      </w:r>
      <w:r>
        <w:rPr>
          <w:rFonts w:ascii="Arial" w:cs="Arial" w:eastAsia="Arial" w:hAnsi="Arial"/>
          <w:sz w:val="22"/>
          <w:szCs w:val="22"/>
          <w:color w:val="6D6D6D"/>
        </w:rPr>
        <w:t>third</w:t>
      </w:r>
      <w:r>
        <w:rPr>
          <w:rFonts w:ascii="Arial" w:cs="Arial" w:eastAsia="Arial" w:hAnsi="Arial"/>
          <w:sz w:val="22"/>
          <w:szCs w:val="22"/>
          <w:color w:val="616161"/>
        </w:rPr>
        <w:t xml:space="preserve"> quarter results, provide a business update, and discuss other business matters that may be of interest to investors. </w:t>
      </w:r>
      <w:r>
        <w:rPr>
          <w:rFonts w:ascii="Arial" w:cs="Arial" w:eastAsia="Arial" w:hAnsi="Arial"/>
          <w:sz w:val="22"/>
          <w:szCs w:val="22"/>
          <w:color w:val="6D6D6D"/>
        </w:rPr>
        <w:t>Participants who would like to join the call and ask a question may register at</w:t>
      </w:r>
      <w:r>
        <w:rPr>
          <w:rFonts w:ascii="Arial" w:cs="Arial" w:eastAsia="Arial" w:hAnsi="Arial"/>
          <w:sz w:val="22"/>
          <w:szCs w:val="22"/>
          <w:color w:val="616161"/>
        </w:rPr>
        <w:t xml:space="preserve"> </w:t>
      </w:r>
      <w:r>
        <w:rPr>
          <w:rFonts w:ascii="Arial" w:cs="Arial" w:eastAsia="Arial" w:hAnsi="Arial"/>
          <w:sz w:val="22"/>
          <w:szCs w:val="22"/>
          <w:color w:val="6D6D6D"/>
        </w:rPr>
        <w:t xml:space="preserve">https://register-conf.media-server.com/register/BI4ce37a065efa42c58c314501cbf223a8 to receive the dial-in numbers and unique PIN to access the call. There will also be a live audio, listen-only webcast of the call, which may be accessed in the Investors section of BXP’s website at </w:t>
      </w:r>
      <w:r>
        <w:rPr>
          <w:rFonts w:ascii="Arial" w:cs="Arial" w:eastAsia="Arial" w:hAnsi="Arial"/>
          <w:sz w:val="22"/>
          <w:szCs w:val="22"/>
          <w:color w:val="3051F2"/>
        </w:rPr>
        <w:t>https://investors.bxp.com/events-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240"/>
          </w:cols>
          <w:pgMar w:left="320" w:top="883" w:right="339" w:bottom="1440" w:gutter="0" w:footer="0" w:header="0"/>
        </w:sectPr>
      </w:pPr>
    </w:p>
    <w:bookmarkStart w:id="79" w:name="page80"/>
    <w:bookmarkEnd w:id="79"/>
    <w:p>
      <w:pPr>
        <w:ind w:right="2860"/>
        <w:spacing w:after="0" w:line="283" w:lineRule="auto"/>
        <w:rPr>
          <w:sz w:val="20"/>
          <w:szCs w:val="20"/>
          <w:color w:val="auto"/>
        </w:rPr>
      </w:pPr>
      <w:r>
        <w:rPr>
          <w:rFonts w:ascii="Arial" w:cs="Arial" w:eastAsia="Arial" w:hAnsi="Arial"/>
          <w:sz w:val="21"/>
          <w:szCs w:val="21"/>
          <w:color w:val="3051F2"/>
        </w:rPr>
        <w:t>webcasts</w:t>
      </w:r>
      <w:r>
        <w:rPr>
          <w:rFonts w:ascii="Arial" w:cs="Arial" w:eastAsia="Arial" w:hAnsi="Arial"/>
          <w:sz w:val="21"/>
          <w:szCs w:val="21"/>
          <w:color w:val="6D6D6D"/>
        </w:rPr>
        <w:t>. Shortly after the call, a replay of the call will be available on BXP’s website at</w:t>
      </w:r>
      <w:r>
        <w:rPr>
          <w:rFonts w:ascii="Arial" w:cs="Arial" w:eastAsia="Arial" w:hAnsi="Arial"/>
          <w:sz w:val="21"/>
          <w:szCs w:val="21"/>
          <w:color w:val="3051F2"/>
        </w:rPr>
        <w:t xml:space="preserve"> https://investors.bxp.com/events-webcasts </w:t>
      </w:r>
      <w:r>
        <w:rPr>
          <w:rFonts w:ascii="Arial" w:cs="Arial" w:eastAsia="Arial" w:hAnsi="Arial"/>
          <w:sz w:val="21"/>
          <w:szCs w:val="21"/>
          <w:color w:val="6D6D6D"/>
        </w:rPr>
        <w:t>for up to twelve months following the call.</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22"/>
          <w:szCs w:val="22"/>
          <w:color w:val="616161"/>
        </w:rPr>
        <w:t xml:space="preserve">Additionally, a copy of BXP’s </w:t>
      </w:r>
      <w:r>
        <w:rPr>
          <w:rFonts w:ascii="Arial" w:cs="Arial" w:eastAsia="Arial" w:hAnsi="Arial"/>
          <w:sz w:val="22"/>
          <w:szCs w:val="22"/>
          <w:color w:val="6D6D6D"/>
        </w:rPr>
        <w:t>third</w:t>
      </w:r>
      <w:r>
        <w:rPr>
          <w:rFonts w:ascii="Arial" w:cs="Arial" w:eastAsia="Arial" w:hAnsi="Arial"/>
          <w:sz w:val="22"/>
          <w:szCs w:val="22"/>
          <w:color w:val="616161"/>
        </w:rPr>
        <w:t xml:space="preserve"> quarter 2025 “Supplemental Operating and Financial Data” and this press release are available in the Investors section of BXP’s website at </w:t>
      </w:r>
      <w:r>
        <w:rPr>
          <w:rFonts w:ascii="Arial" w:cs="Arial" w:eastAsia="Arial" w:hAnsi="Arial"/>
          <w:sz w:val="22"/>
          <w:szCs w:val="22"/>
          <w:u w:val="single" w:color="auto"/>
          <w:color w:val="0019FF"/>
        </w:rPr>
        <w:t>investors.bxp.com</w:t>
      </w:r>
      <w:r>
        <w:rPr>
          <w:rFonts w:ascii="Arial" w:cs="Arial" w:eastAsia="Arial" w:hAnsi="Arial"/>
          <w:sz w:val="22"/>
          <w:szCs w:val="22"/>
          <w:color w:val="000000"/>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616161"/>
        </w:rPr>
        <w:t>BXP, Inc. (NYSE: BXP) is the largest publicly traded developer, owner, and manager of premier workplaces</w:t>
      </w:r>
    </w:p>
    <w:p>
      <w:pPr>
        <w:spacing w:after="0" w:line="10" w:lineRule="exact"/>
        <w:rPr>
          <w:sz w:val="20"/>
          <w:szCs w:val="20"/>
          <w:color w:val="auto"/>
        </w:rPr>
      </w:pPr>
    </w:p>
    <w:p>
      <w:pPr>
        <w:spacing w:after="0" w:line="243" w:lineRule="auto"/>
        <w:rPr>
          <w:sz w:val="20"/>
          <w:szCs w:val="20"/>
          <w:color w:val="auto"/>
        </w:rPr>
      </w:pPr>
      <w:r>
        <w:rPr>
          <w:rFonts w:ascii="Arial" w:cs="Arial" w:eastAsia="Arial" w:hAnsi="Arial"/>
          <w:sz w:val="21"/>
          <w:szCs w:val="21"/>
          <w:color w:val="616161"/>
        </w:rPr>
        <w:t xml:space="preserve">in the United States, concentrated in six dynamic gateway markets - Boston, Los Angeles, New York, San Francisco, Seattle, and Washington, DC. BXP has delivered places that power progress for our clients and communities for more than 55 years. BXP is a fully integrated real estate company, organized as a real estate investment trust (REIT). As of September 30, 2025, including properties owned by unconsolidated joint ventures, BXP’s portfolio totals 54.6 million square feet and 187 properties, including eight properties under construction/redevelopment. For more information about BXP, please visit our </w:t>
      </w:r>
      <w:r>
        <w:rPr>
          <w:rFonts w:ascii="Arial" w:cs="Arial" w:eastAsia="Arial" w:hAnsi="Arial"/>
          <w:sz w:val="21"/>
          <w:szCs w:val="21"/>
          <w:u w:val="single" w:color="auto"/>
          <w:color w:val="0019FF"/>
        </w:rPr>
        <w:t>website</w:t>
      </w:r>
      <w:r>
        <w:rPr>
          <w:rFonts w:ascii="Arial" w:cs="Arial" w:eastAsia="Arial" w:hAnsi="Arial"/>
          <w:sz w:val="21"/>
          <w:szCs w:val="21"/>
          <w:color w:val="616161"/>
        </w:rPr>
        <w:t xml:space="preserve"> or follow us on </w:t>
      </w:r>
      <w:r>
        <w:rPr>
          <w:rFonts w:ascii="Arial" w:cs="Arial" w:eastAsia="Arial" w:hAnsi="Arial"/>
          <w:sz w:val="21"/>
          <w:szCs w:val="21"/>
          <w:u w:val="single" w:color="auto"/>
          <w:color w:val="0019FF"/>
        </w:rPr>
        <w:t>LinkedIn</w:t>
      </w:r>
      <w:r>
        <w:rPr>
          <w:rFonts w:ascii="Arial" w:cs="Arial" w:eastAsia="Arial" w:hAnsi="Arial"/>
          <w:sz w:val="21"/>
          <w:szCs w:val="21"/>
          <w:color w:val="616161"/>
        </w:rPr>
        <w:t xml:space="preserve"> or </w:t>
      </w:r>
      <w:r>
        <w:rPr>
          <w:rFonts w:ascii="Arial" w:cs="Arial" w:eastAsia="Arial" w:hAnsi="Arial"/>
          <w:sz w:val="21"/>
          <w:szCs w:val="21"/>
          <w:u w:val="single" w:color="auto"/>
          <w:color w:val="0019FF"/>
        </w:rPr>
        <w:t>Instagram</w:t>
      </w:r>
      <w:r>
        <w:rPr>
          <w:rFonts w:ascii="Arial" w:cs="Arial" w:eastAsia="Arial" w:hAnsi="Arial"/>
          <w:sz w:val="21"/>
          <w:szCs w:val="21"/>
          <w:color w:val="616161"/>
        </w:rPr>
        <w:t>.</w:t>
      </w:r>
    </w:p>
    <w:p>
      <w:pPr>
        <w:spacing w:after="0" w:line="21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616161"/>
        </w:rPr>
        <w:t>This press release contains “forward-looking statements” as defined in the Private Securities Litigation Reform Act of 1995. You can identify these statements by our use of the words “anticipates,” “believes,” “budgeted,” “could,” “estimates,” “expects,” “guidance,” “intends,” “may,” “might,” “plans,” “projects,” “should,” “will,” and similar expressions that do not relate to historical matters. These statements are based on our current plans, expectations, projections and assumptions about future events. You should exercise caution in interpreting and relying on forward-looking statements because they involve known and unknown risks, uncertainties and other factors, which are, in some cases, beyond BXP’s control. If our underlying assumptions prove inaccurate, or known or unknown risks or uncertainties materialize, actual results could differ materially from those expressed or implied by the forward-looking statements. These factors include, without limitation, the risks and uncertainties related to adverse changes in general economic and capital market conditions, including continued inflation, elevated interest rates, supply chain disruptions, dislocation and volatility in capital markets, potential longer-term changes in consumer and client behavior resulting from the severity and duration of any downturn in the U.S. or global economy, general risks affecting the real estate industry (including, without limitation, the inability to enter into or renew leases on favorable terms, sustained changes in client preferences and space utilization, dependence on clients’ financial condition, and competition from other developers, owners and operators of real estate), the impact of adverse political conditions, including policy changes by the U.S. Government, such as the direct and indirect negative impacts that new and increased tariffs may have on (1) our current and prospective clients and their demand for office space and (2) the costs and availability of construction materials and the economic returns on our construction and development activities, and prolonged government shutdowns or disruptions, the impact of geopolitical conflicts, the uncertainties of investing in new markets, the costs and availability of financing, the effectiveness of our hedging contracts, the ability of our joint venture partners to satisfy their obligations, the effects of local, national and international economic and market conditions, the effects of acquisitions, dispositions and possible impairment charges on our operating results, the impact of newly adopted accounting principles on BXP’s accounting policies and on period-to-period comparisons of financial results, the uncertainties of costs to comply with regulatory changes and other risks and uncertainties detailed from time to time in BXP’s filings with the Securities and Exchange Commission. These forward-looking statements speak only as of the date of issuance of this report and are not guarantees of future results, performance, or achievements. BXP does not undertake a duty to update or revise any forward-looking statement whether as a result of new information, future events or otherwise, except as otherwise required by law.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6D6D6D"/>
        </w:rPr>
        <w:t>Financial tables follow.</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220"/>
          </w:cols>
          <w:pgMar w:left="320" w:top="883" w:right="359" w:bottom="1440" w:gutter="0" w:footer="0" w:header="0"/>
        </w:sectPr>
      </w:pPr>
    </w:p>
    <w:bookmarkStart w:id="80" w:name="page81"/>
    <w:bookmarkEnd w:id="80"/>
    <w:p>
      <w:pPr>
        <w:ind w:left="5220"/>
        <w:spacing w:after="0"/>
        <w:rPr>
          <w:sz w:val="20"/>
          <w:szCs w:val="20"/>
          <w:color w:val="auto"/>
        </w:rPr>
      </w:pPr>
      <w:r>
        <w:rPr>
          <w:rFonts w:ascii="Arial" w:cs="Arial" w:eastAsia="Arial" w:hAnsi="Arial"/>
          <w:sz w:val="18"/>
          <w:szCs w:val="18"/>
          <w:b w:val="1"/>
          <w:bCs w:val="1"/>
          <w:color w:val="6D6D6D"/>
        </w:rPr>
        <w:t>BXP,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6D6D6D"/>
        </w:rPr>
        <w:t>CONSOLIDATED BALANCE SHEETS</w:t>
      </w:r>
    </w:p>
    <w:p>
      <w:pPr>
        <w:jc w:val="center"/>
        <w:spacing w:after="0"/>
        <w:rPr>
          <w:sz w:val="20"/>
          <w:szCs w:val="20"/>
          <w:color w:val="auto"/>
        </w:rPr>
      </w:pPr>
      <w:r>
        <w:rPr>
          <w:rFonts w:ascii="Arial" w:cs="Arial" w:eastAsia="Arial" w:hAnsi="Arial"/>
          <w:sz w:val="18"/>
          <w:szCs w:val="18"/>
          <w:b w:val="1"/>
          <w:bCs w:val="1"/>
          <w:color w:val="6D6D6D"/>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6D6D6D"/>
              </w:rPr>
              <w:t>September 30,</w:t>
            </w:r>
          </w:p>
        </w:tc>
        <w:tc>
          <w:tcPr>
            <w:tcW w:w="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6D6D6D"/>
              </w:rPr>
              <w:t>December 31,</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6D6D6D"/>
              </w:rPr>
              <w:t>2025</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6D6D6D"/>
              </w:rPr>
              <w:t>2024</w:t>
            </w:r>
          </w:p>
        </w:tc>
        <w:tc>
          <w:tcPr>
            <w:tcW w:w="0" w:type="dxa"/>
            <w:vAlign w:val="bottom"/>
          </w:tcPr>
          <w:p>
            <w:pPr>
              <w:spacing w:after="0"/>
              <w:rPr>
                <w:sz w:val="1"/>
                <w:szCs w:val="1"/>
                <w:color w:val="auto"/>
              </w:rPr>
            </w:pPr>
          </w:p>
        </w:tc>
      </w:tr>
      <w:tr>
        <w:trPr>
          <w:trHeight w:val="155"/>
        </w:trPr>
        <w:tc>
          <w:tcPr>
            <w:tcW w:w="8100" w:type="dxa"/>
            <w:vAlign w:val="bottom"/>
          </w:tcPr>
          <w:p>
            <w:pPr>
              <w:spacing w:after="0"/>
              <w:rPr>
                <w:sz w:val="13"/>
                <w:szCs w:val="13"/>
                <w:color w:val="auto"/>
              </w:rPr>
            </w:pPr>
          </w:p>
        </w:tc>
        <w:tc>
          <w:tcPr>
            <w:tcW w:w="3140" w:type="dxa"/>
            <w:vAlign w:val="bottom"/>
            <w:gridSpan w:val="5"/>
          </w:tcPr>
          <w:p>
            <w:pPr>
              <w:jc w:val="right"/>
              <w:spacing w:after="0" w:line="155" w:lineRule="exact"/>
              <w:rPr>
                <w:sz w:val="20"/>
                <w:szCs w:val="20"/>
                <w:color w:val="auto"/>
              </w:rPr>
            </w:pPr>
            <w:r>
              <w:rPr>
                <w:rFonts w:ascii="Arial" w:cs="Arial" w:eastAsia="Arial" w:hAnsi="Arial"/>
                <w:sz w:val="16"/>
                <w:szCs w:val="16"/>
                <w:b w:val="1"/>
                <w:bCs w:val="1"/>
                <w:color w:val="6D6D6D"/>
              </w:rPr>
              <w:t>(in thousands, except for share and par</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6D6D6D"/>
              </w:rPr>
              <w:t>value amounts)</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720"/>
              <w:spacing w:after="0"/>
              <w:rPr>
                <w:sz w:val="20"/>
                <w:szCs w:val="20"/>
                <w:color w:val="auto"/>
              </w:rPr>
            </w:pPr>
            <w:r>
              <w:rPr>
                <w:rFonts w:ascii="Arial" w:cs="Arial" w:eastAsia="Arial" w:hAnsi="Arial"/>
                <w:sz w:val="16"/>
                <w:szCs w:val="16"/>
                <w:b w:val="1"/>
                <w:bCs w:val="1"/>
                <w:color w:val="6D6D6D"/>
              </w:rPr>
              <w:t>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Real estate, at cost</w:t>
            </w:r>
          </w:p>
        </w:tc>
        <w:tc>
          <w:tcPr>
            <w:tcW w:w="140" w:type="dxa"/>
            <w:vAlign w:val="bottom"/>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6D6D6D"/>
              </w:rPr>
              <w:t>26,718,660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Pr>
          <w:p>
            <w:pPr>
              <w:jc w:val="right"/>
              <w:spacing w:after="0"/>
              <w:rPr>
                <w:sz w:val="20"/>
                <w:szCs w:val="20"/>
                <w:color w:val="auto"/>
              </w:rPr>
            </w:pPr>
            <w:r>
              <w:rPr>
                <w:rFonts w:ascii="Arial" w:cs="Arial" w:eastAsia="Arial" w:hAnsi="Arial"/>
                <w:sz w:val="16"/>
                <w:szCs w:val="16"/>
                <w:color w:val="6D6D6D"/>
              </w:rPr>
              <w:t>26,391,933</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Construction in progress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1,322,608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764,640</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Land held for future development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568,516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714,050</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Right of use assets - finance leases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372,747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372,922</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Right of use assets - operating leases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321,063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334,767</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(8,008,908)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(7,528,057)</w:t>
            </w:r>
          </w:p>
        </w:tc>
        <w:tc>
          <w:tcPr>
            <w:tcW w:w="0" w:type="dxa"/>
            <w:vAlign w:val="bottom"/>
          </w:tcPr>
          <w:p>
            <w:pPr>
              <w:spacing w:after="0"/>
              <w:rPr>
                <w:sz w:val="1"/>
                <w:szCs w:val="1"/>
                <w:color w:val="auto"/>
              </w:rPr>
            </w:pPr>
          </w:p>
        </w:tc>
      </w:tr>
      <w:tr>
        <w:trPr>
          <w:trHeight w:val="209"/>
        </w:trPr>
        <w:tc>
          <w:tcPr>
            <w:tcW w:w="8100" w:type="dxa"/>
            <w:vAlign w:val="bottom"/>
          </w:tcPr>
          <w:p>
            <w:pPr>
              <w:ind w:left="680"/>
              <w:spacing w:after="0"/>
              <w:rPr>
                <w:sz w:val="20"/>
                <w:szCs w:val="20"/>
                <w:color w:val="auto"/>
              </w:rPr>
            </w:pPr>
            <w:r>
              <w:rPr>
                <w:rFonts w:ascii="Arial" w:cs="Arial" w:eastAsia="Arial" w:hAnsi="Arial"/>
                <w:sz w:val="16"/>
                <w:szCs w:val="16"/>
                <w:color w:val="6D6D6D"/>
              </w:rPr>
              <w:t>Total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21,294,686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21,050,255</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Cash and cash equivalents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861,066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1,254,882</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Cash held in escrows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77,663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80,314</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Investments in securities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43,604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39,706</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Tenant and other receivables,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136,743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107,453</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Note receivable,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8,898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4,947</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Related party note receivables,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88,879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88,779</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Sales-type lease receivable,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15,430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14,657</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Accrued rental income,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1,532,403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1,466,220</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Deferred charges,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802,785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813,345</w:t>
            </w: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Prepaid expenses and other assets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137,561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70,839</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Investments in unconsolidated joint ventures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999,764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1,093,583</w:t>
            </w:r>
          </w:p>
        </w:tc>
        <w:tc>
          <w:tcPr>
            <w:tcW w:w="0" w:type="dxa"/>
            <w:vAlign w:val="bottom"/>
          </w:tcPr>
          <w:p>
            <w:pPr>
              <w:spacing w:after="0"/>
              <w:rPr>
                <w:sz w:val="1"/>
                <w:szCs w:val="1"/>
                <w:color w:val="auto"/>
              </w:rPr>
            </w:pPr>
          </w:p>
        </w:tc>
      </w:tr>
      <w:tr>
        <w:trPr>
          <w:trHeight w:val="209"/>
        </w:trPr>
        <w:tc>
          <w:tcPr>
            <w:tcW w:w="8100" w:type="dxa"/>
            <w:vAlign w:val="bottom"/>
          </w:tcPr>
          <w:p>
            <w:pPr>
              <w:ind w:left="680"/>
              <w:spacing w:after="0"/>
              <w:rPr>
                <w:sz w:val="20"/>
                <w:szCs w:val="20"/>
                <w:color w:val="auto"/>
              </w:rPr>
            </w:pPr>
            <w:r>
              <w:rPr>
                <w:rFonts w:ascii="Arial" w:cs="Arial" w:eastAsia="Arial" w:hAnsi="Arial"/>
                <w:sz w:val="16"/>
                <w:szCs w:val="16"/>
                <w:color w:val="6D6D6D"/>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25,999,482</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26,084,980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100" w:type="dxa"/>
            <w:vAlign w:val="bottom"/>
            <w:shd w:val="clear" w:color="auto" w:fill="CCEEFF"/>
          </w:tcPr>
          <w:p>
            <w:pPr>
              <w:ind w:left="3060"/>
              <w:spacing w:after="0"/>
              <w:rPr>
                <w:sz w:val="20"/>
                <w:szCs w:val="20"/>
                <w:color w:val="auto"/>
              </w:rPr>
            </w:pPr>
            <w:r>
              <w:rPr>
                <w:rFonts w:ascii="Arial" w:cs="Arial" w:eastAsia="Arial" w:hAnsi="Arial"/>
                <w:sz w:val="16"/>
                <w:szCs w:val="16"/>
                <w:b w:val="1"/>
                <w:bCs w:val="1"/>
                <w:color w:val="6D6D6D"/>
              </w:rPr>
              <w:t>LIABILITIES AND EQUITY</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Mortgage notes payable,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4,279,482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4,276,609</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Unsecured senior notes,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9,803,336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10,645,077</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Unsecured exchangeable senior notes,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975,080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Unsecured line of credit</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Unsecured term loans,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796,798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798,813</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Unsecured commercial paper</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750,000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500,000</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Lease liabilities - finance leases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363,207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370,885</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Lease liabilities - operating leases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379,792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392,686</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Accounts payable and accrued expenses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484,798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401,874</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Dividends and distributions payable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123,259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172,486</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Accrued interest payable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120,128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128,098</w:t>
            </w:r>
          </w:p>
        </w:tc>
        <w:tc>
          <w:tcPr>
            <w:tcW w:w="0" w:type="dxa"/>
            <w:vAlign w:val="bottom"/>
          </w:tcPr>
          <w:p>
            <w:pPr>
              <w:spacing w:after="0"/>
              <w:rPr>
                <w:sz w:val="1"/>
                <w:szCs w:val="1"/>
                <w:color w:val="auto"/>
              </w:rPr>
            </w:pPr>
          </w:p>
        </w:tc>
      </w:tr>
      <w:tr>
        <w:trPr>
          <w:trHeight w:val="215"/>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Other liabilities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406,820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450,796</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6D6D6D"/>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18,482,700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18,137,324</w:t>
            </w:r>
          </w:p>
        </w:tc>
        <w:tc>
          <w:tcPr>
            <w:tcW w:w="0" w:type="dxa"/>
            <w:vAlign w:val="bottom"/>
          </w:tcPr>
          <w:p>
            <w:pPr>
              <w:spacing w:after="0"/>
              <w:rPr>
                <w:sz w:val="1"/>
                <w:szCs w:val="1"/>
                <w:color w:val="auto"/>
              </w:rPr>
            </w:pPr>
          </w:p>
        </w:tc>
      </w:tr>
      <w:tr>
        <w:trPr>
          <w:trHeight w:val="197"/>
        </w:trPr>
        <w:tc>
          <w:tcPr>
            <w:tcW w:w="8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Commitments and contingencies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6D6D6D"/>
              </w:rPr>
              <w:t>Redeemable deferred stock units</w:t>
            </w: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6D6D6D"/>
              </w:rPr>
              <w:t>8,006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6D6D6D"/>
              </w:rPr>
              <w:t>9,535</w:t>
            </w:r>
          </w:p>
        </w:tc>
        <w:tc>
          <w:tcPr>
            <w:tcW w:w="0" w:type="dxa"/>
            <w:vAlign w:val="bottom"/>
          </w:tcPr>
          <w:p>
            <w:pPr>
              <w:spacing w:after="0"/>
              <w:rPr>
                <w:sz w:val="1"/>
                <w:szCs w:val="1"/>
                <w:color w:val="auto"/>
              </w:rPr>
            </w:pP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Equity:</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6D6D6D"/>
              </w:rPr>
              <w:t>Stockholders’ equity attributable to BXP, Inc.:</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Excess stock, $0.01 par value, 150,000,000 shares authorized, none issued or outstanding</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Preferred stock, $0.01 par value, 50,000,000 shares authorized; none issued or outstanding</w:t>
            </w:r>
          </w:p>
        </w:tc>
        <w:tc>
          <w:tcPr>
            <w:tcW w:w="1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6D6D6D"/>
              </w:rPr>
              <w:t>Common stock, $0.01 par value, 250,000,000 shares authorized, 158,479,314 and 158,253,895 issued and</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1,584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1,582</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600"/>
              <w:spacing w:after="0"/>
              <w:rPr>
                <w:sz w:val="20"/>
                <w:szCs w:val="20"/>
                <w:color w:val="auto"/>
              </w:rPr>
            </w:pPr>
            <w:r>
              <w:rPr>
                <w:rFonts w:ascii="Arial" w:cs="Arial" w:eastAsia="Arial" w:hAnsi="Arial"/>
                <w:sz w:val="16"/>
                <w:szCs w:val="16"/>
                <w:color w:val="6D6D6D"/>
              </w:rPr>
              <w:t>158,400,414 and 158,174,995 outstanding at September 30, 2025 and December 31, 2024, respectively</w:t>
            </w: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Additional paid-in capital</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6,827,889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6,836,093</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Dividends in excess of earnings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(1,812,361)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(1,419,575)</w:t>
            </w: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Treasury common stock at cost, 78,900 shares at September 30, 2025 and December 31, 2024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(2,722)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(2,722)</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Accumulated 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(14,831)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(2,072)</w:t>
            </w:r>
          </w:p>
        </w:tc>
        <w:tc>
          <w:tcPr>
            <w:tcW w:w="0" w:type="dxa"/>
            <w:vAlign w:val="bottom"/>
          </w:tcPr>
          <w:p>
            <w:pPr>
              <w:spacing w:after="0"/>
              <w:rPr>
                <w:sz w:val="1"/>
                <w:szCs w:val="1"/>
                <w:color w:val="auto"/>
              </w:rPr>
            </w:pPr>
          </w:p>
        </w:tc>
      </w:tr>
      <w:tr>
        <w:trPr>
          <w:trHeight w:val="209"/>
        </w:trPr>
        <w:tc>
          <w:tcPr>
            <w:tcW w:w="8100" w:type="dxa"/>
            <w:vAlign w:val="bottom"/>
          </w:tcPr>
          <w:p>
            <w:pPr>
              <w:ind w:left="680"/>
              <w:spacing w:after="0"/>
              <w:rPr>
                <w:sz w:val="20"/>
                <w:szCs w:val="20"/>
                <w:color w:val="auto"/>
              </w:rPr>
            </w:pPr>
            <w:r>
              <w:rPr>
                <w:rFonts w:ascii="Arial" w:cs="Arial" w:eastAsia="Arial" w:hAnsi="Arial"/>
                <w:sz w:val="16"/>
                <w:szCs w:val="16"/>
                <w:color w:val="6D6D6D"/>
              </w:rPr>
              <w:t>Total stockholders’ equity attributable to BXP, Inc.</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4,999,559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5,413,306</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Noncontrolling interests: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6D6D6D"/>
              </w:rPr>
              <w:t>Common units of the Operating Partnership</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554,440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591,270</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Property partnerships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1,954,777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1,933,545</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6D6D6D"/>
              </w:rPr>
              <w:t>Total equity</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7,508,776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7,938,121</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6D6D6D"/>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25,999,482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26,084,980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04"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6D6D6D"/>
        </w:rPr>
        <w:t>BXP,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D6D"/>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D6D"/>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6D6D6D"/>
              </w:rPr>
              <w:t>Three months ended</w:t>
            </w:r>
          </w:p>
        </w:tc>
        <w:tc>
          <w:tcPr>
            <w:tcW w:w="180" w:type="dxa"/>
            <w:vAlign w:val="bottom"/>
          </w:tcPr>
          <w:p>
            <w:pPr>
              <w:spacing w:after="0"/>
              <w:rPr>
                <w:sz w:val="16"/>
                <w:szCs w:val="16"/>
                <w:color w:val="auto"/>
              </w:rPr>
            </w:pPr>
          </w:p>
        </w:tc>
        <w:tc>
          <w:tcPr>
            <w:tcW w:w="21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6D6D6D"/>
              </w:rPr>
              <w:t>Nine months ended</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6D6D6D"/>
              </w:rPr>
              <w:t>September 30,</w:t>
            </w:r>
          </w:p>
        </w:tc>
        <w:tc>
          <w:tcPr>
            <w:tcW w:w="180" w:type="dxa"/>
            <w:vAlign w:val="bottom"/>
          </w:tcPr>
          <w:p>
            <w:pPr>
              <w:spacing w:after="0"/>
              <w:rPr>
                <w:sz w:val="18"/>
                <w:szCs w:val="18"/>
                <w:color w:val="auto"/>
              </w:rPr>
            </w:pPr>
          </w:p>
        </w:tc>
        <w:tc>
          <w:tcPr>
            <w:tcW w:w="21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6D6D6D"/>
              </w:rPr>
              <w:t>September 30,</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2025</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2024</w:t>
            </w:r>
          </w:p>
        </w:tc>
        <w:tc>
          <w:tcPr>
            <w:tcW w:w="2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2025</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2024</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10"/>
          </w:tcPr>
          <w:p>
            <w:pPr>
              <w:jc w:val="right"/>
              <w:ind w:right="579"/>
              <w:spacing w:after="0"/>
              <w:rPr>
                <w:sz w:val="20"/>
                <w:szCs w:val="20"/>
                <w:color w:val="auto"/>
              </w:rPr>
            </w:pPr>
            <w:r>
              <w:rPr>
                <w:rFonts w:ascii="Arial" w:cs="Arial" w:eastAsia="Arial" w:hAnsi="Arial"/>
                <w:sz w:val="16"/>
                <w:szCs w:val="16"/>
                <w:b w:val="1"/>
                <w:bCs w:val="1"/>
                <w:color w:val="6D6D6D"/>
              </w:rPr>
              <w:t>(in thousands, except for per share amounts)</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Revenue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Lease</w:t>
            </w:r>
          </w:p>
        </w:tc>
        <w:tc>
          <w:tcPr>
            <w:tcW w:w="220" w:type="dxa"/>
            <w:vAlign w:val="bottom"/>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Pr>
          <w:p>
            <w:pPr>
              <w:jc w:val="right"/>
              <w:spacing w:after="0"/>
              <w:rPr>
                <w:sz w:val="20"/>
                <w:szCs w:val="20"/>
                <w:color w:val="auto"/>
              </w:rPr>
            </w:pPr>
            <w:r>
              <w:rPr>
                <w:rFonts w:ascii="Arial" w:cs="Arial" w:eastAsia="Arial" w:hAnsi="Arial"/>
                <w:sz w:val="16"/>
                <w:szCs w:val="16"/>
                <w:color w:val="6D6D6D"/>
              </w:rPr>
              <w:t>809,820</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Pr>
          <w:p>
            <w:pPr>
              <w:jc w:val="right"/>
              <w:spacing w:after="0"/>
              <w:rPr>
                <w:sz w:val="20"/>
                <w:szCs w:val="20"/>
                <w:color w:val="auto"/>
              </w:rPr>
            </w:pPr>
            <w:r>
              <w:rPr>
                <w:rFonts w:ascii="Arial" w:cs="Arial" w:eastAsia="Arial" w:hAnsi="Arial"/>
                <w:sz w:val="16"/>
                <w:szCs w:val="16"/>
                <w:color w:val="6D6D6D"/>
              </w:rPr>
              <w:t>799,471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Pr>
          <w:p>
            <w:pPr>
              <w:jc w:val="right"/>
              <w:spacing w:after="0"/>
              <w:rPr>
                <w:sz w:val="20"/>
                <w:szCs w:val="20"/>
                <w:color w:val="auto"/>
              </w:rPr>
            </w:pPr>
            <w:r>
              <w:rPr>
                <w:rFonts w:ascii="Arial" w:cs="Arial" w:eastAsia="Arial" w:hAnsi="Arial"/>
                <w:sz w:val="16"/>
                <w:szCs w:val="16"/>
                <w:color w:val="6D6D6D"/>
              </w:rPr>
              <w:t>2,426,857</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6D6D6D"/>
              </w:rPr>
              <w:t>$</w:t>
            </w:r>
          </w:p>
        </w:tc>
        <w:tc>
          <w:tcPr>
            <w:tcW w:w="880" w:type="dxa"/>
            <w:vAlign w:val="bottom"/>
          </w:tcPr>
          <w:p>
            <w:pPr>
              <w:jc w:val="right"/>
              <w:spacing w:after="0"/>
              <w:rPr>
                <w:sz w:val="20"/>
                <w:szCs w:val="20"/>
                <w:color w:val="auto"/>
              </w:rPr>
            </w:pPr>
            <w:r>
              <w:rPr>
                <w:rFonts w:ascii="Arial" w:cs="Arial" w:eastAsia="Arial" w:hAnsi="Arial"/>
                <w:sz w:val="16"/>
                <w:szCs w:val="16"/>
                <w:color w:val="6D6D6D"/>
              </w:rPr>
              <w:t>2,378,616</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Parking and other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35,390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34,255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100,431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101,086</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Hotel</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13,162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15,082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37,532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38,080</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Development and management services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9,317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6,770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27,938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19,276</w:t>
            </w:r>
          </w:p>
        </w:tc>
        <w:tc>
          <w:tcPr>
            <w:tcW w:w="0" w:type="dxa"/>
            <w:vAlign w:val="bottom"/>
          </w:tcPr>
          <w:p>
            <w:pPr>
              <w:spacing w:after="0"/>
              <w:rPr>
                <w:sz w:val="1"/>
                <w:szCs w:val="1"/>
                <w:color w:val="auto"/>
              </w:rPr>
            </w:pPr>
          </w:p>
        </w:tc>
      </w:tr>
      <w:tr>
        <w:trPr>
          <w:trHeight w:val="162"/>
        </w:trPr>
        <w:tc>
          <w:tcPr>
            <w:tcW w:w="6440" w:type="dxa"/>
            <w:vAlign w:val="bottom"/>
          </w:tcPr>
          <w:p>
            <w:pPr>
              <w:ind w:left="360"/>
              <w:spacing w:after="0" w:line="162" w:lineRule="exact"/>
              <w:rPr>
                <w:sz w:val="20"/>
                <w:szCs w:val="20"/>
                <w:color w:val="auto"/>
              </w:rPr>
            </w:pPr>
            <w:r>
              <w:rPr>
                <w:rFonts w:ascii="Arial" w:cs="Arial" w:eastAsia="Arial" w:hAnsi="Arial"/>
                <w:sz w:val="16"/>
                <w:szCs w:val="16"/>
                <w:color w:val="6D6D6D"/>
              </w:rPr>
              <w:t>Direct reimbursements of payroll and related costs from management services</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6D6D6D"/>
              </w:rPr>
              <w:t>3,821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6D6D6D"/>
              </w:rPr>
              <w:t>3,649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6D6D6D"/>
              </w:rPr>
              <w:t>12,424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6D6D6D"/>
              </w:rPr>
              <w:t>12,090</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6D6D6D"/>
              </w:rPr>
              <w:t>contracts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120"/>
              <w:spacing w:after="0"/>
              <w:rPr>
                <w:sz w:val="20"/>
                <w:szCs w:val="20"/>
                <w:color w:val="auto"/>
              </w:rPr>
            </w:pPr>
            <w:r>
              <w:rPr>
                <w:rFonts w:ascii="Arial" w:cs="Arial" w:eastAsia="Arial" w:hAnsi="Arial"/>
                <w:sz w:val="16"/>
                <w:szCs w:val="16"/>
                <w:color w:val="6D6D6D"/>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871,510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859,227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2,605,182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2,549,148</w:t>
            </w:r>
          </w:p>
        </w:tc>
        <w:tc>
          <w:tcPr>
            <w:tcW w:w="0" w:type="dxa"/>
            <w:vAlign w:val="bottom"/>
          </w:tcPr>
          <w:p>
            <w:pPr>
              <w:spacing w:after="0"/>
              <w:rPr>
                <w:sz w:val="1"/>
                <w:szCs w:val="1"/>
                <w:color w:val="auto"/>
              </w:rPr>
            </w:pPr>
          </w:p>
        </w:tc>
      </w:tr>
      <w:tr>
        <w:trPr>
          <w:trHeight w:val="195"/>
        </w:trPr>
        <w:tc>
          <w:tcPr>
            <w:tcW w:w="6440" w:type="dxa"/>
            <w:vAlign w:val="bottom"/>
          </w:tcPr>
          <w:p>
            <w:pPr>
              <w:ind w:left="20"/>
              <w:spacing w:after="0"/>
              <w:rPr>
                <w:sz w:val="20"/>
                <w:szCs w:val="20"/>
                <w:color w:val="auto"/>
              </w:rPr>
            </w:pPr>
            <w:r>
              <w:rPr>
                <w:rFonts w:ascii="Arial" w:cs="Arial" w:eastAsia="Arial" w:hAnsi="Arial"/>
                <w:sz w:val="16"/>
                <w:szCs w:val="16"/>
                <w:color w:val="6D6D6D"/>
              </w:rPr>
              <w:t>Expenses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Operating</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680"/>
              <w:spacing w:after="0"/>
              <w:rPr>
                <w:sz w:val="20"/>
                <w:szCs w:val="20"/>
                <w:color w:val="auto"/>
              </w:rPr>
            </w:pPr>
            <w:r>
              <w:rPr>
                <w:rFonts w:ascii="Arial" w:cs="Arial" w:eastAsia="Arial" w:hAnsi="Arial"/>
                <w:sz w:val="16"/>
                <w:szCs w:val="16"/>
                <w:color w:val="6D6D6D"/>
              </w:rPr>
              <w:t>Rental</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331,736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327,897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995,376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963,480</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6D6D6D"/>
              </w:rPr>
              <w:t>Hotel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9,628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9,833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26,558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25,687</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General and administrative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36,188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33,352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130,988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127,479</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Payroll and related costs from management services contracts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3,821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3,649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12,424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12,090</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Transaction costs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1,431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188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2,556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890</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236,147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222,890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680,073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661,148</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6D6D6D"/>
              </w:rPr>
              <w:t>Total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618,951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597,809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1,847,975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1,790,774</w:t>
            </w:r>
          </w:p>
        </w:tc>
        <w:tc>
          <w:tcPr>
            <w:tcW w:w="0" w:type="dxa"/>
            <w:vAlign w:val="bottom"/>
          </w:tcPr>
          <w:p>
            <w:pPr>
              <w:spacing w:after="0"/>
              <w:rPr>
                <w:sz w:val="1"/>
                <w:szCs w:val="1"/>
                <w:color w:val="auto"/>
              </w:rPr>
            </w:pPr>
          </w:p>
        </w:tc>
      </w:tr>
      <w:tr>
        <w:trPr>
          <w:trHeight w:val="19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Other income (expense)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Income (loss) from unconsolidated joint ventures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(148,329)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(7,011)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(153,792)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6,376</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Gains on sales of real estate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1,932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20,322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517</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Loss on sales-type lease</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6D6D6D"/>
              </w:rPr>
              <w:t>—</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6D6D6D"/>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(2,490)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Interest and other income (loss)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7,620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14,430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23,433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39,747</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Gains from investments in securities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2,400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2,198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4,635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4,785</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Unrealized gain (loss) on non-real estate investments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548</w:t>
            </w:r>
          </w:p>
        </w:tc>
        <w:tc>
          <w:tcPr>
            <w:tcW w:w="0" w:type="dxa"/>
            <w:vAlign w:val="bottom"/>
          </w:tcPr>
          <w:p>
            <w:pPr>
              <w:spacing w:after="0"/>
              <w:rPr>
                <w:sz w:val="1"/>
                <w:szCs w:val="1"/>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6"/>
                <w:szCs w:val="16"/>
                <w:color w:val="6D6D6D"/>
              </w:rPr>
              <w:t>Impairment losses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(68,901)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6D6D6D"/>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(68,901)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(13,615)</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Loss from early extinguishment of debt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6D6D6D"/>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6D6D6D"/>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Interest expense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(164,299)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(163,194)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(490,526)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(474,727)</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Net income (loss)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(116,840)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108,452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89,206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322,005</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6D6D6D"/>
              </w:rPr>
              <w:t>Net (income) loss attributable to noncontrolling interests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Noncontrolling interests in property partnerships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(17,853)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(15,237)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(56,702)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(50,283)</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Noncontrolling interest—common units of the Operating Partnership</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12,981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(9,587)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(4,054)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(28,596)</w:t>
            </w:r>
          </w:p>
        </w:tc>
        <w:tc>
          <w:tcPr>
            <w:tcW w:w="0" w:type="dxa"/>
            <w:vAlign w:val="bottom"/>
          </w:tcPr>
          <w:p>
            <w:pPr>
              <w:spacing w:after="0"/>
              <w:rPr>
                <w:sz w:val="1"/>
                <w:szCs w:val="1"/>
                <w:color w:val="auto"/>
              </w:rPr>
            </w:pPr>
          </w:p>
        </w:tc>
      </w:tr>
      <w:tr>
        <w:trPr>
          <w:trHeight w:val="23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Net income (loss) attributable to BXP, Inc.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(121,712)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83,628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28,450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243,126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6D6D6D"/>
              </w:rPr>
              <w:t>Basic earnings per common share attributable to BXP, Inc.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(0.77)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0.53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0.18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1.55</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Weighted average number of common shares outstanding</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158,345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157,725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158,287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157,250</w:t>
            </w:r>
          </w:p>
        </w:tc>
        <w:tc>
          <w:tcPr>
            <w:tcW w:w="0" w:type="dxa"/>
            <w:vAlign w:val="bottom"/>
          </w:tcPr>
          <w:p>
            <w:pPr>
              <w:spacing w:after="0"/>
              <w:rPr>
                <w:sz w:val="1"/>
                <w:szCs w:val="1"/>
                <w:color w:val="auto"/>
              </w:rPr>
            </w:pPr>
          </w:p>
        </w:tc>
      </w:tr>
      <w:tr>
        <w:trPr>
          <w:trHeight w:val="19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Diluted earnings per common share attributable to BXP, Inc.</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Net income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(0.77)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0.53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0.18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1.54</w:t>
            </w:r>
          </w:p>
        </w:tc>
        <w:tc>
          <w:tcPr>
            <w:tcW w:w="0" w:type="dxa"/>
            <w:vAlign w:val="bottom"/>
          </w:tcPr>
          <w:p>
            <w:pPr>
              <w:spacing w:after="0"/>
              <w:rPr>
                <w:sz w:val="1"/>
                <w:szCs w:val="1"/>
                <w:color w:val="auto"/>
              </w:rPr>
            </w:pPr>
          </w:p>
        </w:tc>
      </w:tr>
      <w:tr>
        <w:trPr>
          <w:trHeight w:val="143"/>
        </w:trPr>
        <w:tc>
          <w:tcPr>
            <w:tcW w:w="64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6D6D6D"/>
              </w:rPr>
              <w:t>Weighted average number of common and common equivalent shares</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158,345</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158,213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158,787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157,547</w:t>
            </w: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ind w:left="600"/>
              <w:spacing w:after="0"/>
              <w:rPr>
                <w:sz w:val="20"/>
                <w:szCs w:val="20"/>
                <w:color w:val="auto"/>
              </w:rPr>
            </w:pPr>
            <w:r>
              <w:rPr>
                <w:rFonts w:ascii="Arial" w:cs="Arial" w:eastAsia="Arial" w:hAnsi="Arial"/>
                <w:sz w:val="16"/>
                <w:szCs w:val="16"/>
                <w:color w:val="6D6D6D"/>
              </w:rPr>
              <w:t>outstanding</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769" w:right="3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6D6D6D"/>
        </w:rPr>
        <w:t>BXP, INC.</w:t>
      </w:r>
    </w:p>
    <w:p>
      <w:pPr>
        <w:jc w:val="center"/>
        <w:ind w:right="-19"/>
        <w:spacing w:after="0" w:line="220" w:lineRule="auto"/>
        <w:rPr>
          <w:sz w:val="20"/>
          <w:szCs w:val="20"/>
          <w:color w:val="auto"/>
        </w:rPr>
      </w:pPr>
      <w:r>
        <w:rPr>
          <w:rFonts w:ascii="Arial" w:cs="Arial" w:eastAsia="Arial" w:hAnsi="Arial"/>
          <w:sz w:val="18"/>
          <w:szCs w:val="18"/>
          <w:b w:val="1"/>
          <w:bCs w:val="1"/>
          <w:color w:val="6D6D6D"/>
        </w:rPr>
        <w:t xml:space="preserve">FUNDS FROM OPERATIONS </w:t>
      </w:r>
      <w:r>
        <w:rPr>
          <w:rFonts w:ascii="Arial" w:cs="Arial" w:eastAsia="Arial" w:hAnsi="Arial"/>
          <w:sz w:val="23"/>
          <w:szCs w:val="23"/>
          <w:b w:val="1"/>
          <w:bCs w:val="1"/>
          <w:color w:val="6D6D6D"/>
          <w:vertAlign w:val="superscript"/>
        </w:rPr>
        <w:t>(1)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D6D"/>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720" w:type="dxa"/>
            <w:vAlign w:val="bottom"/>
            <w:gridSpan w:val="7"/>
          </w:tcPr>
          <w:p>
            <w:pPr>
              <w:ind w:left="20"/>
              <w:spacing w:after="0"/>
              <w:rPr>
                <w:sz w:val="20"/>
                <w:szCs w:val="20"/>
                <w:color w:val="auto"/>
              </w:rPr>
            </w:pPr>
            <w:r>
              <w:rPr>
                <w:rFonts w:ascii="Arial" w:cs="Arial" w:eastAsia="Arial" w:hAnsi="Arial"/>
                <w:sz w:val="16"/>
                <w:szCs w:val="16"/>
                <w:b w:val="1"/>
                <w:bCs w:val="1"/>
                <w:color w:val="6D6D6D"/>
              </w:rPr>
              <w:t>Three months ended September</w:t>
            </w:r>
          </w:p>
        </w:tc>
        <w:tc>
          <w:tcPr>
            <w:tcW w:w="2500" w:type="dxa"/>
            <w:vAlign w:val="bottom"/>
            <w:gridSpan w:val="6"/>
          </w:tcPr>
          <w:p>
            <w:pPr>
              <w:jc w:val="right"/>
              <w:spacing w:after="0"/>
              <w:rPr>
                <w:sz w:val="20"/>
                <w:szCs w:val="20"/>
                <w:color w:val="auto"/>
              </w:rPr>
            </w:pPr>
            <w:r>
              <w:rPr>
                <w:rFonts w:ascii="Arial" w:cs="Arial" w:eastAsia="Arial" w:hAnsi="Arial"/>
                <w:sz w:val="16"/>
                <w:szCs w:val="16"/>
                <w:b w:val="1"/>
                <w:bCs w:val="1"/>
                <w:color w:val="6D6D6D"/>
              </w:rPr>
              <w:t>Nine months ended September</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6D6D6D"/>
              </w:rPr>
              <w:t>30,</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6D6D6D"/>
              </w:rPr>
              <w:t>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6D6D6D"/>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6D6D6D"/>
              </w:rPr>
              <w:t>2024</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6D6D6D"/>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6D6D6D"/>
              </w:rPr>
              <w:t>2024</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11"/>
          </w:tcPr>
          <w:p>
            <w:pPr>
              <w:jc w:val="right"/>
              <w:spacing w:after="0"/>
              <w:rPr>
                <w:sz w:val="20"/>
                <w:szCs w:val="20"/>
                <w:color w:val="auto"/>
              </w:rPr>
            </w:pPr>
            <w:r>
              <w:rPr>
                <w:rFonts w:ascii="Arial" w:cs="Arial" w:eastAsia="Arial" w:hAnsi="Arial"/>
                <w:sz w:val="16"/>
                <w:szCs w:val="16"/>
                <w:b w:val="1"/>
                <w:bCs w:val="1"/>
                <w:color w:val="6D6D6D"/>
              </w:rPr>
              <w:t>(in thousands, except for per share amounts)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Net income (loss) attributable to BXP, Inc.</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(121,712)</w:t>
            </w:r>
          </w:p>
        </w:tc>
        <w:tc>
          <w:tcPr>
            <w:tcW w:w="5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6D6D6D"/>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83,628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28,450</w:t>
            </w:r>
          </w:p>
        </w:tc>
        <w:tc>
          <w:tcPr>
            <w:tcW w:w="60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6D6D6D"/>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243,126</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6D6D6D"/>
              </w:rPr>
              <w:t>Add: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Noncontrolling interest - common units of the Operating Partnership</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9,587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4,054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28,596</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6D6D6D"/>
              </w:rPr>
              <w:t>Noncontrolling interests in property partnerships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6D6D6D"/>
              </w:rPr>
              <w:t>17,853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6D6D6D"/>
              </w:rPr>
              <w:t>15,237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6D6D6D"/>
              </w:rPr>
              <w:t>56,702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6D6D6D"/>
              </w:rPr>
              <w:t>50,283</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Net income (loss)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(116,840)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108,452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89,206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322,005</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6D6D6D"/>
              </w:rPr>
              <w:t>Add: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Depreciation and amortization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236,147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222,890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680,073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661,148</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line="162" w:lineRule="exact"/>
              <w:rPr>
                <w:sz w:val="20"/>
                <w:szCs w:val="20"/>
                <w:color w:val="auto"/>
              </w:rPr>
            </w:pPr>
            <w:r>
              <w:rPr>
                <w:rFonts w:ascii="Arial" w:cs="Arial" w:eastAsia="Arial" w:hAnsi="Arial"/>
                <w:sz w:val="16"/>
                <w:szCs w:val="16"/>
                <w:color w:val="6D6D6D"/>
              </w:rPr>
              <w:t>Noncontrolling interests in property partnerships’ share of depreciation and</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6D6D6D"/>
              </w:rPr>
              <w:t>(22,615)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6D6D6D"/>
              </w:rPr>
              <w:t>(18,857)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6D6D6D"/>
              </w:rPr>
              <w:t>(64,024)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6D6D6D"/>
              </w:rPr>
              <w:t>(56,755)</w:t>
            </w:r>
          </w:p>
        </w:tc>
        <w:tc>
          <w:tcPr>
            <w:tcW w:w="0" w:type="dxa"/>
            <w:vAlign w:val="bottom"/>
          </w:tcPr>
          <w:p>
            <w:pPr>
              <w:spacing w:after="0"/>
              <w:rPr>
                <w:sz w:val="1"/>
                <w:szCs w:val="1"/>
                <w:color w:val="auto"/>
              </w:rPr>
            </w:pPr>
          </w:p>
        </w:tc>
      </w:tr>
      <w:tr>
        <w:trPr>
          <w:trHeight w:val="215"/>
        </w:trPr>
        <w:tc>
          <w:tcPr>
            <w:tcW w:w="6000" w:type="dxa"/>
            <w:vAlign w:val="bottom"/>
          </w:tcPr>
          <w:p>
            <w:pPr>
              <w:ind w:left="520"/>
              <w:spacing w:after="0"/>
              <w:rPr>
                <w:sz w:val="20"/>
                <w:szCs w:val="20"/>
                <w:color w:val="auto"/>
              </w:rPr>
            </w:pPr>
            <w:r>
              <w:rPr>
                <w:rFonts w:ascii="Arial" w:cs="Arial" w:eastAsia="Arial" w:hAnsi="Arial"/>
                <w:sz w:val="16"/>
                <w:szCs w:val="16"/>
                <w:color w:val="6D6D6D"/>
              </w:rPr>
              <w:t>amortization</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6D6D6D"/>
              </w:rPr>
              <w:t>Company’s share of depreciation and amortization from unconsolidated joint</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17,272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20,757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51,273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60,807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520"/>
              <w:spacing w:after="0"/>
              <w:rPr>
                <w:sz w:val="20"/>
                <w:szCs w:val="20"/>
                <w:color w:val="auto"/>
              </w:rPr>
            </w:pPr>
            <w:r>
              <w:rPr>
                <w:rFonts w:ascii="Arial" w:cs="Arial" w:eastAsia="Arial" w:hAnsi="Arial"/>
                <w:sz w:val="16"/>
                <w:szCs w:val="16"/>
                <w:color w:val="6D6D6D"/>
              </w:rPr>
              <w:t>ventures</w:t>
            </w: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260"/>
              <w:spacing w:after="0"/>
              <w:rPr>
                <w:sz w:val="20"/>
                <w:szCs w:val="20"/>
                <w:color w:val="auto"/>
              </w:rPr>
            </w:pPr>
            <w:r>
              <w:rPr>
                <w:rFonts w:ascii="Arial" w:cs="Arial" w:eastAsia="Arial" w:hAnsi="Arial"/>
                <w:sz w:val="16"/>
                <w:szCs w:val="16"/>
                <w:color w:val="6D6D6D"/>
              </w:rPr>
              <w:t>Corporate-related depreciation and amortization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(582)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6D6D6D"/>
              </w:rPr>
              <w:t>(438)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(1,898)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6D6D6D"/>
              </w:rPr>
              <w:t>(1,263)</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Non-real estate related amortization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2,130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6,391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6,390</w:t>
            </w:r>
          </w:p>
        </w:tc>
        <w:tc>
          <w:tcPr>
            <w:tcW w:w="0" w:type="dxa"/>
            <w:vAlign w:val="bottom"/>
          </w:tcPr>
          <w:p>
            <w:pPr>
              <w:spacing w:after="0"/>
              <w:rPr>
                <w:sz w:val="1"/>
                <w:szCs w:val="1"/>
                <w:color w:val="auto"/>
              </w:rPr>
            </w:pPr>
          </w:p>
        </w:tc>
      </w:tr>
      <w:tr>
        <w:trPr>
          <w:trHeight w:val="215"/>
        </w:trPr>
        <w:tc>
          <w:tcPr>
            <w:tcW w:w="6000" w:type="dxa"/>
            <w:vAlign w:val="bottom"/>
          </w:tcPr>
          <w:p>
            <w:pPr>
              <w:ind w:left="260"/>
              <w:spacing w:after="0"/>
              <w:rPr>
                <w:sz w:val="20"/>
                <w:szCs w:val="20"/>
                <w:color w:val="auto"/>
              </w:rPr>
            </w:pPr>
            <w:r>
              <w:rPr>
                <w:rFonts w:ascii="Arial" w:cs="Arial" w:eastAsia="Arial" w:hAnsi="Arial"/>
                <w:sz w:val="16"/>
                <w:szCs w:val="16"/>
                <w:color w:val="6D6D6D"/>
              </w:rPr>
              <w:t>Loss on sales-type lease</w:t>
            </w:r>
          </w:p>
        </w:tc>
        <w:tc>
          <w:tcPr>
            <w:tcW w:w="2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color w:val="6D6D6D"/>
              </w:rPr>
              <w:t>—</w:t>
            </w: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2,490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Impairment losses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68,901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6D6D6D"/>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68,901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13,615</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line="162" w:lineRule="exact"/>
              <w:rPr>
                <w:sz w:val="20"/>
                <w:szCs w:val="20"/>
                <w:color w:val="auto"/>
              </w:rPr>
            </w:pPr>
            <w:r>
              <w:rPr>
                <w:rFonts w:ascii="Arial" w:cs="Arial" w:eastAsia="Arial" w:hAnsi="Arial"/>
                <w:sz w:val="16"/>
                <w:szCs w:val="16"/>
                <w:color w:val="6D6D6D"/>
              </w:rPr>
              <w:t>Impairment losses included within Income (loss) from unconsolidated joint</w:t>
            </w:r>
          </w:p>
        </w:tc>
        <w:tc>
          <w:tcPr>
            <w:tcW w:w="22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6D6D6D"/>
              </w:rPr>
              <w:t>145,133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6D6D6D"/>
              </w:rPr>
              <w:t>—</w:t>
            </w:r>
          </w:p>
        </w:tc>
        <w:tc>
          <w:tcPr>
            <w:tcW w:w="24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145,133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15"/>
        </w:trPr>
        <w:tc>
          <w:tcPr>
            <w:tcW w:w="6000" w:type="dxa"/>
            <w:vAlign w:val="bottom"/>
          </w:tcPr>
          <w:p>
            <w:pPr>
              <w:ind w:left="260"/>
              <w:spacing w:after="0"/>
              <w:rPr>
                <w:sz w:val="20"/>
                <w:szCs w:val="20"/>
                <w:color w:val="auto"/>
              </w:rPr>
            </w:pPr>
            <w:r>
              <w:rPr>
                <w:rFonts w:ascii="Arial" w:cs="Arial" w:eastAsia="Arial" w:hAnsi="Arial"/>
                <w:sz w:val="16"/>
                <w:szCs w:val="16"/>
                <w:color w:val="6D6D6D"/>
              </w:rPr>
              <w:t>ventures</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Less: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260"/>
              <w:spacing w:after="0"/>
              <w:rPr>
                <w:sz w:val="20"/>
                <w:szCs w:val="20"/>
                <w:color w:val="auto"/>
              </w:rPr>
            </w:pPr>
            <w:r>
              <w:rPr>
                <w:rFonts w:ascii="Arial" w:cs="Arial" w:eastAsia="Arial" w:hAnsi="Arial"/>
                <w:sz w:val="16"/>
                <w:szCs w:val="16"/>
                <w:color w:val="6D6D6D"/>
              </w:rPr>
              <w:t>Gains on sales of real estate</w:t>
            </w:r>
          </w:p>
        </w:tc>
        <w:tc>
          <w:tcPr>
            <w:tcW w:w="2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6D6D6D"/>
              </w:rPr>
              <w:t>1,932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6D6D6D"/>
              </w:rPr>
              <w:t>517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20,322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6D6D6D"/>
              </w:rPr>
              <w:t>517</w:t>
            </w: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6D6D6D"/>
              </w:rPr>
              <w:t>Gain on sale / consolidation included within income (loss) from unconsolidated</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2,236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6"/>
                <w:szCs w:val="16"/>
                <w:color w:val="6D6D6D"/>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2,236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21,696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520"/>
              <w:spacing w:after="0"/>
              <w:rPr>
                <w:sz w:val="20"/>
                <w:szCs w:val="20"/>
                <w:color w:val="auto"/>
              </w:rPr>
            </w:pPr>
            <w:r>
              <w:rPr>
                <w:rFonts w:ascii="Arial" w:cs="Arial" w:eastAsia="Arial" w:hAnsi="Arial"/>
                <w:sz w:val="16"/>
                <w:szCs w:val="16"/>
                <w:color w:val="6D6D6D"/>
              </w:rPr>
              <w:t>joint ventures</w:t>
            </w: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260"/>
              <w:spacing w:after="0"/>
              <w:rPr>
                <w:sz w:val="20"/>
                <w:szCs w:val="20"/>
                <w:color w:val="auto"/>
              </w:rPr>
            </w:pPr>
            <w:r>
              <w:rPr>
                <w:rFonts w:ascii="Arial" w:cs="Arial" w:eastAsia="Arial" w:hAnsi="Arial"/>
                <w:sz w:val="16"/>
                <w:szCs w:val="16"/>
                <w:color w:val="6D6D6D"/>
              </w:rPr>
              <w:t>Unrealized gain (loss) on non-real estate investments</w:t>
            </w:r>
          </w:p>
        </w:tc>
        <w:tc>
          <w:tcPr>
            <w:tcW w:w="2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6D6D6D"/>
              </w:rPr>
              <w:t>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6D6D6D"/>
              </w:rPr>
              <w:t>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6D6D6D"/>
              </w:rPr>
              <w:t>548</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Noncontrolling interests in property partnerships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17,853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15,237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56,702</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50,283</w:t>
            </w:r>
          </w:p>
        </w:tc>
        <w:tc>
          <w:tcPr>
            <w:tcW w:w="0" w:type="dxa"/>
            <w:vAlign w:val="bottom"/>
          </w:tcPr>
          <w:p>
            <w:pPr>
              <w:spacing w:after="0"/>
              <w:rPr>
                <w:sz w:val="1"/>
                <w:szCs w:val="1"/>
                <w:color w:val="auto"/>
              </w:rPr>
            </w:pPr>
          </w:p>
        </w:tc>
      </w:tr>
      <w:tr>
        <w:trPr>
          <w:trHeight w:val="142"/>
        </w:trPr>
        <w:tc>
          <w:tcPr>
            <w:tcW w:w="6000" w:type="dxa"/>
            <w:vAlign w:val="bottom"/>
          </w:tcPr>
          <w:p>
            <w:pPr>
              <w:ind w:left="20"/>
              <w:spacing w:after="0" w:line="142" w:lineRule="exact"/>
              <w:rPr>
                <w:sz w:val="20"/>
                <w:szCs w:val="20"/>
                <w:color w:val="auto"/>
              </w:rPr>
            </w:pPr>
            <w:r>
              <w:rPr>
                <w:rFonts w:ascii="Arial" w:cs="Arial" w:eastAsia="Arial" w:hAnsi="Arial"/>
                <w:sz w:val="16"/>
                <w:szCs w:val="16"/>
                <w:color w:val="6D6D6D"/>
              </w:rPr>
              <w:t>Funds from operations (FFO) attributable to the Operating Partnership (including</w:t>
            </w:r>
          </w:p>
        </w:tc>
        <w:tc>
          <w:tcPr>
            <w:tcW w:w="220" w:type="dxa"/>
            <w:vAlign w:val="bottom"/>
          </w:tcPr>
          <w:p>
            <w:pPr>
              <w:spacing w:after="0"/>
              <w:rPr>
                <w:sz w:val="12"/>
                <w:szCs w:val="12"/>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6D6D6D"/>
              </w:rPr>
              <w:t>307,347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6D6D6D"/>
              </w:rPr>
              <w:t>319,086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898,629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6D6D6D"/>
              </w:rPr>
              <w:t>932,903</w:t>
            </w:r>
          </w:p>
        </w:tc>
        <w:tc>
          <w:tcPr>
            <w:tcW w:w="0" w:type="dxa"/>
            <w:vAlign w:val="bottom"/>
          </w:tcPr>
          <w:p>
            <w:pPr>
              <w:spacing w:after="0"/>
              <w:rPr>
                <w:sz w:val="1"/>
                <w:szCs w:val="1"/>
                <w:color w:val="auto"/>
              </w:rPr>
            </w:pPr>
          </w:p>
        </w:tc>
      </w:tr>
      <w:tr>
        <w:trPr>
          <w:trHeight w:val="215"/>
        </w:trPr>
        <w:tc>
          <w:tcPr>
            <w:tcW w:w="6000" w:type="dxa"/>
            <w:vAlign w:val="bottom"/>
          </w:tcPr>
          <w:p>
            <w:pPr>
              <w:ind w:left="260"/>
              <w:spacing w:after="0"/>
              <w:rPr>
                <w:sz w:val="20"/>
                <w:szCs w:val="20"/>
                <w:color w:val="auto"/>
              </w:rPr>
            </w:pPr>
            <w:r>
              <w:rPr>
                <w:rFonts w:ascii="Arial" w:cs="Arial" w:eastAsia="Arial" w:hAnsi="Arial"/>
                <w:sz w:val="16"/>
                <w:szCs w:val="16"/>
                <w:color w:val="6D6D6D"/>
              </w:rPr>
              <w:t>BXP, Inc.)</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Less: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line="162" w:lineRule="exact"/>
              <w:rPr>
                <w:sz w:val="20"/>
                <w:szCs w:val="20"/>
                <w:color w:val="auto"/>
              </w:rPr>
            </w:pPr>
            <w:r>
              <w:rPr>
                <w:rFonts w:ascii="Arial" w:cs="Arial" w:eastAsia="Arial" w:hAnsi="Arial"/>
                <w:sz w:val="16"/>
                <w:szCs w:val="16"/>
                <w:color w:val="6D6D6D"/>
              </w:rPr>
              <w:t>Noncontrolling interest - common units of the Operating Partnership’s share of</w:t>
            </w:r>
          </w:p>
        </w:tc>
        <w:tc>
          <w:tcPr>
            <w:tcW w:w="22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6D6D6D"/>
              </w:rPr>
              <w:t>30,673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6D6D6D"/>
              </w:rPr>
              <w:t>32,228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89,683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6D6D6D"/>
              </w:rPr>
              <w:t>96,369</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6D6D6D"/>
              </w:rPr>
              <w:t>funds from operations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Funds from operations attributable to BXP, Inc.</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276,674</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6D6D6D"/>
                <w:w w:val="89"/>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286,858</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808,946</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6D6D6D"/>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836,534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tcPr>
          <w:p>
            <w:pPr>
              <w:ind w:left="20"/>
              <w:spacing w:after="0"/>
              <w:rPr>
                <w:sz w:val="20"/>
                <w:szCs w:val="20"/>
                <w:color w:val="auto"/>
              </w:rPr>
            </w:pPr>
            <w:r>
              <w:rPr>
                <w:rFonts w:ascii="Arial" w:cs="Arial" w:eastAsia="Arial" w:hAnsi="Arial"/>
                <w:sz w:val="16"/>
                <w:szCs w:val="16"/>
                <w:color w:val="6D6D6D"/>
              </w:rPr>
              <w:t>BXP, Inc.’s percentage share of funds from operations - basic</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6D6D6D"/>
              </w:rPr>
              <w:t>90.02%</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89.90%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6D6D6D"/>
              </w:rPr>
              <w:t>90.02%</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89.67%</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Weighted average shares outstanding - basic</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158,345</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157,725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158,287</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157,250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3"/>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tcPr>
          <w:p>
            <w:pPr>
              <w:ind w:left="260"/>
              <w:spacing w:after="0"/>
              <w:rPr>
                <w:sz w:val="20"/>
                <w:szCs w:val="20"/>
                <w:color w:val="auto"/>
              </w:rPr>
            </w:pPr>
            <w:r>
              <w:rPr>
                <w:rFonts w:ascii="Arial" w:cs="Arial" w:eastAsia="Arial" w:hAnsi="Arial"/>
                <w:sz w:val="16"/>
                <w:szCs w:val="16"/>
                <w:color w:val="6D6D6D"/>
              </w:rPr>
              <w:t>FFO per share basic</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6D6D6D"/>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6D6D6D"/>
              </w:rPr>
              <w:t>1.75</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6D6D6D"/>
                <w:w w:val="89"/>
              </w:rPr>
              <w:t>$</w:t>
            </w: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6D6D6D"/>
              </w:rPr>
              <w:t>1.82</w:t>
            </w:r>
          </w:p>
        </w:tc>
        <w:tc>
          <w:tcPr>
            <w:tcW w:w="2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6D6D6D"/>
              </w:rPr>
              <w:t>5.11</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6D6D6D"/>
                <w:w w:val="89"/>
              </w:rPr>
              <w:t>$</w:t>
            </w: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6D6D6D"/>
              </w:rPr>
              <w:t>5.32</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Weighted average shares outstanding - diluted</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158,928</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158,213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158,787</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157,547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3"/>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tcPr>
          <w:p>
            <w:pPr>
              <w:ind w:left="260"/>
              <w:spacing w:after="0"/>
              <w:rPr>
                <w:sz w:val="20"/>
                <w:szCs w:val="20"/>
                <w:color w:val="auto"/>
              </w:rPr>
            </w:pPr>
            <w:r>
              <w:rPr>
                <w:rFonts w:ascii="Arial" w:cs="Arial" w:eastAsia="Arial" w:hAnsi="Arial"/>
                <w:sz w:val="16"/>
                <w:szCs w:val="16"/>
                <w:color w:val="6D6D6D"/>
              </w:rPr>
              <w:t>FFO per share diluted</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6D6D6D"/>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6D6D6D"/>
              </w:rPr>
              <w:t>1.74</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6D6D6D"/>
                <w:w w:val="89"/>
              </w:rPr>
              <w:t>$</w:t>
            </w: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6D6D6D"/>
              </w:rPr>
              <w:t>1.81</w:t>
            </w:r>
          </w:p>
        </w:tc>
        <w:tc>
          <w:tcPr>
            <w:tcW w:w="2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6D6D6D"/>
              </w:rPr>
              <w:t>5.09</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6D6D6D"/>
                <w:w w:val="89"/>
              </w:rPr>
              <w:t>$</w:t>
            </w: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6D6D6D"/>
              </w:rPr>
              <w:t>5.31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93" w:right="359" w:bottom="1440" w:gutter="0" w:footer="0" w:header="0"/>
        </w:sectPr>
      </w:pPr>
    </w:p>
    <w:bookmarkStart w:id="83" w:name="page84"/>
    <w:bookmarkEnd w:id="83"/>
    <w:p>
      <w:pPr>
        <w:ind w:left="332" w:right="20" w:hanging="332"/>
        <w:spacing w:after="0" w:line="253" w:lineRule="auto"/>
        <w:tabs>
          <w:tab w:leader="none" w:pos="322" w:val="left"/>
        </w:tabs>
        <w:numPr>
          <w:ilvl w:val="0"/>
          <w:numId w:val="136"/>
        </w:numPr>
        <w:rPr>
          <w:rFonts w:ascii="Arial" w:cs="Arial" w:eastAsia="Arial" w:hAnsi="Arial"/>
          <w:sz w:val="18"/>
          <w:szCs w:val="18"/>
          <w:color w:val="6D6D6D"/>
        </w:rPr>
      </w:pPr>
      <w:r>
        <w:rPr>
          <w:rFonts w:ascii="Arial" w:cs="Arial" w:eastAsia="Arial" w:hAnsi="Arial"/>
          <w:sz w:val="18"/>
          <w:szCs w:val="18"/>
          <w:color w:val="6D6D6D"/>
        </w:rPr>
        <w:t>Pursuant to the revised definition of Funds from Operations adopted by the Board of Governors of the National Association of Real Estate Investment Trusts (“Nareit”), we calculate Funds from Operations, or “FFO,” by adjusting net income (loss) attributable to BXP, Inc. (computed in accordance with GAAP)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real estate-related depreciation and amortization. FFO is a non-GAAP financial measure, but we believe the presentation of FFO, combined with the presentation of required GAAP financial measures, has improved the understanding of operating results of REITs among the investing public and has helped make comparisons of REIT operating results more meaningful. Management generally considers FFO and FFO per share to be useful measures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and FFO per share can help investors compare the operating performance of a company</w:t>
      </w:r>
      <w:r>
        <w:rPr>
          <w:rFonts w:ascii="Arial" w:cs="Arial" w:eastAsia="Arial" w:hAnsi="Arial"/>
          <w:sz w:val="16"/>
          <w:szCs w:val="16"/>
          <w:color w:val="6D6D6D"/>
        </w:rPr>
        <w:t>’</w:t>
      </w:r>
      <w:r>
        <w:rPr>
          <w:rFonts w:ascii="Arial" w:cs="Arial" w:eastAsia="Arial" w:hAnsi="Arial"/>
          <w:sz w:val="18"/>
          <w:szCs w:val="18"/>
          <w:color w:val="6D6D6D"/>
        </w:rPr>
        <w:t>s real estate across reporting periods and to the operating performance of other companies.</w:t>
      </w:r>
    </w:p>
    <w:p>
      <w:pPr>
        <w:spacing w:after="0" w:line="133" w:lineRule="exact"/>
        <w:rPr>
          <w:rFonts w:ascii="Arial" w:cs="Arial" w:eastAsia="Arial" w:hAnsi="Arial"/>
          <w:sz w:val="18"/>
          <w:szCs w:val="18"/>
          <w:color w:val="6D6D6D"/>
        </w:rPr>
      </w:pPr>
    </w:p>
    <w:p>
      <w:pPr>
        <w:ind w:left="332" w:right="220"/>
        <w:spacing w:after="0" w:line="287" w:lineRule="auto"/>
        <w:rPr>
          <w:rFonts w:ascii="Arial" w:cs="Arial" w:eastAsia="Arial" w:hAnsi="Arial"/>
          <w:sz w:val="18"/>
          <w:szCs w:val="18"/>
          <w:color w:val="6D6D6D"/>
        </w:rPr>
      </w:pPr>
      <w:r>
        <w:rPr>
          <w:rFonts w:ascii="Arial" w:cs="Arial" w:eastAsia="Arial" w:hAnsi="Arial"/>
          <w:sz w:val="18"/>
          <w:szCs w:val="18"/>
          <w:color w:val="6D6D6D"/>
        </w:rPr>
        <w:t>Our calculation of FFO may not be comparable to FFO reported by other REITs or real estate companies that do not define the term in accordance with the current Nareit definition or that interpret the current Nareit definition differently.</w:t>
      </w:r>
    </w:p>
    <w:p>
      <w:pPr>
        <w:spacing w:after="0" w:line="98" w:lineRule="exact"/>
        <w:rPr>
          <w:rFonts w:ascii="Arial" w:cs="Arial" w:eastAsia="Arial" w:hAnsi="Arial"/>
          <w:sz w:val="18"/>
          <w:szCs w:val="18"/>
          <w:color w:val="6D6D6D"/>
        </w:rPr>
      </w:pPr>
    </w:p>
    <w:p>
      <w:pPr>
        <w:ind w:left="332"/>
        <w:spacing w:after="0" w:line="262" w:lineRule="auto"/>
        <w:rPr>
          <w:rFonts w:ascii="Arial" w:cs="Arial" w:eastAsia="Arial" w:hAnsi="Arial"/>
          <w:sz w:val="18"/>
          <w:szCs w:val="18"/>
          <w:color w:val="6D6D6D"/>
        </w:rPr>
      </w:pPr>
      <w:r>
        <w:rPr>
          <w:rFonts w:ascii="Arial" w:cs="Arial" w:eastAsia="Arial" w:hAnsi="Arial"/>
          <w:sz w:val="18"/>
          <w:szCs w:val="18"/>
          <w:color w:val="6D6D6D"/>
        </w:rPr>
        <w:t>In order to facilitate a clear understanding of the Company’s operating results, FFO should be examined in conjunction with net income attributable to BXP, Inc. as presented in the Company’s consolidated financial statements. FFO should not be considered as a substitute for net income attributable to BXP, Inc. (determined in accordance with GAAP) or any other GAAP financial measures and should only be considered together with and as a supplement to the Company’s financial information prepared in accordance with GAAP.</w:t>
      </w:r>
    </w:p>
    <w:p>
      <w:pPr>
        <w:sectPr>
          <w:pgSz w:w="11900" w:h="16838" w:orient="portrait"/>
          <w:cols w:equalWidth="0" w:num="1">
            <w:col w:w="11212"/>
          </w:cols>
          <w:pgMar w:left="328" w:top="1093" w:right="359"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18"/>
          <w:szCs w:val="18"/>
          <w:b w:val="1"/>
          <w:bCs w:val="1"/>
          <w:color w:val="6D6D6D"/>
        </w:rPr>
        <w:t>BXP,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6D6D6D"/>
        </w:rPr>
        <w:t>PORTFOLIO LEASING PERCENTAGES</w:t>
      </w:r>
    </w:p>
    <w:p>
      <w:pPr>
        <w:sectPr>
          <w:pgSz w:w="11900" w:h="16838" w:orient="portrait"/>
          <w:cols w:equalWidth="0" w:num="1">
            <w:col w:w="11180"/>
          </w:cols>
          <w:pgMar w:left="320" w:top="1093" w:right="399" w:bottom="1440" w:gutter="0" w:footer="0" w:header="0"/>
        </w:sect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6D6D6D"/>
        </w:rPr>
        <w:t>CBD Portfolio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3"/>
          </w:tcPr>
          <w:p>
            <w:pPr>
              <w:ind w:left="1100"/>
              <w:spacing w:after="0"/>
              <w:rPr>
                <w:sz w:val="20"/>
                <w:szCs w:val="20"/>
                <w:color w:val="auto"/>
              </w:rPr>
            </w:pPr>
            <w:r>
              <w:rPr>
                <w:rFonts w:ascii="Arial" w:cs="Arial" w:eastAsia="Arial" w:hAnsi="Arial"/>
                <w:sz w:val="16"/>
                <w:szCs w:val="16"/>
                <w:b w:val="1"/>
                <w:bCs w:val="1"/>
                <w:color w:val="6D6D6D"/>
              </w:rPr>
              <w:t xml:space="preserve">% Occupied by Location </w:t>
            </w:r>
            <w:r>
              <w:rPr>
                <w:rFonts w:ascii="Arial" w:cs="Arial" w:eastAsia="Arial" w:hAnsi="Arial"/>
                <w:sz w:val="21"/>
                <w:szCs w:val="21"/>
                <w:b w:val="1"/>
                <w:bCs w:val="1"/>
                <w:color w:val="6D6D6D"/>
                <w:vertAlign w:val="superscript"/>
              </w:rPr>
              <w:t>(1)</w:t>
            </w:r>
          </w:p>
        </w:tc>
        <w:tc>
          <w:tcPr>
            <w:tcW w:w="4180" w:type="dxa"/>
            <w:vAlign w:val="bottom"/>
            <w:gridSpan w:val="2"/>
          </w:tcPr>
          <w:p>
            <w:pPr>
              <w:ind w:left="1140"/>
              <w:spacing w:after="0"/>
              <w:rPr>
                <w:sz w:val="20"/>
                <w:szCs w:val="20"/>
                <w:color w:val="auto"/>
              </w:rPr>
            </w:pPr>
            <w:r>
              <w:rPr>
                <w:rFonts w:ascii="Arial" w:cs="Arial" w:eastAsia="Arial" w:hAnsi="Arial"/>
                <w:sz w:val="16"/>
                <w:szCs w:val="16"/>
                <w:b w:val="1"/>
                <w:bCs w:val="1"/>
                <w:color w:val="6D6D6D"/>
              </w:rPr>
              <w:t xml:space="preserve">% Leased by Location </w:t>
            </w:r>
            <w:r>
              <w:rPr>
                <w:rFonts w:ascii="Arial" w:cs="Arial" w:eastAsia="Arial" w:hAnsi="Arial"/>
                <w:sz w:val="21"/>
                <w:szCs w:val="21"/>
                <w:b w:val="1"/>
                <w:bCs w:val="1"/>
                <w:color w:val="6D6D6D"/>
                <w:vertAlign w:val="superscript"/>
              </w:rPr>
              <w:t>(2)</w:t>
            </w:r>
          </w:p>
        </w:tc>
      </w:tr>
      <w:tr>
        <w:trPr>
          <w:trHeight w:val="209"/>
        </w:trPr>
        <w:tc>
          <w:tcPr>
            <w:tcW w:w="214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color w:val="6D6D6D"/>
              </w:rPr>
              <w:t>September 30, 2025</w:t>
            </w:r>
          </w:p>
        </w:tc>
        <w:tc>
          <w:tcPr>
            <w:tcW w:w="2100" w:type="dxa"/>
            <w:vAlign w:val="bottom"/>
            <w:tcBorders>
              <w:top w:val="single" w:sz="8" w:color="auto"/>
            </w:tcBorders>
          </w:tcPr>
          <w:p>
            <w:pPr>
              <w:ind w:left="380"/>
              <w:spacing w:after="0"/>
              <w:rPr>
                <w:sz w:val="20"/>
                <w:szCs w:val="20"/>
                <w:color w:val="auto"/>
              </w:rPr>
            </w:pPr>
            <w:r>
              <w:rPr>
                <w:rFonts w:ascii="Arial" w:cs="Arial" w:eastAsia="Arial" w:hAnsi="Arial"/>
                <w:sz w:val="16"/>
                <w:szCs w:val="16"/>
                <w:b w:val="1"/>
                <w:bCs w:val="1"/>
                <w:color w:val="6D6D6D"/>
              </w:rPr>
              <w:t>December 31, 2024</w:t>
            </w:r>
          </w:p>
        </w:tc>
        <w:tc>
          <w:tcPr>
            <w:tcW w:w="260" w:type="dxa"/>
            <w:vAlign w:val="bottom"/>
          </w:tcPr>
          <w:p>
            <w:pPr>
              <w:spacing w:after="0"/>
              <w:rPr>
                <w:sz w:val="18"/>
                <w:szCs w:val="18"/>
                <w:color w:val="auto"/>
              </w:rPr>
            </w:pPr>
          </w:p>
        </w:tc>
        <w:tc>
          <w:tcPr>
            <w:tcW w:w="210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6D6D6D"/>
              </w:rPr>
              <w:t>September 30, 2025</w:t>
            </w:r>
          </w:p>
        </w:tc>
        <w:tc>
          <w:tcPr>
            <w:tcW w:w="208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6D6D6D"/>
              </w:rPr>
              <w:t>December 31, 2024</w:t>
            </w:r>
          </w:p>
        </w:tc>
      </w:tr>
    </w:tbl>
    <w:p>
      <w:pPr>
        <w:spacing w:after="0" w:line="1" w:lineRule="exact"/>
        <w:rPr>
          <w:sz w:val="20"/>
          <w:szCs w:val="20"/>
          <w:color w:val="auto"/>
        </w:rPr>
      </w:pPr>
    </w:p>
    <w:p>
      <w:pPr>
        <w:sectPr>
          <w:pgSz w:w="11900" w:h="16838" w:orient="portrait"/>
          <w:cols w:equalWidth="0" w:num="2">
            <w:col w:w="1780" w:space="720"/>
            <w:col w:w="8680"/>
          </w:cols>
          <w:pgMar w:left="320" w:top="1093" w:right="399" w:bottom="1440" w:gutter="0" w:footer="0" w:header="0"/>
          <w:type w:val="continuous"/>
        </w:sectPr>
      </w:pPr>
    </w:p>
    <w:tbl>
      <w:tblPr>
        <w:tblLayout w:type="fixed"/>
        <w:tblInd w:w="80" w:type="dxa"/>
        <w:tblCellMar>
          <w:top w:w="0" w:type="dxa"/>
          <w:left w:w="0" w:type="dxa"/>
          <w:bottom w:w="0" w:type="dxa"/>
          <w:right w:w="0" w:type="dxa"/>
        </w:tblCellMar>
      </w:tblPr>
      <w:tr>
        <w:trPr>
          <w:trHeight w:val="223"/>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6D6D6D"/>
              </w:rPr>
              <w:t>Boston</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97.3 %</w:t>
            </w:r>
          </w:p>
        </w:tc>
        <w:tc>
          <w:tcPr>
            <w:tcW w:w="2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95.9 %</w:t>
            </w:r>
          </w:p>
        </w:tc>
        <w:tc>
          <w:tcPr>
            <w:tcW w:w="26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98.6 %</w:t>
            </w:r>
          </w:p>
        </w:tc>
        <w:tc>
          <w:tcPr>
            <w:tcW w:w="2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97.5 %</w:t>
            </w: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6D6D6D"/>
              </w:rPr>
              <w:t>Los Angeles</w:t>
            </w:r>
          </w:p>
        </w:tc>
        <w:tc>
          <w:tcPr>
            <w:tcW w:w="2060" w:type="dxa"/>
            <w:vAlign w:val="bottom"/>
          </w:tcPr>
          <w:p>
            <w:pPr>
              <w:jc w:val="right"/>
              <w:spacing w:after="0"/>
              <w:rPr>
                <w:sz w:val="20"/>
                <w:szCs w:val="20"/>
                <w:color w:val="auto"/>
              </w:rPr>
            </w:pPr>
            <w:r>
              <w:rPr>
                <w:rFonts w:ascii="Arial" w:cs="Arial" w:eastAsia="Arial" w:hAnsi="Arial"/>
                <w:sz w:val="18"/>
                <w:szCs w:val="18"/>
                <w:color w:val="6D6D6D"/>
              </w:rPr>
              <w:t>86.7 %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84.9 %</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87.1 %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87.4 %</w:t>
            </w: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New York</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84.9 %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90.8 %</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90.7 %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93.6 %</w:t>
            </w: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6D6D6D"/>
              </w:rPr>
              <w:t>San Francisco</w:t>
            </w:r>
          </w:p>
        </w:tc>
        <w:tc>
          <w:tcPr>
            <w:tcW w:w="2060" w:type="dxa"/>
            <w:vAlign w:val="bottom"/>
          </w:tcPr>
          <w:p>
            <w:pPr>
              <w:jc w:val="right"/>
              <w:spacing w:after="0"/>
              <w:rPr>
                <w:sz w:val="20"/>
                <w:szCs w:val="20"/>
                <w:color w:val="auto"/>
              </w:rPr>
            </w:pPr>
            <w:r>
              <w:rPr>
                <w:rFonts w:ascii="Arial" w:cs="Arial" w:eastAsia="Arial" w:hAnsi="Arial"/>
                <w:sz w:val="18"/>
                <w:szCs w:val="18"/>
                <w:color w:val="6D6D6D"/>
              </w:rPr>
              <w:t>80.7 %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84.3 %</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82.9 %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85.2 %</w:t>
            </w: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Seattle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82.6 %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81.6 %</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85.1 %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83.5 %</w:t>
            </w:r>
          </w:p>
        </w:tc>
      </w:tr>
      <w:tr>
        <w:trPr>
          <w:trHeight w:val="229"/>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6D6D6D"/>
              </w:rPr>
              <w:t>Washington, DC</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91.9 %</w:t>
            </w:r>
          </w:p>
        </w:tc>
        <w:tc>
          <w:tcPr>
            <w:tcW w:w="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91.9 %</w:t>
            </w:r>
          </w:p>
        </w:tc>
        <w:tc>
          <w:tcPr>
            <w:tcW w:w="26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93.8 %</w:t>
            </w:r>
          </w:p>
        </w:tc>
        <w:tc>
          <w:tcPr>
            <w:tcW w:w="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93.6 %</w:t>
            </w:r>
          </w:p>
        </w:tc>
      </w:tr>
      <w:tr>
        <w:trPr>
          <w:trHeight w:val="223"/>
        </w:trPr>
        <w:tc>
          <w:tcPr>
            <w:tcW w:w="2420" w:type="dxa"/>
            <w:vAlign w:val="bottom"/>
            <w:shd w:val="clear" w:color="auto" w:fill="CCEEFF"/>
          </w:tcPr>
          <w:p>
            <w:pPr>
              <w:ind w:left="660"/>
              <w:spacing w:after="0"/>
              <w:rPr>
                <w:sz w:val="20"/>
                <w:szCs w:val="20"/>
                <w:color w:val="auto"/>
              </w:rPr>
            </w:pPr>
            <w:r>
              <w:rPr>
                <w:rFonts w:ascii="Arial" w:cs="Arial" w:eastAsia="Arial" w:hAnsi="Arial"/>
                <w:sz w:val="18"/>
                <w:szCs w:val="18"/>
                <w:color w:val="6D6D6D"/>
              </w:rPr>
              <w:t>CBD Portfolio</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89.3 %</w:t>
            </w:r>
          </w:p>
        </w:tc>
        <w:tc>
          <w:tcPr>
            <w:tcW w:w="2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90.9 %</w:t>
            </w:r>
          </w:p>
        </w:tc>
        <w:tc>
          <w:tcPr>
            <w:tcW w:w="26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92.0 %</w:t>
            </w:r>
          </w:p>
        </w:tc>
        <w:tc>
          <w:tcPr>
            <w:tcW w:w="2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92.8 %</w:t>
            </w:r>
          </w:p>
        </w:tc>
      </w:tr>
    </w:tbl>
    <w:p>
      <w:pPr>
        <w:spacing w:after="0" w:line="200" w:lineRule="exact"/>
        <w:rPr>
          <w:sz w:val="20"/>
          <w:szCs w:val="20"/>
          <w:color w:val="auto"/>
        </w:rPr>
      </w:pPr>
    </w:p>
    <w:p>
      <w:pPr>
        <w:sectPr>
          <w:pgSz w:w="11900" w:h="16838" w:orient="portrait"/>
          <w:cols w:equalWidth="0" w:num="1">
            <w:col w:w="11180"/>
          </w:cols>
          <w:pgMar w:left="320" w:top="1093" w:right="39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6D6D6D"/>
        </w:rPr>
        <w:t>Total Portfolio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3"/>
          </w:tcPr>
          <w:p>
            <w:pPr>
              <w:ind w:left="1100"/>
              <w:spacing w:after="0"/>
              <w:rPr>
                <w:sz w:val="20"/>
                <w:szCs w:val="20"/>
                <w:color w:val="auto"/>
              </w:rPr>
            </w:pPr>
            <w:r>
              <w:rPr>
                <w:rFonts w:ascii="Arial" w:cs="Arial" w:eastAsia="Arial" w:hAnsi="Arial"/>
                <w:sz w:val="16"/>
                <w:szCs w:val="16"/>
                <w:b w:val="1"/>
                <w:bCs w:val="1"/>
                <w:color w:val="6D6D6D"/>
              </w:rPr>
              <w:t xml:space="preserve">% Occupied by Location </w:t>
            </w:r>
            <w:r>
              <w:rPr>
                <w:rFonts w:ascii="Arial" w:cs="Arial" w:eastAsia="Arial" w:hAnsi="Arial"/>
                <w:sz w:val="21"/>
                <w:szCs w:val="21"/>
                <w:b w:val="1"/>
                <w:bCs w:val="1"/>
                <w:color w:val="6D6D6D"/>
                <w:vertAlign w:val="superscript"/>
              </w:rPr>
              <w:t>(1)</w:t>
            </w:r>
          </w:p>
        </w:tc>
        <w:tc>
          <w:tcPr>
            <w:tcW w:w="4180" w:type="dxa"/>
            <w:vAlign w:val="bottom"/>
            <w:gridSpan w:val="2"/>
          </w:tcPr>
          <w:p>
            <w:pPr>
              <w:ind w:left="1140"/>
              <w:spacing w:after="0"/>
              <w:rPr>
                <w:sz w:val="20"/>
                <w:szCs w:val="20"/>
                <w:color w:val="auto"/>
              </w:rPr>
            </w:pPr>
            <w:r>
              <w:rPr>
                <w:rFonts w:ascii="Arial" w:cs="Arial" w:eastAsia="Arial" w:hAnsi="Arial"/>
                <w:sz w:val="16"/>
                <w:szCs w:val="16"/>
                <w:b w:val="1"/>
                <w:bCs w:val="1"/>
                <w:color w:val="6D6D6D"/>
              </w:rPr>
              <w:t xml:space="preserve">% Leased by Location </w:t>
            </w:r>
            <w:r>
              <w:rPr>
                <w:rFonts w:ascii="Arial" w:cs="Arial" w:eastAsia="Arial" w:hAnsi="Arial"/>
                <w:sz w:val="21"/>
                <w:szCs w:val="21"/>
                <w:b w:val="1"/>
                <w:bCs w:val="1"/>
                <w:color w:val="6D6D6D"/>
                <w:vertAlign w:val="superscript"/>
              </w:rPr>
              <w:t>(2)</w:t>
            </w:r>
          </w:p>
        </w:tc>
      </w:tr>
      <w:tr>
        <w:trPr>
          <w:trHeight w:val="210"/>
        </w:trPr>
        <w:tc>
          <w:tcPr>
            <w:tcW w:w="214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color w:val="6D6D6D"/>
              </w:rPr>
              <w:t>September 30, 2025</w:t>
            </w:r>
          </w:p>
        </w:tc>
        <w:tc>
          <w:tcPr>
            <w:tcW w:w="2100" w:type="dxa"/>
            <w:vAlign w:val="bottom"/>
            <w:tcBorders>
              <w:top w:val="single" w:sz="8" w:color="auto"/>
            </w:tcBorders>
          </w:tcPr>
          <w:p>
            <w:pPr>
              <w:ind w:left="380"/>
              <w:spacing w:after="0"/>
              <w:rPr>
                <w:sz w:val="20"/>
                <w:szCs w:val="20"/>
                <w:color w:val="auto"/>
              </w:rPr>
            </w:pPr>
            <w:r>
              <w:rPr>
                <w:rFonts w:ascii="Arial" w:cs="Arial" w:eastAsia="Arial" w:hAnsi="Arial"/>
                <w:sz w:val="16"/>
                <w:szCs w:val="16"/>
                <w:b w:val="1"/>
                <w:bCs w:val="1"/>
                <w:color w:val="6D6D6D"/>
              </w:rPr>
              <w:t>December 31, 2024</w:t>
            </w:r>
          </w:p>
        </w:tc>
        <w:tc>
          <w:tcPr>
            <w:tcW w:w="260" w:type="dxa"/>
            <w:vAlign w:val="bottom"/>
          </w:tcPr>
          <w:p>
            <w:pPr>
              <w:spacing w:after="0"/>
              <w:rPr>
                <w:sz w:val="18"/>
                <w:szCs w:val="18"/>
                <w:color w:val="auto"/>
              </w:rPr>
            </w:pPr>
          </w:p>
        </w:tc>
        <w:tc>
          <w:tcPr>
            <w:tcW w:w="210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6D6D6D"/>
              </w:rPr>
              <w:t>September 30, 2025</w:t>
            </w:r>
          </w:p>
        </w:tc>
        <w:tc>
          <w:tcPr>
            <w:tcW w:w="208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6D6D6D"/>
              </w:rPr>
              <w:t>December 31, 2024</w:t>
            </w:r>
          </w:p>
        </w:tc>
      </w:tr>
    </w:tbl>
    <w:p>
      <w:pPr>
        <w:spacing w:after="0" w:line="1" w:lineRule="exact"/>
        <w:rPr>
          <w:sz w:val="20"/>
          <w:szCs w:val="20"/>
          <w:color w:val="auto"/>
        </w:rPr>
      </w:pPr>
    </w:p>
    <w:p>
      <w:pPr>
        <w:sectPr>
          <w:pgSz w:w="11900" w:h="16838" w:orient="portrait"/>
          <w:cols w:equalWidth="0" w:num="2">
            <w:col w:w="1780" w:space="720"/>
            <w:col w:w="8680"/>
          </w:cols>
          <w:pgMar w:left="320" w:top="1093" w:right="399" w:bottom="1440" w:gutter="0" w:footer="0" w:header="0"/>
          <w:type w:val="continuous"/>
        </w:sectPr>
      </w:pPr>
    </w:p>
    <w:tbl>
      <w:tblPr>
        <w:tblLayout w:type="fixed"/>
        <w:tblInd w:w="80" w:type="dxa"/>
        <w:tblCellMar>
          <w:top w:w="0" w:type="dxa"/>
          <w:left w:w="0" w:type="dxa"/>
          <w:bottom w:w="0" w:type="dxa"/>
          <w:right w:w="0" w:type="dxa"/>
        </w:tblCellMar>
      </w:tblPr>
      <w:tr>
        <w:trPr>
          <w:trHeight w:val="223"/>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6D6D6D"/>
              </w:rPr>
              <w:t>Boston</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89.7 %</w:t>
            </w:r>
          </w:p>
        </w:tc>
        <w:tc>
          <w:tcPr>
            <w:tcW w:w="2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89.7 %</w:t>
            </w:r>
          </w:p>
        </w:tc>
        <w:tc>
          <w:tcPr>
            <w:tcW w:w="26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91.6 %</w:t>
            </w:r>
          </w:p>
        </w:tc>
        <w:tc>
          <w:tcPr>
            <w:tcW w:w="2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91.5 %</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6D6D6D"/>
              </w:rPr>
              <w:t>Los Angeles</w:t>
            </w:r>
          </w:p>
        </w:tc>
        <w:tc>
          <w:tcPr>
            <w:tcW w:w="2060" w:type="dxa"/>
            <w:vAlign w:val="bottom"/>
          </w:tcPr>
          <w:p>
            <w:pPr>
              <w:jc w:val="right"/>
              <w:spacing w:after="0"/>
              <w:rPr>
                <w:sz w:val="20"/>
                <w:szCs w:val="20"/>
                <w:color w:val="auto"/>
              </w:rPr>
            </w:pPr>
            <w:r>
              <w:rPr>
                <w:rFonts w:ascii="Arial" w:cs="Arial" w:eastAsia="Arial" w:hAnsi="Arial"/>
                <w:sz w:val="18"/>
                <w:szCs w:val="18"/>
                <w:color w:val="6D6D6D"/>
              </w:rPr>
              <w:t>86.7 %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84.9 %</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87.1 %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87.4 %</w:t>
            </w: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New York</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82.8 %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87.1 %</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88.3 %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90.0 %</w:t>
            </w: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6D6D6D"/>
              </w:rPr>
              <w:t>San Francisco</w:t>
            </w:r>
          </w:p>
        </w:tc>
        <w:tc>
          <w:tcPr>
            <w:tcW w:w="2060" w:type="dxa"/>
            <w:vAlign w:val="bottom"/>
          </w:tcPr>
          <w:p>
            <w:pPr>
              <w:jc w:val="right"/>
              <w:spacing w:after="0"/>
              <w:rPr>
                <w:sz w:val="20"/>
                <w:szCs w:val="20"/>
                <w:color w:val="auto"/>
              </w:rPr>
            </w:pPr>
            <w:r>
              <w:rPr>
                <w:rFonts w:ascii="Arial" w:cs="Arial" w:eastAsia="Arial" w:hAnsi="Arial"/>
                <w:sz w:val="18"/>
                <w:szCs w:val="18"/>
                <w:color w:val="6D6D6D"/>
              </w:rPr>
              <w:t>77.8 %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80.8 %</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79.7 %</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81.7 %</w:t>
            </w: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Seattle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82.6 %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81.6 %</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85.1 %</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83.5 %</w:t>
            </w:r>
          </w:p>
        </w:tc>
      </w:tr>
      <w:tr>
        <w:trPr>
          <w:trHeight w:val="229"/>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6D6D6D"/>
              </w:rPr>
              <w:t>Washington, DC</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91.3 %</w:t>
            </w:r>
          </w:p>
        </w:tc>
        <w:tc>
          <w:tcPr>
            <w:tcW w:w="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91.4 %</w:t>
            </w:r>
          </w:p>
        </w:tc>
        <w:tc>
          <w:tcPr>
            <w:tcW w:w="26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93.4 %</w:t>
            </w:r>
          </w:p>
        </w:tc>
        <w:tc>
          <w:tcPr>
            <w:tcW w:w="2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93.0 %</w:t>
            </w:r>
          </w:p>
        </w:tc>
      </w:tr>
      <w:tr>
        <w:trPr>
          <w:trHeight w:val="223"/>
        </w:trPr>
        <w:tc>
          <w:tcPr>
            <w:tcW w:w="2420" w:type="dxa"/>
            <w:vAlign w:val="bottom"/>
            <w:shd w:val="clear" w:color="auto" w:fill="CCEEFF"/>
          </w:tcPr>
          <w:p>
            <w:pPr>
              <w:ind w:left="660"/>
              <w:spacing w:after="0"/>
              <w:rPr>
                <w:sz w:val="20"/>
                <w:szCs w:val="20"/>
                <w:color w:val="auto"/>
              </w:rPr>
            </w:pPr>
            <w:r>
              <w:rPr>
                <w:rFonts w:ascii="Arial" w:cs="Arial" w:eastAsia="Arial" w:hAnsi="Arial"/>
                <w:sz w:val="18"/>
                <w:szCs w:val="18"/>
                <w:color w:val="6D6D6D"/>
              </w:rPr>
              <w:t>Total Portfolio</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86.0 %</w:t>
            </w:r>
          </w:p>
        </w:tc>
        <w:tc>
          <w:tcPr>
            <w:tcW w:w="2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87.5 %</w:t>
            </w:r>
          </w:p>
        </w:tc>
        <w:tc>
          <w:tcPr>
            <w:tcW w:w="26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88.8 %</w:t>
            </w:r>
          </w:p>
        </w:tc>
        <w:tc>
          <w:tcPr>
            <w:tcW w:w="2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89.4 %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312"/>
        <w:spacing w:after="0"/>
        <w:tabs>
          <w:tab w:leader="none" w:pos="320" w:val="left"/>
        </w:tabs>
        <w:numPr>
          <w:ilvl w:val="0"/>
          <w:numId w:val="137"/>
        </w:numPr>
        <w:rPr>
          <w:rFonts w:ascii="Arial" w:cs="Arial" w:eastAsia="Arial" w:hAnsi="Arial"/>
          <w:sz w:val="18"/>
          <w:szCs w:val="18"/>
          <w:color w:val="6D6D6D"/>
        </w:rPr>
      </w:pPr>
      <w:r>
        <w:rPr>
          <w:rFonts w:ascii="Arial" w:cs="Arial" w:eastAsia="Arial" w:hAnsi="Arial"/>
          <w:sz w:val="18"/>
          <w:szCs w:val="18"/>
          <w:color w:val="6D6D6D"/>
        </w:rPr>
        <w:t>Represents signed leases for which revenue recognition has commenced in accordance with GAAP.</w:t>
      </w:r>
    </w:p>
    <w:p>
      <w:pPr>
        <w:spacing w:after="0" w:line="103" w:lineRule="exact"/>
        <w:rPr>
          <w:rFonts w:ascii="Arial" w:cs="Arial" w:eastAsia="Arial" w:hAnsi="Arial"/>
          <w:sz w:val="18"/>
          <w:szCs w:val="18"/>
          <w:color w:val="6D6D6D"/>
        </w:rPr>
      </w:pPr>
    </w:p>
    <w:p>
      <w:pPr>
        <w:ind w:left="340" w:right="60" w:hanging="332"/>
        <w:spacing w:after="0" w:line="287" w:lineRule="auto"/>
        <w:tabs>
          <w:tab w:leader="none" w:pos="330" w:val="left"/>
        </w:tabs>
        <w:numPr>
          <w:ilvl w:val="0"/>
          <w:numId w:val="137"/>
        </w:numPr>
        <w:rPr>
          <w:rFonts w:ascii="Arial" w:cs="Arial" w:eastAsia="Arial" w:hAnsi="Arial"/>
          <w:sz w:val="18"/>
          <w:szCs w:val="18"/>
          <w:color w:val="6D6D6D"/>
        </w:rPr>
      </w:pPr>
      <w:r>
        <w:rPr>
          <w:rFonts w:ascii="Arial" w:cs="Arial" w:eastAsia="Arial" w:hAnsi="Arial"/>
          <w:sz w:val="18"/>
          <w:szCs w:val="18"/>
          <w:color w:val="6D6D6D"/>
        </w:rPr>
        <w:t>Represents signed leases for which revenue recognition has commenced in accordance with GAAP and signed leases for vacant space with future commencement dates.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6B6B6B"/>
        </w:rPr>
        <w:t>AT BXP</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6B6B6B"/>
        </w:rPr>
        <w:t>Michael LaBelle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6B6B6B"/>
        </w:rPr>
        <w:t>Executive Vice President,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Chief Financial Officer and Treasurer</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6B6B6B"/>
        </w:rPr>
        <w:t>mlabelle@bxp.com</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6B6B6B"/>
        </w:rPr>
        <w:t>Helen Han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hhan@bxp.com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 #</w:t>
      </w:r>
    </w:p>
    <w:sectPr>
      <w:pgSz w:w="11900" w:h="16838" w:orient="portrait"/>
      <w:cols w:equalWidth="0" w:num="1">
        <w:col w:w="11180"/>
      </w:cols>
      <w:pgMar w:left="320" w:top="109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1"/>
      <w:numFmt w:val="bullet"/>
      <w:start w:val="1"/>
    </w:lvl>
  </w:abstractNum>
  <w:abstractNum w:abstractNumId="3">
    <w:nsid w:val="98A3148"/>
    <w:multiLevelType w:val="hybridMultilevel"/>
    <w:lvl w:ilvl="0">
      <w:lvlJc w:val="left"/>
      <w:lvlText w:val="2"/>
      <w:numFmt w:val="bullet"/>
      <w:start w:val="1"/>
    </w:lvl>
  </w:abstractNum>
  <w:abstractNum w:abstractNumId="4">
    <w:nsid w:val="799D0247"/>
    <w:multiLevelType w:val="hybridMultilevel"/>
    <w:lvl w:ilvl="0">
      <w:lvlJc w:val="left"/>
      <w:lvlText w:val="3"/>
      <w:numFmt w:val="bullet"/>
      <w:start w:val="1"/>
    </w:lvl>
  </w:abstractNum>
  <w:abstractNum w:abstractNumId="5">
    <w:nsid w:val="6B94764"/>
    <w:multiLevelType w:val="hybridMultilevel"/>
    <w:lvl w:ilvl="0">
      <w:lvlJc w:val="left"/>
      <w:lvlText w:val="(%1)"/>
      <w:numFmt w:val="decimal"/>
      <w:start w:val="4"/>
    </w:lvl>
  </w:abstractNum>
  <w:abstractNum w:abstractNumId="6">
    <w:nsid w:val="42C296BD"/>
    <w:multiLevelType w:val="hybridMultilevel"/>
    <w:lvl w:ilvl="0">
      <w:lvlJc w:val="left"/>
      <w:lvlText w:val="1"/>
      <w:numFmt w:val="bullet"/>
      <w:start w:val="1"/>
    </w:lvl>
  </w:abstractNum>
  <w:abstractNum w:abstractNumId="7">
    <w:nsid w:val="168E121F"/>
    <w:multiLevelType w:val="hybridMultilevel"/>
    <w:lvl w:ilvl="0">
      <w:lvlJc w:val="left"/>
      <w:lvlText w:val="2"/>
      <w:numFmt w:val="bullet"/>
      <w:start w:val="1"/>
    </w:lvl>
  </w:abstractNum>
  <w:abstractNum w:abstractNumId="8">
    <w:nsid w:val="1EBA5D23"/>
    <w:multiLevelType w:val="hybridMultilevel"/>
    <w:lvl w:ilvl="0">
      <w:lvlJc w:val="left"/>
      <w:lvlText w:val="1"/>
      <w:numFmt w:val="bullet"/>
      <w:start w:val="1"/>
    </w:lvl>
  </w:abstractNum>
  <w:abstractNum w:abstractNumId="9">
    <w:nsid w:val="661E3F1E"/>
    <w:multiLevelType w:val="hybridMultilevel"/>
    <w:lvl w:ilvl="0">
      <w:lvlJc w:val="left"/>
      <w:lvlText w:val="2"/>
      <w:numFmt w:val="bullet"/>
      <w:start w:val="1"/>
    </w:lvl>
  </w:abstractNum>
  <w:abstractNum w:abstractNumId="10">
    <w:nsid w:val="5DC79EA8"/>
    <w:multiLevelType w:val="hybridMultilevel"/>
    <w:lvl w:ilvl="0">
      <w:lvlJc w:val="left"/>
      <w:lvlText w:val="3"/>
      <w:numFmt w:val="bullet"/>
      <w:start w:val="1"/>
    </w:lvl>
  </w:abstractNum>
  <w:abstractNum w:abstractNumId="11">
    <w:nsid w:val="540A471C"/>
    <w:multiLevelType w:val="hybridMultilevel"/>
    <w:lvl w:ilvl="0">
      <w:lvlJc w:val="left"/>
      <w:lvlText w:val="4"/>
      <w:numFmt w:val="bullet"/>
      <w:start w:val="1"/>
    </w:lvl>
  </w:abstractNum>
  <w:abstractNum w:abstractNumId="12">
    <w:nsid w:val="7BD3EE7B"/>
    <w:multiLevelType w:val="hybridMultilevel"/>
    <w:lvl w:ilvl="0">
      <w:lvlJc w:val="left"/>
      <w:lvlText w:val="%1"/>
      <w:numFmt w:val="decimal"/>
      <w:start w:val="10"/>
    </w:lvl>
  </w:abstractNum>
  <w:abstractNum w:abstractNumId="13">
    <w:nsid w:val="51D9C564"/>
    <w:multiLevelType w:val="hybridMultilevel"/>
    <w:lvl w:ilvl="0">
      <w:lvlJc w:val="left"/>
      <w:lvlText w:val="%1"/>
      <w:numFmt w:val="decimal"/>
      <w:start w:val="12"/>
    </w:lvl>
  </w:abstractNum>
  <w:abstractNum w:abstractNumId="14">
    <w:nsid w:val="613EFDC5"/>
    <w:multiLevelType w:val="hybridMultilevel"/>
    <w:lvl w:ilvl="0">
      <w:lvlJc w:val="left"/>
      <w:lvlText w:val="1"/>
      <w:numFmt w:val="bullet"/>
      <w:start w:val="1"/>
    </w:lvl>
  </w:abstractNum>
  <w:abstractNum w:abstractNumId="15">
    <w:nsid w:val="BF72B14"/>
    <w:multiLevelType w:val="hybridMultilevel"/>
    <w:lvl w:ilvl="0">
      <w:lvlJc w:val="left"/>
      <w:lvlText w:val="1"/>
      <w:numFmt w:val="bullet"/>
      <w:start w:val="1"/>
    </w:lvl>
  </w:abstractNum>
  <w:abstractNum w:abstractNumId="16">
    <w:nsid w:val="11447B73"/>
    <w:multiLevelType w:val="hybridMultilevel"/>
    <w:lvl w:ilvl="0">
      <w:lvlJc w:val="left"/>
      <w:lvlText w:val="1"/>
      <w:numFmt w:val="bullet"/>
      <w:start w:val="1"/>
    </w:lvl>
  </w:abstractNum>
  <w:abstractNum w:abstractNumId="17">
    <w:nsid w:val="42963E5A"/>
    <w:multiLevelType w:val="hybridMultilevel"/>
    <w:lvl w:ilvl="0">
      <w:lvlJc w:val="left"/>
      <w:lvlText w:val="9"/>
      <w:numFmt w:val="bullet"/>
      <w:start w:val="1"/>
    </w:lvl>
  </w:abstractNum>
  <w:abstractNum w:abstractNumId="18">
    <w:nsid w:val="A0382C5"/>
    <w:multiLevelType w:val="hybridMultilevel"/>
    <w:lvl w:ilvl="0">
      <w:lvlJc w:val="left"/>
      <w:lvlText w:val="1"/>
      <w:numFmt w:val="bullet"/>
      <w:start w:val="1"/>
    </w:lvl>
  </w:abstractNum>
  <w:abstractNum w:abstractNumId="19">
    <w:nsid w:val="8F2B15E"/>
    <w:multiLevelType w:val="hybridMultilevel"/>
    <w:lvl w:ilvl="0">
      <w:lvlJc w:val="left"/>
      <w:lvlText w:val="2"/>
      <w:numFmt w:val="bullet"/>
      <w:start w:val="1"/>
    </w:lvl>
  </w:abstractNum>
  <w:abstractNum w:abstractNumId="20">
    <w:nsid w:val="1A32234B"/>
    <w:multiLevelType w:val="hybridMultilevel"/>
    <w:lvl w:ilvl="0">
      <w:lvlJc w:val="left"/>
      <w:lvlText w:val="3"/>
      <w:numFmt w:val="bullet"/>
      <w:start w:val="1"/>
    </w:lvl>
  </w:abstractNum>
  <w:abstractNum w:abstractNumId="21">
    <w:nsid w:val="3B0FD379"/>
    <w:multiLevelType w:val="hybridMultilevel"/>
    <w:lvl w:ilvl="0">
      <w:lvlJc w:val="left"/>
      <w:lvlText w:val="1"/>
      <w:numFmt w:val="bullet"/>
      <w:start w:val="1"/>
    </w:lvl>
  </w:abstractNum>
  <w:abstractNum w:abstractNumId="22">
    <w:nsid w:val="68EB2F63"/>
    <w:multiLevelType w:val="hybridMultilevel"/>
    <w:lvl w:ilvl="0">
      <w:lvlJc w:val="left"/>
      <w:lvlText w:val="2"/>
      <w:numFmt w:val="bullet"/>
      <w:start w:val="1"/>
    </w:lvl>
  </w:abstractNum>
  <w:abstractNum w:abstractNumId="23">
    <w:nsid w:val="4962813B"/>
    <w:multiLevelType w:val="hybridMultilevel"/>
    <w:lvl w:ilvl="0">
      <w:lvlJc w:val="left"/>
      <w:lvlText w:val="3"/>
      <w:numFmt w:val="bullet"/>
      <w:start w:val="1"/>
    </w:lvl>
  </w:abstractNum>
  <w:abstractNum w:abstractNumId="24">
    <w:nsid w:val="60B6DF70"/>
    <w:multiLevelType w:val="hybridMultilevel"/>
    <w:lvl w:ilvl="0">
      <w:lvlJc w:val="left"/>
      <w:lvlText w:val="4"/>
      <w:numFmt w:val="bullet"/>
      <w:start w:val="1"/>
    </w:lvl>
  </w:abstractNum>
  <w:abstractNum w:abstractNumId="25">
    <w:nsid w:val="6A5EE64"/>
    <w:multiLevelType w:val="hybridMultilevel"/>
    <w:lvl w:ilvl="0">
      <w:lvlJc w:val="left"/>
      <w:lvlText w:val="1"/>
      <w:numFmt w:val="bullet"/>
      <w:start w:val="1"/>
    </w:lvl>
  </w:abstractNum>
  <w:abstractNum w:abstractNumId="26">
    <w:nsid w:val="14330624"/>
    <w:multiLevelType w:val="hybridMultilevel"/>
    <w:lvl w:ilvl="0">
      <w:lvlJc w:val="left"/>
      <w:lvlText w:val="2"/>
      <w:numFmt w:val="bullet"/>
      <w:start w:val="1"/>
    </w:lvl>
  </w:abstractNum>
  <w:abstractNum w:abstractNumId="27">
    <w:nsid w:val="7FFFCA11"/>
    <w:multiLevelType w:val="hybridMultilevel"/>
    <w:lvl w:ilvl="0">
      <w:lvlJc w:val="left"/>
      <w:lvlText w:val="3"/>
      <w:numFmt w:val="bullet"/>
      <w:start w:val="1"/>
    </w:lvl>
  </w:abstractNum>
  <w:abstractNum w:abstractNumId="28">
    <w:nsid w:val="1A27709E"/>
    <w:multiLevelType w:val="hybridMultilevel"/>
    <w:lvl w:ilvl="0">
      <w:lvlJc w:val="left"/>
      <w:lvlText w:val="4"/>
      <w:numFmt w:val="bullet"/>
      <w:start w:val="1"/>
    </w:lvl>
  </w:abstractNum>
  <w:abstractNum w:abstractNumId="29">
    <w:nsid w:val="71EA1109"/>
    <w:multiLevelType w:val="hybridMultilevel"/>
    <w:lvl w:ilvl="0">
      <w:lvlJc w:val="left"/>
      <w:lvlText w:val="5"/>
      <w:numFmt w:val="bullet"/>
      <w:start w:val="1"/>
    </w:lvl>
  </w:abstractNum>
  <w:abstractNum w:abstractNumId="30">
    <w:nsid w:val="100F59DC"/>
    <w:multiLevelType w:val="hybridMultilevel"/>
    <w:lvl w:ilvl="0">
      <w:lvlJc w:val="left"/>
      <w:lvlText w:val="6"/>
      <w:numFmt w:val="bullet"/>
      <w:start w:val="1"/>
    </w:lvl>
  </w:abstractNum>
  <w:abstractNum w:abstractNumId="31">
    <w:nsid w:val="7FB7E0AA"/>
    <w:multiLevelType w:val="hybridMultilevel"/>
    <w:lvl w:ilvl="0">
      <w:lvlJc w:val="left"/>
      <w:lvlText w:val="1"/>
      <w:numFmt w:val="bullet"/>
      <w:start w:val="1"/>
    </w:lvl>
  </w:abstractNum>
  <w:abstractNum w:abstractNumId="32">
    <w:nsid w:val="6EB5BD4"/>
    <w:multiLevelType w:val="hybridMultilevel"/>
    <w:lvl w:ilvl="0">
      <w:lvlJc w:val="left"/>
      <w:lvlText w:val="1"/>
      <w:numFmt w:val="bullet"/>
      <w:start w:val="1"/>
    </w:lvl>
  </w:abstractNum>
  <w:abstractNum w:abstractNumId="33">
    <w:nsid w:val="6F6DD9AC"/>
    <w:multiLevelType w:val="hybridMultilevel"/>
    <w:lvl w:ilvl="0">
      <w:lvlJc w:val="left"/>
      <w:lvlText w:val="2"/>
      <w:numFmt w:val="bullet"/>
      <w:start w:val="1"/>
    </w:lvl>
  </w:abstractNum>
  <w:abstractNum w:abstractNumId="34">
    <w:nsid w:val="94211F2"/>
    <w:multiLevelType w:val="hybridMultilevel"/>
    <w:lvl w:ilvl="0">
      <w:lvlJc w:val="left"/>
      <w:lvlText w:val="4"/>
      <w:numFmt w:val="bullet"/>
      <w:start w:val="1"/>
    </w:lvl>
  </w:abstractNum>
  <w:abstractNum w:abstractNumId="35">
    <w:nsid w:val="885E1B"/>
    <w:multiLevelType w:val="hybridMultilevel"/>
    <w:lvl w:ilvl="0">
      <w:lvlJc w:val="left"/>
      <w:lvlText w:val="1"/>
      <w:numFmt w:val="bullet"/>
      <w:start w:val="1"/>
    </w:lvl>
  </w:abstractNum>
  <w:abstractNum w:abstractNumId="36">
    <w:nsid w:val="76272110"/>
    <w:multiLevelType w:val="hybridMultilevel"/>
    <w:lvl w:ilvl="0">
      <w:lvlJc w:val="left"/>
      <w:lvlText w:val="2"/>
      <w:numFmt w:val="bullet"/>
      <w:start w:val="1"/>
    </w:lvl>
  </w:abstractNum>
  <w:abstractNum w:abstractNumId="37">
    <w:nsid w:val="4C04A8AF"/>
    <w:multiLevelType w:val="hybridMultilevel"/>
    <w:lvl w:ilvl="0">
      <w:lvlJc w:val="left"/>
      <w:lvlText w:val="3"/>
      <w:numFmt w:val="bullet"/>
      <w:start w:val="1"/>
    </w:lvl>
  </w:abstractNum>
  <w:abstractNum w:abstractNumId="38">
    <w:nsid w:val="1716703B"/>
    <w:multiLevelType w:val="hybridMultilevel"/>
    <w:lvl w:ilvl="0">
      <w:lvlJc w:val="left"/>
      <w:lvlText w:val="4"/>
      <w:numFmt w:val="bullet"/>
      <w:start w:val="1"/>
    </w:lvl>
  </w:abstractNum>
  <w:abstractNum w:abstractNumId="39">
    <w:nsid w:val="14E17E33"/>
    <w:multiLevelType w:val="hybridMultilevel"/>
    <w:lvl w:ilvl="0">
      <w:lvlJc w:val="left"/>
      <w:lvlText w:val="5"/>
      <w:numFmt w:val="bullet"/>
      <w:start w:val="1"/>
    </w:lvl>
  </w:abstractNum>
  <w:abstractNum w:abstractNumId="40">
    <w:nsid w:val="3222E7CD"/>
    <w:multiLevelType w:val="hybridMultilevel"/>
    <w:lvl w:ilvl="0">
      <w:lvlJc w:val="left"/>
      <w:lvlText w:val="6"/>
      <w:numFmt w:val="bullet"/>
      <w:start w:val="1"/>
    </w:lvl>
  </w:abstractNum>
  <w:abstractNum w:abstractNumId="41">
    <w:nsid w:val="74DE0EE3"/>
    <w:multiLevelType w:val="hybridMultilevel"/>
    <w:lvl w:ilvl="0">
      <w:lvlJc w:val="left"/>
      <w:lvlText w:val="7"/>
      <w:numFmt w:val="bullet"/>
      <w:start w:val="1"/>
    </w:lvl>
  </w:abstractNum>
  <w:abstractNum w:abstractNumId="42">
    <w:nsid w:val="68EBC550"/>
    <w:multiLevelType w:val="hybridMultilevel"/>
    <w:lvl w:ilvl="0">
      <w:lvlJc w:val="left"/>
      <w:lvlText w:val="8"/>
      <w:numFmt w:val="bullet"/>
      <w:start w:val="1"/>
    </w:lvl>
  </w:abstractNum>
  <w:abstractNum w:abstractNumId="43">
    <w:nsid w:val="2DF6D648"/>
    <w:multiLevelType w:val="hybridMultilevel"/>
    <w:lvl w:ilvl="0">
      <w:lvlJc w:val="left"/>
      <w:lvlText w:val="9"/>
      <w:numFmt w:val="bullet"/>
      <w:start w:val="1"/>
    </w:lvl>
  </w:abstractNum>
  <w:abstractNum w:abstractNumId="44">
    <w:nsid w:val="46B7D447"/>
    <w:multiLevelType w:val="hybridMultilevel"/>
    <w:lvl w:ilvl="0">
      <w:lvlJc w:val="left"/>
      <w:lvlText w:val="1"/>
      <w:numFmt w:val="bullet"/>
      <w:start w:val="1"/>
    </w:lvl>
  </w:abstractNum>
  <w:abstractNum w:abstractNumId="45">
    <w:nsid w:val="4A2AC315"/>
    <w:multiLevelType w:val="hybridMultilevel"/>
    <w:lvl w:ilvl="0">
      <w:lvlJc w:val="left"/>
      <w:lvlText w:val="2"/>
      <w:numFmt w:val="bullet"/>
      <w:start w:val="1"/>
    </w:lvl>
  </w:abstractNum>
  <w:abstractNum w:abstractNumId="46">
    <w:nsid w:val="39EE015C"/>
    <w:multiLevelType w:val="hybridMultilevel"/>
    <w:lvl w:ilvl="0">
      <w:lvlJc w:val="left"/>
      <w:lvlText w:val="3"/>
      <w:numFmt w:val="bullet"/>
      <w:start w:val="1"/>
    </w:lvl>
  </w:abstractNum>
  <w:abstractNum w:abstractNumId="47">
    <w:nsid w:val="57FC4FBB"/>
    <w:multiLevelType w:val="hybridMultilevel"/>
    <w:lvl w:ilvl="0">
      <w:lvlJc w:val="left"/>
      <w:lvlText w:val="1"/>
      <w:numFmt w:val="bullet"/>
      <w:start w:val="1"/>
    </w:lvl>
  </w:abstractNum>
  <w:abstractNum w:abstractNumId="48">
    <w:nsid w:val="CC1016F"/>
    <w:multiLevelType w:val="hybridMultilevel"/>
    <w:lvl w:ilvl="0">
      <w:lvlJc w:val="left"/>
      <w:lvlText w:val="2"/>
      <w:numFmt w:val="bullet"/>
      <w:start w:val="1"/>
    </w:lvl>
  </w:abstractNum>
  <w:abstractNum w:abstractNumId="49">
    <w:nsid w:val="43F18422"/>
    <w:multiLevelType w:val="hybridMultilevel"/>
    <w:lvl w:ilvl="0">
      <w:lvlJc w:val="left"/>
      <w:lvlText w:val="3"/>
      <w:numFmt w:val="bullet"/>
      <w:start w:val="1"/>
    </w:lvl>
  </w:abstractNum>
  <w:abstractNum w:abstractNumId="50">
    <w:nsid w:val="60EF0119"/>
    <w:multiLevelType w:val="hybridMultilevel"/>
    <w:lvl w:ilvl="0">
      <w:lvlJc w:val="left"/>
      <w:lvlText w:val="4"/>
      <w:numFmt w:val="bullet"/>
      <w:start w:val="1"/>
    </w:lvl>
  </w:abstractNum>
  <w:abstractNum w:abstractNumId="51">
    <w:nsid w:val="26F324BA"/>
    <w:multiLevelType w:val="hybridMultilevel"/>
    <w:lvl w:ilvl="0">
      <w:lvlJc w:val="left"/>
      <w:lvlText w:val="5"/>
      <w:numFmt w:val="bullet"/>
      <w:start w:val="1"/>
    </w:lvl>
  </w:abstractNum>
  <w:abstractNum w:abstractNumId="52">
    <w:nsid w:val="7F01579B"/>
    <w:multiLevelType w:val="hybridMultilevel"/>
    <w:lvl w:ilvl="0">
      <w:lvlJc w:val="left"/>
      <w:lvlText w:val="6"/>
      <w:numFmt w:val="bullet"/>
      <w:start w:val="1"/>
    </w:lvl>
  </w:abstractNum>
  <w:abstractNum w:abstractNumId="53">
    <w:nsid w:val="49DA307D"/>
    <w:multiLevelType w:val="hybridMultilevel"/>
    <w:lvl w:ilvl="0">
      <w:lvlJc w:val="left"/>
      <w:lvlText w:val="7"/>
      <w:numFmt w:val="bullet"/>
      <w:start w:val="1"/>
    </w:lvl>
  </w:abstractNum>
  <w:abstractNum w:abstractNumId="54">
    <w:nsid w:val="7055A5F5"/>
    <w:multiLevelType w:val="hybridMultilevel"/>
    <w:lvl w:ilvl="0">
      <w:lvlJc w:val="left"/>
      <w:lvlText w:val="8"/>
      <w:numFmt w:val="bullet"/>
      <w:start w:val="1"/>
    </w:lvl>
  </w:abstractNum>
  <w:abstractNum w:abstractNumId="55">
    <w:nsid w:val="5FB8370B"/>
    <w:multiLevelType w:val="hybridMultilevel"/>
    <w:lvl w:ilvl="0">
      <w:lvlJc w:val="left"/>
      <w:lvlText w:val="1"/>
      <w:numFmt w:val="bullet"/>
      <w:start w:val="1"/>
    </w:lvl>
  </w:abstractNum>
  <w:abstractNum w:abstractNumId="56">
    <w:nsid w:val="50801EE1"/>
    <w:multiLevelType w:val="hybridMultilevel"/>
    <w:lvl w:ilvl="0">
      <w:lvlJc w:val="left"/>
      <w:lvlText w:val="1"/>
      <w:numFmt w:val="bullet"/>
      <w:start w:val="1"/>
    </w:lvl>
  </w:abstractNum>
  <w:abstractNum w:abstractNumId="57">
    <w:nsid w:val="488AC1A"/>
    <w:multiLevelType w:val="hybridMultilevel"/>
    <w:lvl w:ilvl="0">
      <w:lvlJc w:val="left"/>
      <w:lvlText w:val="2"/>
      <w:numFmt w:val="bullet"/>
      <w:start w:val="1"/>
    </w:lvl>
  </w:abstractNum>
  <w:abstractNum w:abstractNumId="58">
    <w:nsid w:val="5FB8011C"/>
    <w:multiLevelType w:val="hybridMultilevel"/>
    <w:lvl w:ilvl="0">
      <w:lvlJc w:val="left"/>
      <w:lvlText w:val="1"/>
      <w:numFmt w:val="bullet"/>
      <w:start w:val="1"/>
    </w:lvl>
  </w:abstractNum>
  <w:abstractNum w:abstractNumId="59">
    <w:nsid w:val="6AA78F7F"/>
    <w:multiLevelType w:val="hybridMultilevel"/>
    <w:lvl w:ilvl="0">
      <w:lvlJc w:val="left"/>
      <w:lvlText w:val="2"/>
      <w:numFmt w:val="bullet"/>
      <w:start w:val="1"/>
    </w:lvl>
  </w:abstractNum>
  <w:abstractNum w:abstractNumId="60">
    <w:nsid w:val="7672BD23"/>
    <w:multiLevelType w:val="hybridMultilevel"/>
    <w:lvl w:ilvl="0">
      <w:lvlJc w:val="left"/>
      <w:lvlText w:val="3"/>
      <w:numFmt w:val="bullet"/>
      <w:start w:val="1"/>
    </w:lvl>
  </w:abstractNum>
  <w:abstractNum w:abstractNumId="61">
    <w:nsid w:val="6FC75AF8"/>
    <w:multiLevelType w:val="hybridMultilevel"/>
    <w:lvl w:ilvl="0">
      <w:lvlJc w:val="left"/>
      <w:lvlText w:val="%1"/>
      <w:numFmt w:val="decimal"/>
      <w:start w:val="10"/>
    </w:lvl>
  </w:abstractNum>
  <w:abstractNum w:abstractNumId="62">
    <w:nsid w:val="6A5F7029"/>
    <w:multiLevelType w:val="hybridMultilevel"/>
    <w:lvl w:ilvl="0">
      <w:lvlJc w:val="left"/>
      <w:lvlText w:val="%1"/>
      <w:numFmt w:val="decimal"/>
      <w:start w:val="11"/>
    </w:lvl>
  </w:abstractNum>
  <w:abstractNum w:abstractNumId="63">
    <w:nsid w:val="7D5E18F8"/>
    <w:multiLevelType w:val="hybridMultilevel"/>
    <w:lvl w:ilvl="0">
      <w:lvlJc w:val="left"/>
      <w:lvlText w:val="1"/>
      <w:numFmt w:val="bullet"/>
      <w:start w:val="1"/>
    </w:lvl>
  </w:abstractNum>
  <w:abstractNum w:abstractNumId="64">
    <w:nsid w:val="5F3534A4"/>
    <w:multiLevelType w:val="hybridMultilevel"/>
    <w:lvl w:ilvl="0">
      <w:lvlJc w:val="left"/>
      <w:lvlText w:val="1"/>
      <w:numFmt w:val="bullet"/>
      <w:start w:val="1"/>
    </w:lvl>
  </w:abstractNum>
  <w:abstractNum w:abstractNumId="65">
    <w:nsid w:val="73A1821B"/>
    <w:multiLevelType w:val="hybridMultilevel"/>
    <w:lvl w:ilvl="0">
      <w:lvlJc w:val="left"/>
      <w:lvlText w:val="2"/>
      <w:numFmt w:val="bullet"/>
      <w:start w:val="1"/>
    </w:lvl>
  </w:abstractNum>
  <w:abstractNum w:abstractNumId="66">
    <w:nsid w:val="7DE67713"/>
    <w:multiLevelType w:val="hybridMultilevel"/>
    <w:lvl w:ilvl="0">
      <w:lvlJc w:val="left"/>
      <w:lvlText w:val="1"/>
      <w:numFmt w:val="bullet"/>
      <w:start w:val="1"/>
    </w:lvl>
  </w:abstractNum>
  <w:abstractNum w:abstractNumId="67">
    <w:nsid w:val="555C55B5"/>
    <w:multiLevelType w:val="hybridMultilevel"/>
    <w:lvl w:ilvl="0">
      <w:lvlJc w:val="left"/>
      <w:lvlText w:val="2"/>
      <w:numFmt w:val="bullet"/>
      <w:start w:val="1"/>
    </w:lvl>
  </w:abstractNum>
  <w:abstractNum w:abstractNumId="68">
    <w:nsid w:val="3FA62ACA"/>
    <w:multiLevelType w:val="hybridMultilevel"/>
    <w:lvl w:ilvl="0">
      <w:lvlJc w:val="left"/>
      <w:lvlText w:val="3"/>
      <w:numFmt w:val="bullet"/>
      <w:start w:val="1"/>
    </w:lvl>
  </w:abstractNum>
  <w:abstractNum w:abstractNumId="69">
    <w:nsid w:val="14FCE74E"/>
    <w:multiLevelType w:val="hybridMultilevel"/>
    <w:lvl w:ilvl="0">
      <w:lvlJc w:val="left"/>
      <w:lvlText w:val="4"/>
      <w:numFmt w:val="bullet"/>
      <w:start w:val="1"/>
    </w:lvl>
  </w:abstractNum>
  <w:abstractNum w:abstractNumId="70">
    <w:nsid w:val="6A3DD3E8"/>
    <w:multiLevelType w:val="hybridMultilevel"/>
    <w:lvl w:ilvl="0">
      <w:lvlJc w:val="left"/>
      <w:lvlText w:val="5"/>
      <w:numFmt w:val="bullet"/>
      <w:start w:val="1"/>
    </w:lvl>
  </w:abstractNum>
  <w:abstractNum w:abstractNumId="71">
    <w:nsid w:val="71C91298"/>
    <w:multiLevelType w:val="hybridMultilevel"/>
    <w:lvl w:ilvl="0">
      <w:lvlJc w:val="left"/>
      <w:lvlText w:val="6"/>
      <w:numFmt w:val="bullet"/>
      <w:start w:val="1"/>
    </w:lvl>
  </w:abstractNum>
  <w:abstractNum w:abstractNumId="72">
    <w:nsid w:val="9DAF632"/>
    <w:multiLevelType w:val="hybridMultilevel"/>
    <w:lvl w:ilvl="0">
      <w:lvlJc w:val="left"/>
      <w:lvlText w:val="7"/>
      <w:numFmt w:val="bullet"/>
      <w:start w:val="1"/>
    </w:lvl>
  </w:abstractNum>
  <w:abstractNum w:abstractNumId="73">
    <w:nsid w:val="53299938"/>
    <w:multiLevelType w:val="hybridMultilevel"/>
    <w:lvl w:ilvl="0">
      <w:lvlJc w:val="left"/>
      <w:lvlText w:val="1"/>
      <w:numFmt w:val="bullet"/>
      <w:start w:val="1"/>
    </w:lvl>
  </w:abstractNum>
  <w:abstractNum w:abstractNumId="74">
    <w:nsid w:val="1FBFE8E0"/>
    <w:multiLevelType w:val="hybridMultilevel"/>
    <w:lvl w:ilvl="0">
      <w:lvlJc w:val="left"/>
      <w:lvlText w:val="2"/>
      <w:numFmt w:val="bullet"/>
      <w:start w:val="1"/>
    </w:lvl>
  </w:abstractNum>
  <w:abstractNum w:abstractNumId="75">
    <w:nsid w:val="5092CA79"/>
    <w:multiLevelType w:val="hybridMultilevel"/>
    <w:lvl w:ilvl="0">
      <w:lvlJc w:val="left"/>
      <w:lvlText w:val="3"/>
      <w:numFmt w:val="bullet"/>
      <w:start w:val="1"/>
    </w:lvl>
  </w:abstractNum>
  <w:abstractNum w:abstractNumId="76">
    <w:nsid w:val="1D545C4D"/>
    <w:multiLevelType w:val="hybridMultilevel"/>
    <w:lvl w:ilvl="0">
      <w:lvlJc w:val="left"/>
      <w:lvlText w:val="4"/>
      <w:numFmt w:val="bullet"/>
      <w:start w:val="1"/>
    </w:lvl>
  </w:abstractNum>
  <w:abstractNum w:abstractNumId="77">
    <w:nsid w:val="59ADEA3D"/>
    <w:multiLevelType w:val="hybridMultilevel"/>
    <w:lvl w:ilvl="0">
      <w:lvlJc w:val="left"/>
      <w:lvlText w:val="5"/>
      <w:numFmt w:val="bullet"/>
      <w:start w:val="1"/>
    </w:lvl>
  </w:abstractNum>
  <w:abstractNum w:abstractNumId="78">
    <w:nsid w:val="288F1A34"/>
    <w:multiLevelType w:val="hybridMultilevel"/>
    <w:lvl w:ilvl="0">
      <w:lvlJc w:val="left"/>
      <w:lvlText w:val="6"/>
      <w:numFmt w:val="bullet"/>
      <w:start w:val="1"/>
    </w:lvl>
  </w:abstractNum>
  <w:abstractNum w:abstractNumId="79">
    <w:nsid w:val="2A155DBC"/>
    <w:multiLevelType w:val="hybridMultilevel"/>
    <w:lvl w:ilvl="0">
      <w:lvlJc w:val="left"/>
      <w:lvlText w:val="1"/>
      <w:numFmt w:val="bullet"/>
      <w:start w:val="1"/>
    </w:lvl>
  </w:abstractNum>
  <w:abstractNum w:abstractNumId="80">
    <w:nsid w:val="1D9F6E5F"/>
    <w:multiLevelType w:val="hybridMultilevel"/>
    <w:lvl w:ilvl="0">
      <w:lvlJc w:val="left"/>
      <w:lvlText w:val="1"/>
      <w:numFmt w:val="bullet"/>
      <w:start w:val="1"/>
    </w:lvl>
  </w:abstractNum>
  <w:abstractNum w:abstractNumId="81">
    <w:nsid w:val="97E1B4E"/>
    <w:multiLevelType w:val="hybridMultilevel"/>
    <w:lvl w:ilvl="0">
      <w:lvlJc w:val="left"/>
      <w:lvlText w:val="2"/>
      <w:numFmt w:val="bullet"/>
      <w:start w:val="1"/>
    </w:lvl>
  </w:abstractNum>
  <w:abstractNum w:abstractNumId="82">
    <w:nsid w:val="51088277"/>
    <w:multiLevelType w:val="hybridMultilevel"/>
    <w:lvl w:ilvl="0">
      <w:lvlJc w:val="left"/>
      <w:lvlText w:val="3"/>
      <w:numFmt w:val="bullet"/>
      <w:start w:val="1"/>
    </w:lvl>
  </w:abstractNum>
  <w:abstractNum w:abstractNumId="83">
    <w:nsid w:val="1CA0C5FA"/>
    <w:multiLevelType w:val="hybridMultilevel"/>
    <w:lvl w:ilvl="0">
      <w:lvlJc w:val="left"/>
      <w:lvlText w:val="1"/>
      <w:numFmt w:val="bullet"/>
      <w:start w:val="1"/>
    </w:lvl>
  </w:abstractNum>
  <w:abstractNum w:abstractNumId="84">
    <w:nsid w:val="53584BCB"/>
    <w:multiLevelType w:val="hybridMultilevel"/>
    <w:lvl w:ilvl="0">
      <w:lvlJc w:val="left"/>
      <w:lvlText w:val="1"/>
      <w:numFmt w:val="bullet"/>
      <w:start w:val="1"/>
    </w:lvl>
  </w:abstractNum>
  <w:abstractNum w:abstractNumId="85">
    <w:nsid w:val="415E286C"/>
    <w:multiLevelType w:val="hybridMultilevel"/>
    <w:lvl w:ilvl="0">
      <w:lvlJc w:val="left"/>
      <w:lvlText w:val="2"/>
      <w:numFmt w:val="bullet"/>
      <w:start w:val="1"/>
    </w:lvl>
  </w:abstractNum>
  <w:abstractNum w:abstractNumId="86">
    <w:nsid w:val="7C58FD05"/>
    <w:multiLevelType w:val="hybridMultilevel"/>
    <w:lvl w:ilvl="0">
      <w:lvlJc w:val="left"/>
      <w:lvlText w:val="3"/>
      <w:numFmt w:val="bullet"/>
      <w:start w:val="1"/>
    </w:lvl>
  </w:abstractNum>
  <w:abstractNum w:abstractNumId="87">
    <w:nsid w:val="23D86AAC"/>
    <w:multiLevelType w:val="hybridMultilevel"/>
    <w:lvl w:ilvl="0">
      <w:lvlJc w:val="left"/>
      <w:lvlText w:val="4"/>
      <w:numFmt w:val="bullet"/>
      <w:start w:val="1"/>
    </w:lvl>
  </w:abstractNum>
  <w:abstractNum w:abstractNumId="88">
    <w:nsid w:val="45E6D486"/>
    <w:multiLevelType w:val="hybridMultilevel"/>
    <w:lvl w:ilvl="0">
      <w:lvlJc w:val="left"/>
      <w:lvlText w:val="1"/>
      <w:numFmt w:val="bullet"/>
      <w:start w:val="1"/>
    </w:lvl>
  </w:abstractNum>
  <w:abstractNum w:abstractNumId="89">
    <w:nsid w:val="5C10FE21"/>
    <w:multiLevelType w:val="hybridMultilevel"/>
    <w:lvl w:ilvl="0">
      <w:lvlJc w:val="left"/>
      <w:lvlText w:val="2"/>
      <w:numFmt w:val="bullet"/>
      <w:start w:val="1"/>
    </w:lvl>
  </w:abstractNum>
  <w:abstractNum w:abstractNumId="90">
    <w:nsid w:val="E7FFA2B"/>
    <w:multiLevelType w:val="hybridMultilevel"/>
    <w:lvl w:ilvl="0">
      <w:lvlJc w:val="left"/>
      <w:lvlText w:val="3"/>
      <w:numFmt w:val="bullet"/>
      <w:start w:val="1"/>
    </w:lvl>
  </w:abstractNum>
  <w:abstractNum w:abstractNumId="91">
    <w:nsid w:val="3C5991AA"/>
    <w:multiLevelType w:val="hybridMultilevel"/>
    <w:lvl w:ilvl="0">
      <w:lvlJc w:val="left"/>
      <w:lvlText w:val="4"/>
      <w:numFmt w:val="bullet"/>
      <w:start w:val="1"/>
    </w:lvl>
  </w:abstractNum>
  <w:abstractNum w:abstractNumId="92">
    <w:nsid w:val="4BD8591A"/>
    <w:multiLevelType w:val="hybridMultilevel"/>
    <w:lvl w:ilvl="0">
      <w:lvlJc w:val="left"/>
      <w:lvlText w:val="1"/>
      <w:numFmt w:val="bullet"/>
      <w:start w:val="1"/>
    </w:lvl>
  </w:abstractNum>
  <w:abstractNum w:abstractNumId="93">
    <w:nsid w:val="78DF6A55"/>
    <w:multiLevelType w:val="hybridMultilevel"/>
    <w:lvl w:ilvl="0">
      <w:lvlJc w:val="left"/>
      <w:lvlText w:val="2"/>
      <w:numFmt w:val="bullet"/>
      <w:start w:val="1"/>
    </w:lvl>
  </w:abstractNum>
  <w:abstractNum w:abstractNumId="94">
    <w:nsid w:val="39B7AAA2"/>
    <w:multiLevelType w:val="hybridMultilevel"/>
    <w:lvl w:ilvl="0">
      <w:lvlJc w:val="left"/>
      <w:lvlText w:val="3"/>
      <w:numFmt w:val="bullet"/>
      <w:start w:val="1"/>
    </w:lvl>
  </w:abstractNum>
  <w:abstractNum w:abstractNumId="95">
    <w:nsid w:val="2B0D8DBE"/>
    <w:multiLevelType w:val="hybridMultilevel"/>
    <w:lvl w:ilvl="0">
      <w:lvlJc w:val="left"/>
      <w:lvlText w:val="4"/>
      <w:numFmt w:val="bullet"/>
      <w:start w:val="1"/>
    </w:lvl>
  </w:abstractNum>
  <w:abstractNum w:abstractNumId="96">
    <w:nsid w:val="6C80EC70"/>
    <w:multiLevelType w:val="hybridMultilevel"/>
    <w:lvl w:ilvl="0">
      <w:lvlJc w:val="left"/>
      <w:lvlText w:val="5"/>
      <w:numFmt w:val="bullet"/>
      <w:start w:val="1"/>
    </w:lvl>
  </w:abstractNum>
  <w:abstractNum w:abstractNumId="97">
    <w:nsid w:val="379E21B5"/>
    <w:multiLevelType w:val="hybridMultilevel"/>
    <w:lvl w:ilvl="0">
      <w:lvlJc w:val="left"/>
      <w:lvlText w:val="6"/>
      <w:numFmt w:val="bullet"/>
      <w:start w:val="1"/>
    </w:lvl>
  </w:abstractNum>
  <w:abstractNum w:abstractNumId="98">
    <w:nsid w:val="69E373"/>
    <w:multiLevelType w:val="hybridMultilevel"/>
    <w:lvl w:ilvl="0">
      <w:lvlJc w:val="left"/>
      <w:lvlText w:val="7"/>
      <w:numFmt w:val="bullet"/>
      <w:start w:val="1"/>
    </w:lvl>
  </w:abstractNum>
  <w:abstractNum w:abstractNumId="99">
    <w:nsid w:val="2C27173B"/>
    <w:multiLevelType w:val="hybridMultilevel"/>
    <w:lvl w:ilvl="0">
      <w:lvlJc w:val="left"/>
      <w:lvlText w:val="8"/>
      <w:numFmt w:val="bullet"/>
      <w:start w:val="1"/>
    </w:lvl>
  </w:abstractNum>
  <w:abstractNum w:abstractNumId="100">
    <w:nsid w:val="4C9B0904"/>
    <w:multiLevelType w:val="hybridMultilevel"/>
    <w:lvl w:ilvl="0">
      <w:lvlJc w:val="left"/>
      <w:lvlText w:val="9"/>
      <w:numFmt w:val="bullet"/>
      <w:start w:val="1"/>
    </w:lvl>
  </w:abstractNum>
  <w:abstractNum w:abstractNumId="101">
    <w:nsid w:val="6AA7B75C"/>
    <w:multiLevelType w:val="hybridMultilevel"/>
    <w:lvl w:ilvl="0">
      <w:lvlJc w:val="left"/>
      <w:lvlText w:val="%1"/>
      <w:numFmt w:val="decimal"/>
      <w:start w:val="10"/>
    </w:lvl>
  </w:abstractNum>
  <w:abstractNum w:abstractNumId="102">
    <w:nsid w:val="1DF029D3"/>
    <w:multiLevelType w:val="hybridMultilevel"/>
    <w:lvl w:ilvl="0">
      <w:lvlJc w:val="left"/>
      <w:lvlText w:val="1"/>
      <w:numFmt w:val="bullet"/>
      <w:start w:val="1"/>
    </w:lvl>
  </w:abstractNum>
  <w:abstractNum w:abstractNumId="103">
    <w:nsid w:val="5675FF36"/>
    <w:multiLevelType w:val="hybridMultilevel"/>
    <w:lvl w:ilvl="0">
      <w:lvlJc w:val="left"/>
      <w:lvlText w:val="1"/>
      <w:numFmt w:val="bullet"/>
      <w:start w:val="1"/>
    </w:lvl>
  </w:abstractNum>
  <w:abstractNum w:abstractNumId="104">
    <w:nsid w:val="3DD15094"/>
    <w:multiLevelType w:val="hybridMultilevel"/>
    <w:lvl w:ilvl="0">
      <w:lvlJc w:val="left"/>
      <w:lvlText w:val="1"/>
      <w:numFmt w:val="bullet"/>
      <w:start w:val="1"/>
    </w:lvl>
  </w:abstractNum>
  <w:abstractNum w:abstractNumId="105">
    <w:nsid w:val="3DB012B3"/>
    <w:multiLevelType w:val="hybridMultilevel"/>
    <w:lvl w:ilvl="0">
      <w:lvlJc w:val="left"/>
      <w:lvlText w:val="1"/>
      <w:numFmt w:val="bullet"/>
      <w:start w:val="1"/>
    </w:lvl>
  </w:abstractNum>
  <w:abstractNum w:abstractNumId="106">
    <w:nsid w:val="2708C9AF"/>
    <w:multiLevelType w:val="hybridMultilevel"/>
    <w:lvl w:ilvl="0">
      <w:lvlJc w:val="left"/>
      <w:lvlText w:val="1"/>
      <w:numFmt w:val="bullet"/>
      <w:start w:val="1"/>
    </w:lvl>
  </w:abstractNum>
  <w:abstractNum w:abstractNumId="107">
    <w:nsid w:val="5B25ACE2"/>
    <w:multiLevelType w:val="hybridMultilevel"/>
    <w:lvl w:ilvl="0">
      <w:lvlJc w:val="left"/>
      <w:lvlText w:val="1"/>
      <w:numFmt w:val="bullet"/>
      <w:start w:val="1"/>
    </w:lvl>
  </w:abstractNum>
  <w:abstractNum w:abstractNumId="108">
    <w:nsid w:val="175DFCF0"/>
    <w:multiLevelType w:val="hybridMultilevel"/>
    <w:lvl w:ilvl="0">
      <w:lvlJc w:val="left"/>
      <w:lvlText w:val="1"/>
      <w:numFmt w:val="bullet"/>
      <w:start w:val="1"/>
    </w:lvl>
  </w:abstractNum>
  <w:abstractNum w:abstractNumId="109">
    <w:nsid w:val="4F97E3E4"/>
    <w:multiLevelType w:val="hybridMultilevel"/>
    <w:lvl w:ilvl="0">
      <w:lvlJc w:val="left"/>
      <w:lvlText w:val="1"/>
      <w:numFmt w:val="bullet"/>
      <w:start w:val="1"/>
    </w:lvl>
  </w:abstractNum>
  <w:abstractNum w:abstractNumId="110">
    <w:nsid w:val="53B0A9E"/>
    <w:multiLevelType w:val="hybridMultilevel"/>
    <w:lvl w:ilvl="0">
      <w:lvlJc w:val="left"/>
      <w:lvlText w:val="1"/>
      <w:numFmt w:val="bullet"/>
      <w:start w:val="1"/>
    </w:lvl>
  </w:abstractNum>
  <w:abstractNum w:abstractNumId="111">
    <w:nsid w:val="34FD6B4F"/>
    <w:multiLevelType w:val="hybridMultilevel"/>
    <w:lvl w:ilvl="0">
      <w:lvlJc w:val="left"/>
      <w:lvlText w:val="1"/>
      <w:numFmt w:val="bullet"/>
      <w:start w:val="1"/>
    </w:lvl>
  </w:abstractNum>
  <w:abstractNum w:abstractNumId="112">
    <w:nsid w:val="5915FF32"/>
    <w:multiLevelType w:val="hybridMultilevel"/>
    <w:lvl w:ilvl="0">
      <w:lvlJc w:val="left"/>
      <w:lvlText w:val="1"/>
      <w:numFmt w:val="bullet"/>
      <w:start w:val="1"/>
    </w:lvl>
  </w:abstractNum>
  <w:abstractNum w:abstractNumId="113">
    <w:nsid w:val="56438D15"/>
    <w:multiLevelType w:val="hybridMultilevel"/>
    <w:lvl w:ilvl="0">
      <w:lvlJc w:val="left"/>
      <w:lvlText w:val="1"/>
      <w:numFmt w:val="bullet"/>
      <w:start w:val="1"/>
    </w:lvl>
  </w:abstractNum>
  <w:abstractNum w:abstractNumId="114">
    <w:nsid w:val="519E3149"/>
    <w:multiLevelType w:val="hybridMultilevel"/>
    <w:lvl w:ilvl="0">
      <w:lvlJc w:val="left"/>
      <w:lvlText w:val="1"/>
      <w:numFmt w:val="bullet"/>
      <w:start w:val="1"/>
    </w:lvl>
  </w:abstractNum>
  <w:abstractNum w:abstractNumId="115">
    <w:nsid w:val="2C6E4AFD"/>
    <w:multiLevelType w:val="hybridMultilevel"/>
    <w:lvl w:ilvl="0">
      <w:lvlJc w:val="left"/>
      <w:lvlText w:val="1"/>
      <w:numFmt w:val="bullet"/>
      <w:start w:val="1"/>
    </w:lvl>
  </w:abstractNum>
  <w:abstractNum w:abstractNumId="116">
    <w:nsid w:val="17A1B582"/>
    <w:multiLevelType w:val="hybridMultilevel"/>
    <w:lvl w:ilvl="0">
      <w:lvlJc w:val="left"/>
      <w:lvlText w:val="1"/>
      <w:numFmt w:val="bullet"/>
      <w:start w:val="1"/>
    </w:lvl>
  </w:abstractNum>
  <w:abstractNum w:abstractNumId="117">
    <w:nsid w:val="4DF72E4E"/>
    <w:multiLevelType w:val="hybridMultilevel"/>
    <w:lvl w:ilvl="0">
      <w:lvlJc w:val="left"/>
      <w:lvlText w:val="3"/>
      <w:numFmt w:val="bullet"/>
      <w:start w:val="1"/>
    </w:lvl>
  </w:abstractNum>
  <w:abstractNum w:abstractNumId="118">
    <w:nsid w:val="5046B5A9"/>
    <w:multiLevelType w:val="hybridMultilevel"/>
    <w:lvl w:ilvl="0">
      <w:lvlJc w:val="left"/>
      <w:lvlText w:val="4"/>
      <w:numFmt w:val="bullet"/>
      <w:start w:val="1"/>
    </w:lvl>
  </w:abstractNum>
  <w:abstractNum w:abstractNumId="119">
    <w:nsid w:val="5D888A08"/>
    <w:multiLevelType w:val="hybridMultilevel"/>
    <w:lvl w:ilvl="0">
      <w:lvlJc w:val="left"/>
      <w:lvlText w:val="1"/>
      <w:numFmt w:val="bullet"/>
      <w:start w:val="1"/>
    </w:lvl>
  </w:abstractNum>
  <w:abstractNum w:abstractNumId="120">
    <w:nsid w:val="2A082C70"/>
    <w:multiLevelType w:val="hybridMultilevel"/>
    <w:lvl w:ilvl="0">
      <w:lvlJc w:val="left"/>
      <w:lvlText w:val="1"/>
      <w:numFmt w:val="bullet"/>
      <w:start w:val="1"/>
    </w:lvl>
  </w:abstractNum>
  <w:abstractNum w:abstractNumId="121">
    <w:nsid w:val="5EC6AFD4"/>
    <w:multiLevelType w:val="hybridMultilevel"/>
    <w:lvl w:ilvl="0">
      <w:lvlJc w:val="left"/>
      <w:lvlText w:val="2"/>
      <w:numFmt w:val="bullet"/>
      <w:start w:val="1"/>
    </w:lvl>
  </w:abstractNum>
  <w:abstractNum w:abstractNumId="122">
    <w:nsid w:val="19E21BB2"/>
    <w:multiLevelType w:val="hybridMultilevel"/>
    <w:lvl w:ilvl="0">
      <w:lvlJc w:val="left"/>
      <w:lvlText w:val="3"/>
      <w:numFmt w:val="bullet"/>
      <w:start w:val="1"/>
    </w:lvl>
  </w:abstractNum>
  <w:abstractNum w:abstractNumId="123">
    <w:nsid w:val="75E0858A"/>
    <w:multiLevelType w:val="hybridMultilevel"/>
    <w:lvl w:ilvl="0">
      <w:lvlJc w:val="left"/>
      <w:lvlText w:val="1"/>
      <w:numFmt w:val="bullet"/>
      <w:start w:val="1"/>
    </w:lvl>
  </w:abstractNum>
  <w:abstractNum w:abstractNumId="124">
    <w:nsid w:val="57A61A29"/>
    <w:multiLevelType w:val="hybridMultilevel"/>
    <w:lvl w:ilvl="0">
      <w:lvlJc w:val="left"/>
      <w:lvlText w:val="2"/>
      <w:numFmt w:val="bullet"/>
      <w:start w:val="1"/>
    </w:lvl>
  </w:abstractNum>
  <w:abstractNum w:abstractNumId="125">
    <w:nsid w:val="5399C654"/>
    <w:multiLevelType w:val="hybridMultilevel"/>
    <w:lvl w:ilvl="0">
      <w:lvlJc w:val="left"/>
      <w:lvlText w:val="3"/>
      <w:numFmt w:val="bullet"/>
      <w:start w:val="1"/>
    </w:lvl>
  </w:abstractNum>
  <w:abstractNum w:abstractNumId="126">
    <w:nsid w:val="20EE1348"/>
    <w:multiLevelType w:val="hybridMultilevel"/>
    <w:lvl w:ilvl="0">
      <w:lvlJc w:val="left"/>
      <w:lvlText w:val="6"/>
      <w:numFmt w:val="bullet"/>
      <w:start w:val="1"/>
    </w:lvl>
  </w:abstractNum>
  <w:abstractNum w:abstractNumId="127">
    <w:nsid w:val="4427069A"/>
    <w:multiLevelType w:val="hybridMultilevel"/>
    <w:lvl w:ilvl="0">
      <w:lvlJc w:val="left"/>
      <w:lvlText w:val="1"/>
      <w:numFmt w:val="bullet"/>
      <w:start w:val="1"/>
    </w:lvl>
  </w:abstractNum>
  <w:abstractNum w:abstractNumId="128">
    <w:nsid w:val="B37E80A"/>
    <w:multiLevelType w:val="hybridMultilevel"/>
    <w:lvl w:ilvl="0">
      <w:lvlJc w:val="left"/>
      <w:lvlText w:val="1"/>
      <w:numFmt w:val="bullet"/>
      <w:start w:val="1"/>
    </w:lvl>
  </w:abstractNum>
  <w:abstractNum w:abstractNumId="129">
    <w:nsid w:val="2157F6BC"/>
    <w:multiLevelType w:val="hybridMultilevel"/>
    <w:lvl w:ilvl="0">
      <w:lvlJc w:val="left"/>
      <w:lvlText w:val="•"/>
      <w:numFmt w:val="bullet"/>
      <w:start w:val="1"/>
    </w:lvl>
    <w:lvl w:ilvl="1">
      <w:lvlJc w:val="left"/>
      <w:lvlText w:val="◦"/>
      <w:numFmt w:val="bullet"/>
      <w:start w:val="1"/>
    </w:lvl>
  </w:abstractNum>
  <w:abstractNum w:abstractNumId="130">
    <w:nsid w:val="704E1DD5"/>
    <w:multiLevelType w:val="hybridMultilevel"/>
    <w:lvl w:ilvl="0">
      <w:lvlJc w:val="left"/>
      <w:lvlText w:val="•"/>
      <w:numFmt w:val="bullet"/>
      <w:start w:val="1"/>
    </w:lvl>
  </w:abstractNum>
  <w:abstractNum w:abstractNumId="131">
    <w:nsid w:val="57D2F10E"/>
    <w:multiLevelType w:val="hybridMultilevel"/>
    <w:lvl w:ilvl="0">
      <w:lvlJc w:val="left"/>
      <w:lvlText w:val="•"/>
      <w:numFmt w:val="bullet"/>
      <w:start w:val="1"/>
    </w:lvl>
  </w:abstractNum>
  <w:abstractNum w:abstractNumId="132">
    <w:nsid w:val="BFFAE18"/>
    <w:multiLevelType w:val="hybridMultilevel"/>
    <w:lvl w:ilvl="0">
      <w:lvlJc w:val="left"/>
      <w:lvlText w:val="•"/>
      <w:numFmt w:val="bullet"/>
      <w:start w:val="1"/>
    </w:lvl>
    <w:lvl w:ilvl="1">
      <w:lvlJc w:val="left"/>
      <w:lvlText w:val="◦"/>
      <w:numFmt w:val="bullet"/>
      <w:start w:val="1"/>
    </w:lvl>
  </w:abstractNum>
  <w:abstractNum w:abstractNumId="133">
    <w:nsid w:val="E3E47A8"/>
    <w:multiLevelType w:val="hybridMultilevel"/>
    <w:lvl w:ilvl="0">
      <w:lvlJc w:val="left"/>
      <w:lvlText w:val="•"/>
      <w:numFmt w:val="bullet"/>
      <w:start w:val="1"/>
    </w:lvl>
  </w:abstractNum>
  <w:abstractNum w:abstractNumId="134">
    <w:nsid w:val="2E48F044"/>
    <w:multiLevelType w:val="hybridMultilevel"/>
    <w:lvl w:ilvl="0">
      <w:lvlJc w:val="left"/>
      <w:lvlText w:val="•"/>
      <w:numFmt w:val="bullet"/>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2025-10-28T15:37:25Z</dcterms:created>
  <dcterms:modified xsi:type="dcterms:W3CDTF">2025-10-28T15:37:25Z</dcterms:modified>
</cp:coreProperties>
</file>