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146685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107950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25"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2024</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4"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ind w:left="38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1-13087 (Boston Properties,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139065</wp:posOffset>
            </wp:positionV>
            <wp:extent cx="264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BOSTON PROPERTIES, INC.</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BOSTON PROPERTIES LIMITED PARTNERSHIP</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114935</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3280" w:type="dxa"/>
            <w:vAlign w:val="bottom"/>
          </w:tcPr>
          <w:p>
            <w:pPr>
              <w:jc w:val="center"/>
              <w:ind w:right="219"/>
              <w:spacing w:after="0"/>
              <w:rPr>
                <w:sz w:val="20"/>
                <w:szCs w:val="20"/>
                <w:color w:val="auto"/>
              </w:rPr>
            </w:pPr>
            <w:r>
              <w:rPr>
                <w:rFonts w:ascii="Arial" w:cs="Arial" w:eastAsia="Arial" w:hAnsi="Arial"/>
                <w:sz w:val="16"/>
                <w:szCs w:val="16"/>
                <w:b w:val="1"/>
                <w:bCs w:val="1"/>
                <w:color w:val="auto"/>
              </w:rPr>
              <w:t>Boston Properties, Inc.</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04-2473675</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r>
        <w:trPr>
          <w:trHeight w:val="312"/>
        </w:trPr>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rPr>
              <w:t>Boston Properties Limited Partnership</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04-3372948</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bl>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236-3300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117475</wp:posOffset>
            </wp:positionV>
            <wp:extent cx="2640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4"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Registrant</w:t>
            </w:r>
          </w:p>
        </w:tc>
        <w:tc>
          <w:tcPr>
            <w:tcW w:w="28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Title of each class</w:t>
            </w:r>
          </w:p>
        </w:tc>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9"/>
              </w:rPr>
              <w:t>Trading Symbol(s)</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Name of each</w:t>
            </w:r>
          </w:p>
        </w:tc>
        <w:tc>
          <w:tcPr>
            <w:tcW w:w="0" w:type="dxa"/>
            <w:vAlign w:val="bottom"/>
          </w:tcPr>
          <w:p>
            <w:pPr>
              <w:spacing w:after="0"/>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56"/>
        </w:trPr>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Boston Properties, Inc.</w:t>
            </w:r>
          </w:p>
        </w:tc>
        <w:tc>
          <w:tcPr>
            <w:tcW w:w="16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Common Stock, par value $0.01 per</w:t>
            </w:r>
          </w:p>
        </w:tc>
        <w:tc>
          <w:tcPr>
            <w:tcW w:w="18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9"/>
              </w:rPr>
              <w:t>BXP</w:t>
            </w:r>
          </w:p>
        </w:tc>
        <w:tc>
          <w:tcPr>
            <w:tcW w:w="160" w:type="dxa"/>
            <w:vAlign w:val="bottom"/>
          </w:tcPr>
          <w:p>
            <w:pPr>
              <w:spacing w:after="0"/>
              <w:rPr>
                <w:sz w:val="13"/>
                <w:szCs w:val="13"/>
                <w:color w:val="auto"/>
              </w:rPr>
            </w:pPr>
          </w:p>
        </w:tc>
        <w:tc>
          <w:tcPr>
            <w:tcW w:w="2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share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7" w:lineRule="exact"/>
        <w:rPr>
          <w:sz w:val="24"/>
          <w:szCs w:val="24"/>
          <w:color w:val="auto"/>
        </w:rPr>
      </w:pPr>
    </w:p>
    <w:p>
      <w:pPr>
        <w:ind w:firstLine="445"/>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 w:lineRule="exact"/>
        <w:rPr>
          <w:sz w:val="24"/>
          <w:szCs w:val="24"/>
          <w:color w:val="auto"/>
        </w:rPr>
      </w:pPr>
    </w:p>
    <w:p>
      <w:pPr>
        <w:ind w:left="420"/>
        <w:spacing w:after="0" w:line="196" w:lineRule="exact"/>
        <w:tabs>
          <w:tab w:leader="none" w:pos="2260" w:val="left"/>
          <w:tab w:leader="none" w:pos="2920" w:val="left"/>
          <w:tab w:leader="none" w:pos="3780" w:val="left"/>
          <w:tab w:leader="none" w:pos="6720" w:val="left"/>
          <w:tab w:leader="none" w:pos="7440" w:val="left"/>
        </w:tabs>
        <w:rPr>
          <w:sz w:val="20"/>
          <w:szCs w:val="20"/>
          <w:color w:val="auto"/>
        </w:rPr>
      </w:pPr>
      <w:r>
        <w:rPr>
          <w:rFonts w:ascii="Arial" w:cs="Arial" w:eastAsia="Arial" w:hAnsi="Arial"/>
          <w:sz w:val="16"/>
          <w:szCs w:val="16"/>
          <w:color w:val="auto"/>
        </w:rPr>
        <w:t>Boston Properties, Inc.:</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0"/>
          <w:szCs w:val="20"/>
          <w:color w:val="auto"/>
        </w:rPr>
      </w:pPr>
    </w:p>
    <w:p>
      <w:pPr>
        <w:ind w:left="420"/>
        <w:spacing w:after="0" w:line="196" w:lineRule="exact"/>
        <w:tabs>
          <w:tab w:leader="none" w:pos="2260" w:val="left"/>
          <w:tab w:leader="none" w:pos="2960" w:val="left"/>
          <w:tab w:leader="none" w:pos="3820" w:val="left"/>
          <w:tab w:leader="none" w:pos="6780" w:val="left"/>
          <w:tab w:leader="none" w:pos="7480" w:val="left"/>
        </w:tabs>
        <w:rPr>
          <w:sz w:val="20"/>
          <w:szCs w:val="20"/>
          <w:color w:val="auto"/>
        </w:rPr>
      </w:pPr>
      <w:r>
        <w:rPr>
          <w:rFonts w:ascii="Arial" w:cs="Arial" w:eastAsia="Arial" w:hAnsi="Arial"/>
          <w:sz w:val="16"/>
          <w:szCs w:val="16"/>
          <w:color w:val="auto"/>
        </w:rPr>
        <w:t>Boston Properties, Inc.:</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27" w:lineRule="exact"/>
        <w:rPr>
          <w:sz w:val="20"/>
          <w:szCs w:val="20"/>
          <w:color w:val="auto"/>
        </w:rPr>
      </w:pPr>
    </w:p>
    <w:p>
      <w:pPr>
        <w:ind w:right="18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Arial" w:cs="Arial" w:eastAsia="Arial" w:hAnsi="Arial"/>
                <w:sz w:val="16"/>
                <w:szCs w:val="16"/>
                <w:color w:val="auto"/>
                <w:w w:val="99"/>
              </w:rPr>
              <w:t>Boston Properties, Inc.:</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740" w:type="dxa"/>
            <w:vAlign w:val="bottom"/>
          </w:tcPr>
          <w:p>
            <w:pPr>
              <w:spacing w:after="0"/>
              <w:rPr>
                <w:sz w:val="17"/>
                <w:szCs w:val="17"/>
                <w:color w:val="auto"/>
              </w:rPr>
            </w:pPr>
          </w:p>
        </w:tc>
        <w:tc>
          <w:tcPr>
            <w:tcW w:w="4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spacing w:after="0"/>
              <w:rPr>
                <w:sz w:val="17"/>
                <w:szCs w:val="17"/>
                <w:color w:val="auto"/>
              </w:rPr>
            </w:pPr>
          </w:p>
        </w:tc>
        <w:tc>
          <w:tcPr>
            <w:tcW w:w="4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680" w:type="dxa"/>
            <w:vAlign w:val="bottom"/>
          </w:tcPr>
          <w:p>
            <w:pPr>
              <w:spacing w:after="0" w:line="163" w:lineRule="exact"/>
              <w:rPr>
                <w:sz w:val="20"/>
                <w:szCs w:val="20"/>
                <w:color w:val="auto"/>
              </w:rPr>
            </w:pPr>
            <w:r>
              <w:rPr>
                <w:rFonts w:ascii="Arial" w:cs="Arial" w:eastAsia="Arial" w:hAnsi="Arial"/>
                <w:sz w:val="16"/>
                <w:szCs w:val="16"/>
                <w:color w:val="auto"/>
              </w:rPr>
              <w:t>Large accelerated filer</w:t>
            </w:r>
          </w:p>
        </w:tc>
        <w:tc>
          <w:tcPr>
            <w:tcW w:w="360" w:type="dxa"/>
            <w:vAlign w:val="bottom"/>
          </w:tcPr>
          <w:p>
            <w:pPr>
              <w:spacing w:after="0" w:line="163" w:lineRule="exact"/>
              <w:rPr>
                <w:sz w:val="20"/>
                <w:szCs w:val="20"/>
                <w:color w:val="auto"/>
              </w:rPr>
            </w:pPr>
            <w:r>
              <w:rPr>
                <w:rFonts w:ascii="Wingdings" w:cs="Wingdings" w:eastAsia="Wingdings" w:hAnsi="Wingdings"/>
                <w:sz w:val="16"/>
                <w:szCs w:val="16"/>
                <w:b w:val="1"/>
                <w:bCs w:val="1"/>
                <w:color w:val="auto"/>
              </w:rPr>
              <w:t>x</w:t>
            </w:r>
          </w:p>
        </w:tc>
        <w:tc>
          <w:tcPr>
            <w:tcW w:w="1400" w:type="dxa"/>
            <w:vAlign w:val="bottom"/>
          </w:tcPr>
          <w:p>
            <w:pPr>
              <w:ind w:left="220"/>
              <w:spacing w:after="0" w:line="163" w:lineRule="exact"/>
              <w:rPr>
                <w:sz w:val="20"/>
                <w:szCs w:val="20"/>
                <w:color w:val="auto"/>
              </w:rPr>
            </w:pPr>
            <w:r>
              <w:rPr>
                <w:rFonts w:ascii="Arial" w:cs="Arial" w:eastAsia="Arial" w:hAnsi="Arial"/>
                <w:sz w:val="16"/>
                <w:szCs w:val="16"/>
                <w:color w:val="auto"/>
              </w:rPr>
              <w:t>Accelerated filer</w:t>
            </w:r>
          </w:p>
        </w:tc>
        <w:tc>
          <w:tcPr>
            <w:tcW w:w="420" w:type="dxa"/>
            <w:vAlign w:val="bottom"/>
            <w:vMerge w:val="continue"/>
          </w:tcPr>
          <w:p>
            <w:pPr>
              <w:spacing w:after="0"/>
              <w:rPr>
                <w:sz w:val="14"/>
                <w:szCs w:val="14"/>
                <w:color w:val="auto"/>
              </w:rPr>
            </w:pPr>
          </w:p>
        </w:tc>
        <w:tc>
          <w:tcPr>
            <w:tcW w:w="1740" w:type="dxa"/>
            <w:vAlign w:val="bottom"/>
          </w:tcPr>
          <w:p>
            <w:pPr>
              <w:ind w:left="220"/>
              <w:spacing w:after="0" w:line="163" w:lineRule="exact"/>
              <w:rPr>
                <w:sz w:val="20"/>
                <w:szCs w:val="20"/>
                <w:color w:val="auto"/>
              </w:rPr>
            </w:pPr>
            <w:r>
              <w:rPr>
                <w:rFonts w:ascii="Arial" w:cs="Arial" w:eastAsia="Arial" w:hAnsi="Arial"/>
                <w:sz w:val="16"/>
                <w:szCs w:val="16"/>
                <w:color w:val="auto"/>
              </w:rPr>
              <w:t>Non-accelerated filer</w:t>
            </w:r>
          </w:p>
        </w:tc>
        <w:tc>
          <w:tcPr>
            <w:tcW w:w="420" w:type="dxa"/>
            <w:vAlign w:val="bottom"/>
            <w:vMerge w:val="continue"/>
          </w:tcPr>
          <w:p>
            <w:pPr>
              <w:spacing w:after="0"/>
              <w:rPr>
                <w:sz w:val="14"/>
                <w:szCs w:val="14"/>
                <w:color w:val="auto"/>
              </w:rPr>
            </w:pPr>
          </w:p>
        </w:tc>
        <w:tc>
          <w:tcPr>
            <w:tcW w:w="2220" w:type="dxa"/>
            <w:vAlign w:val="bottom"/>
          </w:tcPr>
          <w:p>
            <w:pPr>
              <w:ind w:left="200"/>
              <w:spacing w:after="0" w:line="163" w:lineRule="exact"/>
              <w:rPr>
                <w:sz w:val="20"/>
                <w:szCs w:val="20"/>
                <w:color w:val="auto"/>
              </w:rPr>
            </w:pPr>
            <w:r>
              <w:rPr>
                <w:rFonts w:ascii="Arial" w:cs="Arial" w:eastAsia="Arial" w:hAnsi="Arial"/>
                <w:sz w:val="16"/>
                <w:szCs w:val="16"/>
                <w:color w:val="auto"/>
              </w:rPr>
              <w:t>Smaller reporting company</w:t>
            </w:r>
          </w:p>
        </w:tc>
        <w:tc>
          <w:tcPr>
            <w:tcW w:w="400" w:type="dxa"/>
            <w:vAlign w:val="bottom"/>
            <w:vMerge w:val="continue"/>
          </w:tcPr>
          <w:p>
            <w:pPr>
              <w:spacing w:after="0"/>
              <w:rPr>
                <w:sz w:val="14"/>
                <w:szCs w:val="14"/>
                <w:color w:val="auto"/>
              </w:rPr>
            </w:pPr>
          </w:p>
        </w:tc>
        <w:tc>
          <w:tcPr>
            <w:tcW w:w="1560" w:type="dxa"/>
            <w:vAlign w:val="bottom"/>
          </w:tcPr>
          <w:p>
            <w:pPr>
              <w:ind w:left="180"/>
              <w:spacing w:after="0" w:line="163" w:lineRule="exact"/>
              <w:rPr>
                <w:sz w:val="20"/>
                <w:szCs w:val="20"/>
                <w:color w:val="auto"/>
              </w:rPr>
            </w:pPr>
            <w:r>
              <w:rPr>
                <w:rFonts w:ascii="Arial" w:cs="Arial" w:eastAsia="Arial" w:hAnsi="Arial"/>
                <w:sz w:val="16"/>
                <w:szCs w:val="16"/>
                <w:color w:val="auto"/>
              </w:rPr>
              <w:t>Emerging growth</w:t>
            </w:r>
          </w:p>
        </w:tc>
        <w:tc>
          <w:tcPr>
            <w:tcW w:w="0" w:type="dxa"/>
            <w:vAlign w:val="bottom"/>
          </w:tcPr>
          <w:p>
            <w:pPr>
              <w:spacing w:after="0"/>
              <w:rPr>
                <w:sz w:val="1"/>
                <w:szCs w:val="1"/>
                <w:color w:val="auto"/>
              </w:rPr>
            </w:pPr>
          </w:p>
        </w:tc>
      </w:tr>
      <w:tr>
        <w:trPr>
          <w:trHeight w:val="303"/>
        </w:trPr>
        <w:tc>
          <w:tcPr>
            <w:tcW w:w="168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3440" w:type="dxa"/>
            <w:vAlign w:val="bottom"/>
            <w:gridSpan w:val="3"/>
          </w:tcPr>
          <w:p>
            <w:pPr>
              <w:spacing w:after="0"/>
              <w:rPr>
                <w:sz w:val="20"/>
                <w:szCs w:val="20"/>
                <w:color w:val="auto"/>
              </w:rPr>
            </w:pPr>
            <w:r>
              <w:rPr>
                <w:rFonts w:ascii="Arial" w:cs="Arial" w:eastAsia="Arial" w:hAnsi="Arial"/>
                <w:sz w:val="16"/>
                <w:szCs w:val="16"/>
                <w:color w:val="auto"/>
              </w:rPr>
              <w:t>Boston Properties Limited Partnership:</w:t>
            </w:r>
          </w:p>
        </w:tc>
        <w:tc>
          <w:tcPr>
            <w:tcW w:w="42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420" w:type="dxa"/>
            <w:vAlign w:val="bottom"/>
            <w:vMerge w:val="continue"/>
          </w:tcPr>
          <w:p>
            <w:pPr>
              <w:spacing w:after="0"/>
              <w:rPr>
                <w:sz w:val="17"/>
                <w:szCs w:val="17"/>
                <w:color w:val="auto"/>
              </w:rPr>
            </w:pPr>
          </w:p>
        </w:tc>
        <w:tc>
          <w:tcPr>
            <w:tcW w:w="1740" w:type="dxa"/>
            <w:vAlign w:val="bottom"/>
          </w:tcPr>
          <w:p>
            <w:pPr>
              <w:ind w:left="180"/>
              <w:spacing w:after="0"/>
              <w:rPr>
                <w:sz w:val="20"/>
                <w:szCs w:val="20"/>
                <w:color w:val="auto"/>
              </w:rPr>
            </w:pPr>
            <w:r>
              <w:rPr>
                <w:rFonts w:ascii="Arial" w:cs="Arial" w:eastAsia="Arial" w:hAnsi="Arial"/>
                <w:sz w:val="16"/>
                <w:szCs w:val="16"/>
                <w:color w:val="auto"/>
              </w:rPr>
              <w:t>Non-accelerated filer</w:t>
            </w:r>
          </w:p>
        </w:tc>
        <w:tc>
          <w:tcPr>
            <w:tcW w:w="420" w:type="dxa"/>
            <w:vAlign w:val="bottom"/>
          </w:tcPr>
          <w:p>
            <w:pPr>
              <w:ind w:left="20"/>
              <w:spacing w:after="0"/>
              <w:rPr>
                <w:sz w:val="20"/>
                <w:szCs w:val="20"/>
                <w:color w:val="auto"/>
              </w:rPr>
            </w:pPr>
            <w:r>
              <w:rPr>
                <w:rFonts w:ascii="Wingdings" w:cs="Wingdings" w:eastAsia="Wingdings" w:hAnsi="Wingdings"/>
                <w:sz w:val="16"/>
                <w:szCs w:val="16"/>
                <w:b w:val="1"/>
                <w:bCs w:val="1"/>
                <w:color w:val="auto"/>
              </w:rPr>
              <w:t>x</w:t>
            </w:r>
          </w:p>
        </w:tc>
        <w:tc>
          <w:tcPr>
            <w:tcW w:w="222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00" w:type="dxa"/>
            <w:vAlign w:val="bottom"/>
            <w:vMerge w:val="continue"/>
          </w:tcPr>
          <w:p>
            <w:pPr>
              <w:spacing w:after="0"/>
              <w:rPr>
                <w:sz w:val="17"/>
                <w:szCs w:val="17"/>
                <w:color w:val="auto"/>
              </w:rPr>
            </w:pPr>
          </w:p>
        </w:tc>
        <w:tc>
          <w:tcPr>
            <w:tcW w:w="1560" w:type="dxa"/>
            <w:vAlign w:val="bottom"/>
          </w:tcPr>
          <w:p>
            <w:pPr>
              <w:ind w:left="340"/>
              <w:spacing w:after="0"/>
              <w:rPr>
                <w:sz w:val="20"/>
                <w:szCs w:val="20"/>
                <w:color w:val="auto"/>
              </w:rPr>
            </w:pPr>
            <w:r>
              <w:rPr>
                <w:rFonts w:ascii="Arial" w:cs="Arial" w:eastAsia="Arial" w:hAnsi="Arial"/>
                <w:sz w:val="16"/>
                <w:szCs w:val="16"/>
                <w:color w:val="auto"/>
                <w:w w:val="99"/>
              </w:rPr>
              <w:t>Emerging growth</w:t>
            </w:r>
          </w:p>
        </w:tc>
        <w:tc>
          <w:tcPr>
            <w:tcW w:w="0" w:type="dxa"/>
            <w:vAlign w:val="bottom"/>
          </w:tcPr>
          <w:p>
            <w:pPr>
              <w:spacing w:after="0"/>
              <w:rPr>
                <w:sz w:val="1"/>
                <w:szCs w:val="1"/>
                <w:color w:val="auto"/>
              </w:rPr>
            </w:pPr>
          </w:p>
        </w:tc>
      </w:tr>
      <w:tr>
        <w:trPr>
          <w:trHeight w:val="303"/>
        </w:trPr>
        <w:tc>
          <w:tcPr>
            <w:tcW w:w="168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5" w:lineRule="exact"/>
        <w:rPr>
          <w:sz w:val="20"/>
          <w:szCs w:val="20"/>
          <w:color w:val="auto"/>
        </w:rPr>
      </w:pPr>
    </w:p>
    <w:p>
      <w:pPr>
        <w:ind w:left="460"/>
        <w:spacing w:after="0" w:line="184" w:lineRule="exact"/>
        <w:tabs>
          <w:tab w:leader="none" w:pos="3040" w:val="left"/>
        </w:tabs>
        <w:rPr>
          <w:sz w:val="20"/>
          <w:szCs w:val="20"/>
          <w:color w:val="auto"/>
        </w:rPr>
      </w:pPr>
      <w:r>
        <w:rPr>
          <w:rFonts w:ascii="Arial" w:cs="Arial" w:eastAsia="Arial" w:hAnsi="Arial"/>
          <w:sz w:val="16"/>
          <w:szCs w:val="16"/>
          <w:color w:val="auto"/>
        </w:rPr>
        <w:t xml:space="preserve">Boston Properties,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Boston Properties Limited Partnership </w:t>
      </w:r>
      <w:r>
        <w:rPr>
          <w:rFonts w:ascii="MS PGothic" w:cs="MS PGothic" w:eastAsia="MS PGothic" w:hAnsi="MS PGothic"/>
          <w:sz w:val="16"/>
          <w:szCs w:val="16"/>
          <w:color w:val="auto"/>
        </w:rPr>
        <w:t>☐</w:t>
      </w:r>
    </w:p>
    <w:p>
      <w:pPr>
        <w:spacing w:after="0" w:line="2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7" w:lineRule="exact"/>
        <w:rPr>
          <w:sz w:val="20"/>
          <w:szCs w:val="20"/>
          <w:color w:val="auto"/>
        </w:rPr>
      </w:pPr>
    </w:p>
    <w:p>
      <w:pPr>
        <w:ind w:left="420"/>
        <w:spacing w:after="0" w:line="184" w:lineRule="exact"/>
        <w:tabs>
          <w:tab w:leader="none" w:pos="2260" w:val="left"/>
          <w:tab w:leader="none" w:pos="2940" w:val="left"/>
          <w:tab w:leader="none" w:pos="3760" w:val="left"/>
          <w:tab w:leader="none" w:pos="6720" w:val="left"/>
          <w:tab w:leader="none" w:pos="7400" w:val="left"/>
        </w:tabs>
        <w:rPr>
          <w:sz w:val="20"/>
          <w:szCs w:val="20"/>
          <w:color w:val="auto"/>
        </w:rPr>
      </w:pPr>
      <w:r>
        <w:rPr>
          <w:rFonts w:ascii="Arial" w:cs="Arial" w:eastAsia="Arial" w:hAnsi="Arial"/>
          <w:sz w:val="16"/>
          <w:szCs w:val="16"/>
          <w:color w:val="auto"/>
        </w:rPr>
        <w:t>Boston Properties,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x</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jc w:val="center"/>
              <w:ind w:left="659"/>
              <w:spacing w:after="0"/>
              <w:rPr>
                <w:sz w:val="20"/>
                <w:szCs w:val="20"/>
                <w:color w:val="auto"/>
              </w:rPr>
            </w:pPr>
            <w:r>
              <w:rPr>
                <w:rFonts w:ascii="Arial" w:cs="Arial" w:eastAsia="Arial" w:hAnsi="Arial"/>
                <w:sz w:val="16"/>
                <w:szCs w:val="16"/>
                <w:b w:val="1"/>
                <w:bCs w:val="1"/>
                <w:color w:val="auto"/>
              </w:rPr>
              <w:t>Boston Properties, Inc.</w:t>
            </w:r>
          </w:p>
        </w:tc>
        <w:tc>
          <w:tcPr>
            <w:tcW w:w="4160" w:type="dxa"/>
            <w:vAlign w:val="bottom"/>
          </w:tcPr>
          <w:p>
            <w:pPr>
              <w:jc w:val="center"/>
              <w:ind w:right="59"/>
              <w:spacing w:after="0"/>
              <w:rPr>
                <w:sz w:val="20"/>
                <w:szCs w:val="20"/>
                <w:color w:val="auto"/>
              </w:rPr>
            </w:pPr>
            <w:r>
              <w:rPr>
                <w:rFonts w:ascii="Arial" w:cs="Arial" w:eastAsia="Arial" w:hAnsi="Arial"/>
                <w:sz w:val="16"/>
                <w:szCs w:val="16"/>
                <w:b w:val="1"/>
                <w:bCs w:val="1"/>
                <w:color w:val="auto"/>
              </w:rPr>
              <w:t>Common Stock, par value $0.01 per share</w:t>
            </w:r>
          </w:p>
        </w:tc>
        <w:tc>
          <w:tcPr>
            <w:tcW w:w="3720" w:type="dxa"/>
            <w:vAlign w:val="bottom"/>
          </w:tcPr>
          <w:p>
            <w:pPr>
              <w:jc w:val="right"/>
              <w:ind w:right="1539"/>
              <w:spacing w:after="0"/>
              <w:rPr>
                <w:sz w:val="20"/>
                <w:szCs w:val="20"/>
                <w:color w:val="auto"/>
              </w:rPr>
            </w:pPr>
            <w:r>
              <w:rPr>
                <w:rFonts w:ascii="Arial" w:cs="Arial" w:eastAsia="Arial" w:hAnsi="Arial"/>
                <w:sz w:val="16"/>
                <w:szCs w:val="16"/>
                <w:b w:val="1"/>
                <w:bCs w:val="1"/>
                <w:color w:val="auto"/>
              </w:rPr>
              <w:t>157,058,652</w:t>
            </w:r>
          </w:p>
        </w:tc>
      </w:tr>
      <w:tr>
        <w:trPr>
          <w:trHeight w:val="223"/>
        </w:trPr>
        <w:tc>
          <w:tcPr>
            <w:tcW w:w="3360" w:type="dxa"/>
            <w:vAlign w:val="bottom"/>
          </w:tcPr>
          <w:p>
            <w:pPr>
              <w:jc w:val="center"/>
              <w:ind w:left="659"/>
              <w:spacing w:after="0"/>
              <w:rPr>
                <w:sz w:val="20"/>
                <w:szCs w:val="20"/>
                <w:color w:val="auto"/>
              </w:rPr>
            </w:pPr>
            <w:r>
              <w:rPr>
                <w:rFonts w:ascii="Arial" w:cs="Arial" w:eastAsia="Arial" w:hAnsi="Arial"/>
                <w:sz w:val="16"/>
                <w:szCs w:val="16"/>
                <w:b w:val="1"/>
                <w:bCs w:val="1"/>
                <w:color w:val="auto"/>
              </w:rPr>
              <w:t>(Registrant)</w:t>
            </w:r>
          </w:p>
        </w:tc>
        <w:tc>
          <w:tcPr>
            <w:tcW w:w="4160" w:type="dxa"/>
            <w:vAlign w:val="bottom"/>
          </w:tcPr>
          <w:p>
            <w:pPr>
              <w:jc w:val="center"/>
              <w:ind w:right="59"/>
              <w:spacing w:after="0"/>
              <w:rPr>
                <w:sz w:val="20"/>
                <w:szCs w:val="20"/>
                <w:color w:val="auto"/>
              </w:rPr>
            </w:pPr>
            <w:r>
              <w:rPr>
                <w:rFonts w:ascii="Arial" w:cs="Arial" w:eastAsia="Arial" w:hAnsi="Arial"/>
                <w:sz w:val="16"/>
                <w:szCs w:val="16"/>
                <w:b w:val="1"/>
                <w:bCs w:val="1"/>
                <w:color w:val="auto"/>
              </w:rPr>
              <w:t>(Class)</w:t>
            </w:r>
          </w:p>
        </w:tc>
        <w:tc>
          <w:tcPr>
            <w:tcW w:w="3720" w:type="dxa"/>
            <w:vAlign w:val="bottom"/>
          </w:tcPr>
          <w:p>
            <w:pPr>
              <w:jc w:val="center"/>
              <w:ind w:right="339"/>
              <w:spacing w:after="0"/>
              <w:rPr>
                <w:sz w:val="20"/>
                <w:szCs w:val="20"/>
                <w:color w:val="auto"/>
              </w:rPr>
            </w:pPr>
            <w:r>
              <w:rPr>
                <w:rFonts w:ascii="Arial" w:cs="Arial" w:eastAsia="Arial" w:hAnsi="Arial"/>
                <w:sz w:val="16"/>
                <w:szCs w:val="16"/>
                <w:b w:val="1"/>
                <w:bCs w:val="1"/>
                <w:color w:val="auto"/>
              </w:rPr>
              <w:t>(Outstanding on May 2, 2024)</w:t>
            </w:r>
          </w:p>
        </w:tc>
      </w:tr>
      <w:tr>
        <w:trPr>
          <w:trHeight w:val="156"/>
        </w:trPr>
        <w:tc>
          <w:tcPr>
            <w:tcW w:w="336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34"/>
        </w:trPr>
        <w:tc>
          <w:tcPr>
            <w:tcW w:w="336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851"/>
        </w:trPr>
        <w:tc>
          <w:tcPr>
            <w:tcW w:w="33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7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This report combines the Quarterly Reports on Form 10-Q for the period ended March 31, 2024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13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As of March 31, 2024, BXP owned an approximate 89.1% ownership interest in BPLP. The remaining approximate 10.9% interest was owned by limited partners. The other limited partners of BPLP (1) contributed their direct or indirect interests in properties to BPLP in exchange for common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combining the Quarterly Reports on Form 10-Q of BXP and BPLP into this single report:</w:t>
      </w:r>
    </w:p>
    <w:p>
      <w:pPr>
        <w:spacing w:after="0" w:line="158" w:lineRule="exact"/>
        <w:rPr>
          <w:sz w:val="20"/>
          <w:szCs w:val="20"/>
          <w:color w:val="auto"/>
        </w:rPr>
      </w:pPr>
    </w:p>
    <w:p>
      <w:pPr>
        <w:ind w:left="740" w:right="360" w:hanging="327"/>
        <w:spacing w:after="0" w:line="28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BXP and BPLP by enabling them to view the business as a whole in the same manner as management views and operates the business;</w:t>
      </w:r>
    </w:p>
    <w:p>
      <w:pPr>
        <w:spacing w:after="0" w:line="71" w:lineRule="exact"/>
        <w:rPr>
          <w:rFonts w:ascii="Arial" w:cs="Arial" w:eastAsia="Arial" w:hAnsi="Arial"/>
          <w:sz w:val="18"/>
          <w:szCs w:val="18"/>
          <w:color w:val="auto"/>
        </w:rPr>
      </w:pPr>
    </w:p>
    <w:p>
      <w:pPr>
        <w:ind w:left="740" w:right="540" w:hanging="327"/>
        <w:spacing w:after="0" w:line="28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concise and readable presentation because a substantial portion of the disclosure applies to both BXP and BPLP; and</w:t>
      </w:r>
    </w:p>
    <w:p>
      <w:pPr>
        <w:spacing w:after="0" w:line="8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31" w:lineRule="exact"/>
        <w:rPr>
          <w:sz w:val="20"/>
          <w:szCs w:val="20"/>
          <w:color w:val="auto"/>
        </w:rPr>
      </w:pPr>
    </w:p>
    <w:p>
      <w:pPr>
        <w:ind w:right="140" w:firstLine="445"/>
        <w:spacing w:after="0" w:line="282" w:lineRule="auto"/>
        <w:rPr>
          <w:sz w:val="20"/>
          <w:szCs w:val="20"/>
          <w:color w:val="auto"/>
        </w:rPr>
      </w:pPr>
      <w:r>
        <w:rPr>
          <w:rFonts w:ascii="Arial" w:cs="Arial" w:eastAsia="Arial" w:hAnsi="Arial"/>
          <w:sz w:val="17"/>
          <w:szCs w:val="17"/>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noncontrolling interests in BPLP and limited partners of BPLP. The differences between shareholders’ equity and partners’ capital result from differences in the equity issued by each of BXP and BPLP.</w:t>
      </w:r>
    </w:p>
    <w:p>
      <w:pPr>
        <w:spacing w:after="0" w:line="9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$241.2 million, or 1.2% at March 31, 2024,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29"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To help investors better understand the key differences between BXP and BPLP, the following items in this report present information separately for BXP and BPLP:</w:t>
      </w:r>
    </w:p>
    <w:p>
      <w:pPr>
        <w:spacing w:after="0" w:line="99" w:lineRule="exact"/>
        <w:rPr>
          <w:sz w:val="20"/>
          <w:szCs w:val="20"/>
          <w:color w:val="auto"/>
        </w:rPr>
      </w:pPr>
    </w:p>
    <w:p>
      <w:pPr>
        <w:ind w:left="1300" w:hanging="23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1. Financial Statements (unaudited), which includes the following specific disclosures for BXP and BPLP:</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3. Real Estate;</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10. Stockholders’ Equity / Partners’ Capital;</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11. Segment Information; and</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12. Earnings Per Share / Common Unit</w:t>
      </w:r>
    </w:p>
    <w:p>
      <w:pPr>
        <w:spacing w:after="0" w:line="171" w:lineRule="exact"/>
        <w:rPr>
          <w:rFonts w:ascii="Arial" w:cs="Arial" w:eastAsia="Arial" w:hAnsi="Arial"/>
          <w:sz w:val="18"/>
          <w:szCs w:val="18"/>
          <w:color w:val="auto"/>
        </w:rPr>
      </w:pPr>
    </w:p>
    <w:p>
      <w:pPr>
        <w:ind w:left="1300" w:right="220" w:hanging="239"/>
        <w:spacing w:after="0" w:line="287" w:lineRule="auto"/>
        <w:tabs>
          <w:tab w:leader="none" w:pos="1291"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Management’s Discussion and Analysis of Financial Condition and Results of Operations and Liquidity and Capital Resources, includes information specific to each entity, where applicable.</w:t>
      </w:r>
    </w:p>
    <w:p>
      <w:pPr>
        <w:spacing w:after="0" w:line="99" w:lineRule="exact"/>
        <w:rPr>
          <w:sz w:val="20"/>
          <w:szCs w:val="20"/>
          <w:color w:val="auto"/>
        </w:rPr>
      </w:pPr>
    </w:p>
    <w:p>
      <w:pPr>
        <w:ind w:right="80" w:firstLine="445"/>
        <w:spacing w:after="0" w:line="318"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Arial" w:cs="Arial" w:eastAsia="Arial" w:hAnsi="Arial"/>
                <w:sz w:val="18"/>
                <w:szCs w:val="18"/>
                <w:color w:val="0000FF"/>
              </w:rPr>
              <w:t>Table of Contents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1"/>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gridSpan w:val="19"/>
          </w:tcPr>
          <w:p>
            <w:pPr>
              <w:jc w:val="center"/>
              <w:ind w:right="1020"/>
              <w:spacing w:after="0"/>
              <w:rPr>
                <w:sz w:val="20"/>
                <w:szCs w:val="20"/>
                <w:color w:val="auto"/>
              </w:rPr>
            </w:pPr>
            <w:r>
              <w:rPr>
                <w:rFonts w:ascii="Arial" w:cs="Arial" w:eastAsia="Arial" w:hAnsi="Arial"/>
                <w:sz w:val="18"/>
                <w:szCs w:val="18"/>
                <w:b w:val="1"/>
                <w:bCs w:val="1"/>
                <w:color w:val="auto"/>
                <w:w w:val="99"/>
              </w:rPr>
              <w:t>BOSTON PROPERTIES, INC. AND BOSTON PROPERTIES LIMITED PARTNERSHIP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gridSpan w:val="9"/>
          </w:tcPr>
          <w:p>
            <w:pPr>
              <w:jc w:val="center"/>
              <w:ind w:right="4160"/>
              <w:spacing w:after="0"/>
              <w:rPr>
                <w:sz w:val="20"/>
                <w:szCs w:val="20"/>
                <w:color w:val="auto"/>
              </w:rPr>
            </w:pPr>
            <w:r>
              <w:rPr>
                <w:rFonts w:ascii="Arial" w:cs="Arial" w:eastAsia="Arial" w:hAnsi="Arial"/>
                <w:sz w:val="18"/>
                <w:szCs w:val="18"/>
                <w:b w:val="1"/>
                <w:bCs w:val="1"/>
                <w:color w:val="auto"/>
                <w:w w:val="99"/>
              </w:rPr>
              <w:t>FORM 10-Q</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60" w:type="dxa"/>
            <w:vAlign w:val="bottom"/>
            <w:gridSpan w:val="10"/>
          </w:tcPr>
          <w:p>
            <w:pPr>
              <w:jc w:val="center"/>
              <w:ind w:right="3000"/>
              <w:spacing w:after="0"/>
              <w:rPr>
                <w:sz w:val="20"/>
                <w:szCs w:val="20"/>
                <w:color w:val="auto"/>
              </w:rPr>
            </w:pPr>
            <w:r>
              <w:rPr>
                <w:rFonts w:ascii="Arial" w:cs="Arial" w:eastAsia="Arial" w:hAnsi="Arial"/>
                <w:sz w:val="18"/>
                <w:szCs w:val="18"/>
                <w:b w:val="1"/>
                <w:bCs w:val="1"/>
                <w:color w:val="auto"/>
                <w:w w:val="99"/>
              </w:rPr>
              <w:t>for the quarter ended March 31, 2024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60" w:type="dxa"/>
            <w:vAlign w:val="bottom"/>
            <w:gridSpan w:val="10"/>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7480" w:type="dxa"/>
            <w:vAlign w:val="bottom"/>
            <w:gridSpan w:val="14"/>
            <w:vMerge w:val="restart"/>
          </w:tcPr>
          <w:p>
            <w:pPr>
              <w:spacing w:after="0"/>
              <w:rPr>
                <w:sz w:val="24"/>
                <w:szCs w:val="24"/>
                <w:color w:val="auto"/>
              </w:rPr>
            </w:pPr>
          </w:p>
        </w:tc>
        <w:tc>
          <w:tcPr>
            <w:tcW w:w="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60" w:type="dxa"/>
            <w:vAlign w:val="bottom"/>
            <w:tcBorders>
              <w:bottom w:val="single" w:sz="8" w:color="0000FF"/>
            </w:tcBorders>
            <w:gridSpan w:val="10"/>
            <w:vMerge w:val="continue"/>
          </w:tcPr>
          <w:p>
            <w:pPr>
              <w:spacing w:after="0"/>
              <w:rPr>
                <w:sz w:val="14"/>
                <w:szCs w:val="14"/>
                <w:color w:val="auto"/>
              </w:rPr>
            </w:pPr>
          </w:p>
        </w:tc>
        <w:tc>
          <w:tcPr>
            <w:tcW w:w="7480" w:type="dxa"/>
            <w:vAlign w:val="bottom"/>
            <w:gridSpan w:val="14"/>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23"/>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Boston Properties, Inc.</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60" w:type="dxa"/>
            <w:vAlign w:val="bottom"/>
            <w:gridSpan w:val="17"/>
          </w:tcPr>
          <w:p>
            <w:pPr>
              <w:spacing w:after="0" w:line="195" w:lineRule="exact"/>
              <w:rPr>
                <w:sz w:val="20"/>
                <w:szCs w:val="20"/>
                <w:color w:val="auto"/>
              </w:rPr>
            </w:pPr>
            <w:r>
              <w:rPr>
                <w:rFonts w:ascii="Arial" w:cs="Arial" w:eastAsia="Arial" w:hAnsi="Arial"/>
                <w:sz w:val="18"/>
                <w:szCs w:val="18"/>
                <w:color w:val="0000FF"/>
                <w:w w:val="99"/>
              </w:rPr>
              <w:t>a) Consolidated Balance Sheets as of March 31, 2024 and December 31, 2023</w:t>
            </w:r>
          </w:p>
        </w:tc>
        <w:tc>
          <w:tcPr>
            <w:tcW w:w="3000" w:type="dxa"/>
            <w:vAlign w:val="bottom"/>
            <w:gridSpan w:val="6"/>
          </w:tcPr>
          <w:p>
            <w:pPr>
              <w:spacing w:after="0"/>
              <w:rPr>
                <w:sz w:val="16"/>
                <w:szCs w:val="16"/>
                <w:color w:val="auto"/>
              </w:rPr>
            </w:pPr>
          </w:p>
        </w:tc>
        <w:tc>
          <w:tcPr>
            <w:tcW w:w="66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b) Consolidated Statements of Operations for the three months ended March 31, 2024 and 2023</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0000FF"/>
                <w:w w:val="99"/>
              </w:rPr>
              <w:t>c) Consolidated Statements of Comprehensive Income for the three months ended March 31, 2024 and 2023</w:t>
            </w:r>
          </w:p>
        </w:tc>
        <w:tc>
          <w:tcPr>
            <w:tcW w:w="62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0000FF"/>
              </w:rPr>
              <w:t>d) Consolidated Statements of Equity for the three months ended March 31, 2024 and 2023</w:t>
            </w:r>
          </w:p>
        </w:tc>
        <w:tc>
          <w:tcPr>
            <w:tcW w:w="62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e) Consolidated Statements of Cash Flows for the three months ended March 31, 2024 and 2023</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Boston Properties Limited Partnership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60" w:type="dxa"/>
            <w:vAlign w:val="bottom"/>
            <w:gridSpan w:val="17"/>
          </w:tcPr>
          <w:p>
            <w:pPr>
              <w:spacing w:after="0" w:line="195" w:lineRule="exact"/>
              <w:rPr>
                <w:sz w:val="20"/>
                <w:szCs w:val="20"/>
                <w:color w:val="auto"/>
              </w:rPr>
            </w:pPr>
            <w:r>
              <w:rPr>
                <w:rFonts w:ascii="Arial" w:cs="Arial" w:eastAsia="Arial" w:hAnsi="Arial"/>
                <w:sz w:val="18"/>
                <w:szCs w:val="18"/>
                <w:color w:val="0000FF"/>
                <w:w w:val="99"/>
              </w:rPr>
              <w:t>a) Consolidated Balance Sheets as of March 31, 2024 and December 31, 2023</w:t>
            </w:r>
          </w:p>
        </w:tc>
        <w:tc>
          <w:tcPr>
            <w:tcW w:w="3000" w:type="dxa"/>
            <w:vAlign w:val="bottom"/>
            <w:gridSpan w:val="6"/>
          </w:tcPr>
          <w:p>
            <w:pPr>
              <w:spacing w:after="0"/>
              <w:rPr>
                <w:sz w:val="16"/>
                <w:szCs w:val="16"/>
                <w:color w:val="auto"/>
              </w:rPr>
            </w:pPr>
          </w:p>
        </w:tc>
        <w:tc>
          <w:tcPr>
            <w:tcW w:w="66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b) Consolidated Statements of Operations for the three months ended March 31, 2024 and 2023</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0000FF"/>
                <w:w w:val="99"/>
              </w:rPr>
              <w:t>c) Consolidated Statements of Comprehensive Income for the three months ended March 31, 2024 and 2023</w:t>
            </w:r>
          </w:p>
        </w:tc>
        <w:tc>
          <w:tcPr>
            <w:tcW w:w="6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d) Consolidated Statements of Capital and Noncontrolling Interests for the three months ended March 31, 2024 and</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Borders>
              <w:top w:val="single" w:sz="8" w:color="0000FF"/>
              <w:bottom w:val="single" w:sz="8" w:color="0000FF"/>
            </w:tcBorders>
            <w:gridSpan w:val="3"/>
          </w:tcPr>
          <w:p>
            <w:pPr>
              <w:jc w:val="right"/>
              <w:spacing w:after="0" w:line="156" w:lineRule="exact"/>
              <w:rPr>
                <w:sz w:val="20"/>
                <w:szCs w:val="20"/>
                <w:color w:val="auto"/>
              </w:rPr>
            </w:pPr>
            <w:r>
              <w:rPr>
                <w:rFonts w:ascii="Arial" w:cs="Arial" w:eastAsia="Arial" w:hAnsi="Arial"/>
                <w:sz w:val="18"/>
                <w:szCs w:val="18"/>
                <w:color w:val="0000FF"/>
                <w:w w:val="94"/>
              </w:rPr>
              <w:t>2023</w:t>
            </w:r>
          </w:p>
        </w:tc>
        <w:tc>
          <w:tcPr>
            <w:tcW w:w="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60" w:type="dxa"/>
            <w:vAlign w:val="bottom"/>
            <w:gridSpan w:val="23"/>
          </w:tcPr>
          <w:p>
            <w:pPr>
              <w:spacing w:after="0"/>
              <w:rPr>
                <w:sz w:val="20"/>
                <w:szCs w:val="20"/>
                <w:color w:val="auto"/>
              </w:rPr>
            </w:pPr>
            <w:r>
              <w:rPr>
                <w:rFonts w:ascii="Arial" w:cs="Arial" w:eastAsia="Arial" w:hAnsi="Arial"/>
                <w:sz w:val="18"/>
                <w:szCs w:val="18"/>
                <w:color w:val="0000FF"/>
              </w:rPr>
              <w:t>e) Consolidated Statements of Cash Flows for the three months ended March 31, 2024 and 2023</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Boston Properties, Inc. and Boston Properties Limited Partnership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60" w:type="dxa"/>
            <w:vAlign w:val="bottom"/>
            <w:gridSpan w:val="23"/>
          </w:tcPr>
          <w:p>
            <w:pPr>
              <w:spacing w:after="0" w:line="195" w:lineRule="exact"/>
              <w:rPr>
                <w:sz w:val="20"/>
                <w:szCs w:val="20"/>
                <w:color w:val="auto"/>
              </w:rPr>
            </w:pPr>
            <w:r>
              <w:rPr>
                <w:rFonts w:ascii="Arial" w:cs="Arial" w:eastAsia="Arial" w:hAnsi="Arial"/>
                <w:sz w:val="18"/>
                <w:szCs w:val="18"/>
                <w:color w:val="0000FF"/>
              </w:rPr>
              <w:t>Notes to the Consolidated Financial Statements</w:t>
            </w:r>
          </w:p>
        </w:tc>
        <w:tc>
          <w:tcPr>
            <w:tcW w:w="7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3.</w:t>
            </w:r>
          </w:p>
        </w:tc>
        <w:tc>
          <w:tcPr>
            <w:tcW w:w="4660" w:type="dxa"/>
            <w:vAlign w:val="bottom"/>
            <w:gridSpan w:val="15"/>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2380" w:type="dxa"/>
            <w:vAlign w:val="bottom"/>
            <w:gridSpan w:val="3"/>
          </w:tcPr>
          <w:p>
            <w:pPr>
              <w:spacing w:after="0"/>
              <w:rPr>
                <w:sz w:val="18"/>
                <w:szCs w:val="18"/>
                <w:color w:val="auto"/>
              </w:rPr>
            </w:pPr>
          </w:p>
        </w:tc>
        <w:tc>
          <w:tcPr>
            <w:tcW w:w="222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1960" w:type="dxa"/>
            <w:vAlign w:val="bottom"/>
            <w:gridSpan w:val="11"/>
          </w:tcPr>
          <w:p>
            <w:pPr>
              <w:spacing w:after="0"/>
              <w:rPr>
                <w:sz w:val="20"/>
                <w:szCs w:val="20"/>
                <w:color w:val="auto"/>
              </w:rPr>
            </w:pPr>
            <w:r>
              <w:rPr>
                <w:rFonts w:ascii="Arial" w:cs="Arial" w:eastAsia="Arial" w:hAnsi="Arial"/>
                <w:sz w:val="18"/>
                <w:szCs w:val="18"/>
                <w:color w:val="0000FF"/>
                <w:w w:val="97"/>
              </w:rPr>
              <w:t>Controls and Procedures</w:t>
            </w:r>
          </w:p>
        </w:tc>
        <w:tc>
          <w:tcPr>
            <w:tcW w:w="2700" w:type="dxa"/>
            <w:vAlign w:val="bottom"/>
            <w:gridSpan w:val="4"/>
          </w:tcPr>
          <w:p>
            <w:pPr>
              <w:spacing w:after="0"/>
              <w:rPr>
                <w:sz w:val="18"/>
                <w:szCs w:val="18"/>
                <w:color w:val="auto"/>
              </w:rPr>
            </w:pPr>
          </w:p>
        </w:tc>
        <w:tc>
          <w:tcPr>
            <w:tcW w:w="460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b w:val="1"/>
                <w:bCs w:val="1"/>
                <w:color w:val="0000FF"/>
              </w:rPr>
              <w:t>PART II. OTHER INFORMATION</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w w:val="96"/>
              </w:rPr>
              <w:t>Legal Proceedings</w:t>
            </w:r>
          </w:p>
        </w:tc>
        <w:tc>
          <w:tcPr>
            <w:tcW w:w="20" w:type="dxa"/>
            <w:vAlign w:val="bottom"/>
            <w:tcBorders>
              <w:top w:val="single" w:sz="8" w:color="0000FF"/>
            </w:tcBorders>
          </w:tcPr>
          <w:p>
            <w:pPr>
              <w:spacing w:after="0"/>
              <w:rPr>
                <w:sz w:val="18"/>
                <w:szCs w:val="18"/>
                <w:color w:val="auto"/>
              </w:rPr>
            </w:pPr>
          </w:p>
        </w:tc>
        <w:tc>
          <w:tcPr>
            <w:tcW w:w="778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1A.</w:t>
            </w:r>
          </w:p>
        </w:tc>
        <w:tc>
          <w:tcPr>
            <w:tcW w:w="960" w:type="dxa"/>
            <w:vAlign w:val="bottom"/>
            <w:gridSpan w:val="5"/>
          </w:tcPr>
          <w:p>
            <w:pPr>
              <w:spacing w:after="0"/>
              <w:rPr>
                <w:sz w:val="20"/>
                <w:szCs w:val="20"/>
                <w:color w:val="auto"/>
              </w:rPr>
            </w:pPr>
            <w:r>
              <w:rPr>
                <w:rFonts w:ascii="Arial" w:cs="Arial" w:eastAsia="Arial" w:hAnsi="Arial"/>
                <w:sz w:val="18"/>
                <w:szCs w:val="18"/>
                <w:color w:val="0000FF"/>
                <w:w w:val="93"/>
              </w:rPr>
              <w:t>Risk Factors</w:t>
            </w:r>
          </w:p>
        </w:tc>
        <w:tc>
          <w:tcPr>
            <w:tcW w:w="500" w:type="dxa"/>
            <w:vAlign w:val="bottom"/>
            <w:gridSpan w:val="2"/>
          </w:tcPr>
          <w:p>
            <w:pPr>
              <w:spacing w:after="0"/>
              <w:rPr>
                <w:sz w:val="18"/>
                <w:szCs w:val="18"/>
                <w:color w:val="auto"/>
              </w:rPr>
            </w:pPr>
          </w:p>
        </w:tc>
        <w:tc>
          <w:tcPr>
            <w:tcW w:w="780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4820" w:type="dxa"/>
            <w:vAlign w:val="bottom"/>
            <w:gridSpan w:val="16"/>
          </w:tcPr>
          <w:p>
            <w:pPr>
              <w:spacing w:after="0"/>
              <w:rPr>
                <w:sz w:val="20"/>
                <w:szCs w:val="20"/>
                <w:color w:val="auto"/>
              </w:rPr>
            </w:pPr>
            <w:r>
              <w:rPr>
                <w:rFonts w:ascii="Arial" w:cs="Arial" w:eastAsia="Arial" w:hAnsi="Arial"/>
                <w:sz w:val="18"/>
                <w:szCs w:val="18"/>
                <w:color w:val="0000FF"/>
                <w:w w:val="98"/>
              </w:rPr>
              <w:t>Unregistered Sales of Equity Securities and Use of Proceeds</w:t>
            </w:r>
          </w:p>
        </w:tc>
        <w:tc>
          <w:tcPr>
            <w:tcW w:w="444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3.</w:t>
            </w:r>
          </w:p>
        </w:tc>
        <w:tc>
          <w:tcPr>
            <w:tcW w:w="2520" w:type="dxa"/>
            <w:vAlign w:val="bottom"/>
            <w:gridSpan w:val="12"/>
          </w:tcPr>
          <w:p>
            <w:pPr>
              <w:spacing w:after="0"/>
              <w:rPr>
                <w:sz w:val="20"/>
                <w:szCs w:val="20"/>
                <w:color w:val="auto"/>
              </w:rPr>
            </w:pPr>
            <w:r>
              <w:rPr>
                <w:rFonts w:ascii="Arial" w:cs="Arial" w:eastAsia="Arial" w:hAnsi="Arial"/>
                <w:sz w:val="18"/>
                <w:szCs w:val="18"/>
                <w:color w:val="0000FF"/>
                <w:w w:val="97"/>
              </w:rPr>
              <w:t>Defaults Upon Senior Securities</w:t>
            </w:r>
          </w:p>
        </w:tc>
        <w:tc>
          <w:tcPr>
            <w:tcW w:w="2300" w:type="dxa"/>
            <w:vAlign w:val="bottom"/>
            <w:gridSpan w:val="4"/>
          </w:tcPr>
          <w:p>
            <w:pPr>
              <w:spacing w:after="0"/>
              <w:rPr>
                <w:sz w:val="18"/>
                <w:szCs w:val="18"/>
                <w:color w:val="auto"/>
              </w:rPr>
            </w:pPr>
          </w:p>
        </w:tc>
        <w:tc>
          <w:tcPr>
            <w:tcW w:w="444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740" w:type="dxa"/>
            <w:vAlign w:val="bottom"/>
            <w:gridSpan w:val="11"/>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2520" w:type="dxa"/>
            <w:vAlign w:val="bottom"/>
            <w:gridSpan w:val="12"/>
          </w:tcPr>
          <w:p>
            <w:pPr>
              <w:spacing w:after="0"/>
              <w:rPr>
                <w:sz w:val="20"/>
                <w:szCs w:val="20"/>
                <w:color w:val="auto"/>
              </w:rPr>
            </w:pPr>
            <w:r>
              <w:rPr>
                <w:rFonts w:ascii="Arial" w:cs="Arial" w:eastAsia="Arial" w:hAnsi="Arial"/>
                <w:sz w:val="18"/>
                <w:szCs w:val="18"/>
                <w:color w:val="0000FF"/>
              </w:rPr>
              <w:t>Mine Safety Disclosures</w:t>
            </w:r>
          </w:p>
        </w:tc>
        <w:tc>
          <w:tcPr>
            <w:tcW w:w="67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5.</w:t>
            </w:r>
          </w:p>
        </w:tc>
        <w:tc>
          <w:tcPr>
            <w:tcW w:w="1360" w:type="dxa"/>
            <w:vAlign w:val="bottom"/>
            <w:gridSpan w:val="6"/>
          </w:tcPr>
          <w:p>
            <w:pPr>
              <w:spacing w:after="0"/>
              <w:rPr>
                <w:sz w:val="20"/>
                <w:szCs w:val="20"/>
                <w:color w:val="auto"/>
              </w:rPr>
            </w:pPr>
            <w:r>
              <w:rPr>
                <w:rFonts w:ascii="Arial" w:cs="Arial" w:eastAsia="Arial" w:hAnsi="Arial"/>
                <w:sz w:val="18"/>
                <w:szCs w:val="18"/>
                <w:color w:val="0000FF"/>
                <w:w w:val="95"/>
              </w:rPr>
              <w:t>Other Information</w:t>
            </w:r>
          </w:p>
        </w:tc>
        <w:tc>
          <w:tcPr>
            <w:tcW w:w="520" w:type="dxa"/>
            <w:vAlign w:val="bottom"/>
            <w:gridSpan w:val="4"/>
          </w:tcPr>
          <w:p>
            <w:pPr>
              <w:spacing w:after="0"/>
              <w:rPr>
                <w:sz w:val="18"/>
                <w:szCs w:val="18"/>
                <w:color w:val="auto"/>
              </w:rPr>
            </w:pPr>
          </w:p>
        </w:tc>
        <w:tc>
          <w:tcPr>
            <w:tcW w:w="738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7900" w:type="dxa"/>
            <w:vAlign w:val="bottom"/>
            <w:gridSpan w:val="1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ITEM 6.</w:t>
            </w:r>
          </w:p>
        </w:tc>
        <w:tc>
          <w:tcPr>
            <w:tcW w:w="1360" w:type="dxa"/>
            <w:vAlign w:val="bottom"/>
            <w:gridSpan w:val="6"/>
          </w:tcPr>
          <w:p>
            <w:pPr>
              <w:spacing w:after="0"/>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680" w:type="dxa"/>
            <w:vAlign w:val="bottom"/>
            <w:gridSpan w:val="20"/>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b w:val="1"/>
                <w:bCs w:val="1"/>
                <w:color w:val="0000FF"/>
              </w:rPr>
              <w:t>SIGNATURES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1405"/>
        </w:trPr>
        <w:tc>
          <w:tcPr>
            <w:tcW w:w="20" w:type="dxa"/>
            <w:vAlign w:val="bottom"/>
            <w:tcBorders>
              <w:bottom w:val="single" w:sz="8" w:color="9A9A9A"/>
            </w:tcBorders>
          </w:tcPr>
          <w:p>
            <w:pPr>
              <w:spacing w:after="0"/>
              <w:rPr>
                <w:sz w:val="24"/>
                <w:szCs w:val="24"/>
                <w:color w:val="auto"/>
              </w:rPr>
            </w:pPr>
          </w:p>
        </w:tc>
        <w:tc>
          <w:tcPr>
            <w:tcW w:w="11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BOSTON PROPERTIES,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$7,376,175 and $7,054,075 at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27,063,048</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26,749,209</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March 31, 2024 and December 31, 2023, respectively)</w:t>
            </w:r>
          </w:p>
        </w:tc>
        <w:tc>
          <w:tcPr>
            <w:tcW w:w="1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March 31, 2024</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401,486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401,680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Right of use assets - operating leases (amounts related to VIEs of $154,217 and $158,885 at March 31,</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344,255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324,298</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$(1,538,940) and $(1,501,483)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(7,040,501)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(6,881,728)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31, 2024 and December 31, 2023,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real estate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20,768,288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20,593,459</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$298,548 and $245,317 at March 31, 2024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701,695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Cash held in escrows (amounts related to VIEs of $4,839 and $22,160 at March 31, 2024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64,939</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81,090</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36,337</w:t>
            </w: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$27,792 and $27,987 at March 31, 2024</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94,115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122,407</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 receivable,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Related party note receivable,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88,789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88,779</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Sales-type lease receivable,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Accrued rental income, net (amounts related to VIEs of $409,628 and $401,159 at March 31, 2024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1,390,217</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1,355,212</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Deferred charges, net (amounts related to VIEs of $194,489 and $175,383 at March 31, 2024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818,424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760,421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Prepaid expenses and other assets (amounts related to VIEs of $45,672 and $11,824 at March 31, 2024</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146,286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64,230</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1,399,824</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1,377,319</w:t>
            </w: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25,525,978</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26,026,149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20" w:type="dxa"/>
            <w:vAlign w:val="bottom"/>
            <w:shd w:val="clear" w:color="auto" w:fill="CCEEFF"/>
          </w:tcPr>
          <w:p>
            <w:pPr>
              <w:ind w:left="284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Mortgage notes payable, net (amounts related to VIEs of $3,278,396 and $3,277,185 at March 31,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4,368,367</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4,166,379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Unsecured senior notes,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9,794,527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10,491,617</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Unsecured line of credit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Unsecured term loan,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1,199,430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1,198,301</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finance leases (amounts related to VIEs of $20,831 and $20,794 at March 31, 2024</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415,888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417,961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Lease liabilities - operating leases (amounts related to VIEs of $148,706 and $145,826 at March 31,</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377,667</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350,391</w:t>
            </w:r>
          </w:p>
        </w:tc>
        <w:tc>
          <w:tcPr>
            <w:tcW w:w="0" w:type="dxa"/>
            <w:vAlign w:val="bottom"/>
          </w:tcPr>
          <w:p>
            <w:pPr>
              <w:spacing w:after="0"/>
              <w:rPr>
                <w:sz w:val="1"/>
                <w:szCs w:val="1"/>
                <w:color w:val="auto"/>
              </w:rPr>
            </w:pPr>
          </w:p>
        </w:tc>
      </w:tr>
      <w:tr>
        <w:trPr>
          <w:trHeight w:val="215"/>
        </w:trPr>
        <w:tc>
          <w:tcPr>
            <w:tcW w:w="7820" w:type="dxa"/>
            <w:vAlign w:val="bottom"/>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Accounts payable and accrued expenses (amounts related to VIEs of $112,385 and $59,667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374,681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458,329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31, 2024 and 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Dividends and distributions payable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172,154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171,176</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133,684</w:t>
            </w: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Other liabilities (amounts related to VIEs of $105,786 and $115,275 at March 31, 2024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417,978</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445,947</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December 31, 2023, respectively)</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17,240,265</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17,833,785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BOSTON PROPERTIES,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vMerge w:val="restart"/>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18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5"/>
        </w:trPr>
        <w:tc>
          <w:tcPr>
            <w:tcW w:w="78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Redeemable deferred stock units— 124,656 and 119,471 units outstanding at redemption value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8,141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31, 2024 and December 31, 2023,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attributable to Boston Properties, Inc.:</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1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50,000,000 shares authorized, none issued or outstanding</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$0.01 par value, 250,000,000 shares authorized, 157,128,071 and 157,019,766</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680"/>
              <w:spacing w:after="0" w:line="162" w:lineRule="exact"/>
              <w:rPr>
                <w:sz w:val="20"/>
                <w:szCs w:val="20"/>
                <w:color w:val="auto"/>
              </w:rPr>
            </w:pPr>
            <w:r>
              <w:rPr>
                <w:rFonts w:ascii="Arial" w:cs="Arial" w:eastAsia="Arial" w:hAnsi="Arial"/>
                <w:sz w:val="16"/>
                <w:szCs w:val="16"/>
                <w:color w:val="auto"/>
              </w:rPr>
              <w:t>issued and 157,049,171 and 156,940,866 outstanding at March 31, 2024 and December 31,</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1,570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15"/>
        </w:trPr>
        <w:tc>
          <w:tcPr>
            <w:tcW w:w="7820" w:type="dxa"/>
            <w:vAlign w:val="bottom"/>
          </w:tcPr>
          <w:p>
            <w:pPr>
              <w:ind w:left="680"/>
              <w:spacing w:after="0"/>
              <w:rPr>
                <w:sz w:val="20"/>
                <w:szCs w:val="20"/>
                <w:color w:val="auto"/>
              </w:rPr>
            </w:pPr>
            <w:r>
              <w:rPr>
                <w:rFonts w:ascii="Arial" w:cs="Arial" w:eastAsia="Arial" w:hAnsi="Arial"/>
                <w:sz w:val="16"/>
                <w:szCs w:val="16"/>
                <w:color w:val="auto"/>
              </w:rPr>
              <w:t>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6,752,648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6,715,149</w:t>
            </w:r>
          </w:p>
        </w:tc>
        <w:tc>
          <w:tcPr>
            <w:tcW w:w="0" w:type="dxa"/>
            <w:vAlign w:val="bottom"/>
          </w:tcPr>
          <w:p>
            <w:pPr>
              <w:spacing w:after="0"/>
              <w:rPr>
                <w:sz w:val="1"/>
                <w:szCs w:val="1"/>
                <w:color w:val="auto"/>
              </w:rPr>
            </w:pPr>
          </w:p>
        </w:tc>
      </w:tr>
      <w:tr>
        <w:trPr>
          <w:trHeight w:val="215"/>
        </w:trPr>
        <w:tc>
          <w:tcPr>
            <w:tcW w:w="7820" w:type="dxa"/>
            <w:vAlign w:val="bottom"/>
          </w:tcPr>
          <w:p>
            <w:pPr>
              <w:ind w:left="360"/>
              <w:spacing w:after="0"/>
              <w:rPr>
                <w:sz w:val="20"/>
                <w:szCs w:val="20"/>
                <w:color w:val="auto"/>
              </w:rPr>
            </w:pPr>
            <w:r>
              <w:rPr>
                <w:rFonts w:ascii="Arial" w:cs="Arial" w:eastAsia="Arial" w:hAnsi="Arial"/>
                <w:sz w:val="16"/>
                <w:szCs w:val="16"/>
                <w:color w:val="auto"/>
              </w:rPr>
              <w:t>Dividends in excess of earnings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(890,177)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(816,152)</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common stock at cost, 78,900 shares at March 31, 2024 and December 31, 2023</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 attributable to Boston Properties, Inc.</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5,857,699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5,876,697</w:t>
            </w: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units of Boston Properties Limited Partnership</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684,969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666,580</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Property partnerships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1,734,904</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1,640,704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8,277,572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8,183,981</w:t>
            </w: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25,525,978</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26,026,149</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Lease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788,590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756,875</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24,009</w:t>
            </w: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Hotel</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8,101</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r>
      <w:tr>
        <w:trPr>
          <w:trHeight w:val="215"/>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w:t>
            </w:r>
          </w:p>
        </w:tc>
      </w:tr>
      <w:tr>
        <w:trPr>
          <w:trHeight w:val="210"/>
        </w:trPr>
        <w:tc>
          <w:tcPr>
            <w:tcW w:w="7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839,439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803,200</w:t>
            </w:r>
          </w:p>
        </w:tc>
      </w:tr>
      <w:tr>
        <w:trPr>
          <w:trHeight w:val="195"/>
        </w:trPr>
        <w:tc>
          <w:tcPr>
            <w:tcW w:w="7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7860" w:type="dxa"/>
            <w:vAlign w:val="bottom"/>
          </w:tcPr>
          <w:p>
            <w:pPr>
              <w:ind w:left="680"/>
              <w:spacing w:after="0"/>
              <w:rPr>
                <w:sz w:val="20"/>
                <w:szCs w:val="20"/>
                <w:color w:val="auto"/>
              </w:rPr>
            </w:pPr>
            <w:r>
              <w:rPr>
                <w:rFonts w:ascii="Arial" w:cs="Arial" w:eastAsia="Arial" w:hAnsi="Arial"/>
                <w:sz w:val="16"/>
                <w:szCs w:val="16"/>
                <w:color w:val="auto"/>
              </w:rPr>
              <w:t>Rental</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314,157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291,308</w:t>
            </w:r>
          </w:p>
        </w:tc>
      </w:tr>
      <w:tr>
        <w:trPr>
          <w:trHeight w:val="217"/>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6,671</w:t>
            </w: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50,018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55,802</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w:t>
            </w: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911</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218,716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208,734</w:t>
            </w:r>
          </w:p>
        </w:tc>
      </w:tr>
      <w:tr>
        <w:trPr>
          <w:trHeight w:val="209"/>
        </w:trPr>
        <w:tc>
          <w:tcPr>
            <w:tcW w:w="78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593,712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568,661</w:t>
            </w: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(7,569)</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(161,891)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(134,207)</w:t>
            </w: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106,604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105,628</w:t>
            </w: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(17,221)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(18,660)</w:t>
            </w: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(9,078)</w:t>
            </w: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79,883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77,890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4"/>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 attributable to Boston Properties, Inc.</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5"/>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r>
      <w:tr>
        <w:trPr>
          <w:trHeight w:val="210"/>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shares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156,983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156,803</w:t>
            </w:r>
          </w:p>
        </w:tc>
      </w:tr>
      <w:tr>
        <w:trPr>
          <w:trHeight w:val="195"/>
        </w:trPr>
        <w:tc>
          <w:tcPr>
            <w:tcW w:w="7860" w:type="dxa"/>
            <w:vAlign w:val="bottom"/>
          </w:tcPr>
          <w:p>
            <w:pPr>
              <w:ind w:left="20"/>
              <w:spacing w:after="0"/>
              <w:rPr>
                <w:sz w:val="20"/>
                <w:szCs w:val="20"/>
                <w:color w:val="auto"/>
              </w:rPr>
            </w:pPr>
            <w:r>
              <w:rPr>
                <w:rFonts w:ascii="Arial" w:cs="Arial" w:eastAsia="Arial" w:hAnsi="Arial"/>
                <w:sz w:val="16"/>
                <w:szCs w:val="16"/>
                <w:color w:val="auto"/>
              </w:rPr>
              <w:t>Diluted earnings per common share attributable to Boston Properties, Inc.</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r>
      <w:tr>
        <w:trPr>
          <w:trHeight w:val="209"/>
        </w:trPr>
        <w:tc>
          <w:tcPr>
            <w:tcW w:w="7860" w:type="dxa"/>
            <w:vAlign w:val="bottom"/>
          </w:tcPr>
          <w:p>
            <w:pPr>
              <w:ind w:left="36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157,132</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105,628</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23"/>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19,711</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126,315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100,765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Boston Properties,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80" w:hanging="332"/>
        <w:spacing w:after="0" w:line="266"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 and in thousands)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3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Dividends in</w:t>
            </w: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rPr>
              <w:t>Other</w:t>
            </w:r>
          </w:p>
        </w:tc>
        <w:tc>
          <w:tcPr>
            <w:tcW w:w="11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Interests -</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8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5"/>
                <w:szCs w:val="5"/>
                <w:color w:val="auto"/>
              </w:rPr>
            </w:pPr>
          </w:p>
        </w:tc>
        <w:tc>
          <w:tcPr>
            <w:tcW w:w="6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Stock,</w:t>
            </w:r>
          </w:p>
        </w:tc>
        <w:tc>
          <w:tcPr>
            <w:tcW w:w="1200" w:type="dxa"/>
            <w:vAlign w:val="bottom"/>
            <w:gridSpan w:val="3"/>
            <w:vMerge w:val="restart"/>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5"/>
                <w:szCs w:val="5"/>
                <w:color w:val="auto"/>
              </w:rPr>
            </w:pPr>
          </w:p>
        </w:tc>
        <w:tc>
          <w:tcPr>
            <w:tcW w:w="100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Interests -</w:t>
            </w:r>
          </w:p>
        </w:tc>
        <w:tc>
          <w:tcPr>
            <w:tcW w:w="140" w:type="dxa"/>
            <w:vAlign w:val="bottom"/>
          </w:tcPr>
          <w:p>
            <w:pPr>
              <w:spacing w:after="0"/>
              <w:rPr>
                <w:sz w:val="5"/>
                <w:szCs w:val="5"/>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Property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Units</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Partnerships</w:t>
            </w: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December 31,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156,941</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$ 1,569</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$ 6,715,149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(816,152)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666,580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1,640,704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$ 8,183,981</w:t>
            </w:r>
          </w:p>
        </w:tc>
        <w:tc>
          <w:tcPr>
            <w:tcW w:w="0" w:type="dxa"/>
            <w:vAlign w:val="bottom"/>
          </w:tcPr>
          <w:p>
            <w:pPr>
              <w:spacing w:after="0"/>
              <w:rPr>
                <w:sz w:val="1"/>
                <w:szCs w:val="1"/>
                <w:color w:val="auto"/>
              </w:rPr>
            </w:pPr>
          </w:p>
        </w:tc>
      </w:tr>
      <w:tr>
        <w:trPr>
          <w:trHeight w:val="149"/>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79,883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106,604</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(153,908)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(172,772)</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14,269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16,531</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interest in property</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8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partnerships and contributions from</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 interests in property</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46,082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96,860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142,942</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partnerships</w:t>
            </w:r>
          </w:p>
        </w:tc>
        <w:tc>
          <w:tcPr>
            <w:tcW w:w="6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(20,025)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(20,025)</w:t>
            </w:r>
          </w:p>
        </w:tc>
        <w:tc>
          <w:tcPr>
            <w:tcW w:w="0" w:type="dxa"/>
            <w:vAlign w:val="bottom"/>
          </w:tcPr>
          <w:p>
            <w:pPr>
              <w:spacing w:after="0"/>
              <w:rPr>
                <w:sz w:val="1"/>
                <w:szCs w:val="1"/>
                <w:color w:val="auto"/>
              </w:rPr>
            </w:pPr>
          </w:p>
        </w:tc>
      </w:tr>
      <w:tr>
        <w:trPr>
          <w:trHeight w:val="189"/>
        </w:trPr>
        <w:tc>
          <w:tcPr>
            <w:tcW w:w="288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16,351</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80" w:type="dxa"/>
            <w:vAlign w:val="bottom"/>
          </w:tcPr>
          <w:p>
            <w:pPr>
              <w:ind w:left="20"/>
              <w:spacing w:after="0"/>
              <w:rPr>
                <w:sz w:val="20"/>
                <w:szCs w:val="20"/>
                <w:color w:val="auto"/>
              </w:rPr>
            </w:pPr>
            <w:r>
              <w:rPr>
                <w:rFonts w:ascii="Arial" w:cs="Arial" w:eastAsia="Arial" w:hAnsi="Arial"/>
                <w:sz w:val="14"/>
                <w:szCs w:val="14"/>
                <w:color w:val="auto"/>
              </w:rPr>
              <w:t>Equity, March 31, 2024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157,049</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$ 1,570</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$ 6,752,648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(890,177)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684,969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1,734,904</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$ 8,277,572</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Equity, December 31, 2022</w:t>
            </w:r>
          </w:p>
        </w:tc>
        <w:tc>
          <w:tcPr>
            <w:tcW w:w="600" w:type="dxa"/>
            <w:vAlign w:val="bottom"/>
          </w:tcPr>
          <w:p>
            <w:pPr>
              <w:jc w:val="right"/>
              <w:spacing w:after="0"/>
              <w:rPr>
                <w:sz w:val="20"/>
                <w:szCs w:val="20"/>
                <w:color w:val="auto"/>
              </w:rPr>
            </w:pPr>
            <w:r>
              <w:rPr>
                <w:rFonts w:ascii="Arial" w:cs="Arial" w:eastAsia="Arial" w:hAnsi="Arial"/>
                <w:sz w:val="14"/>
                <w:szCs w:val="14"/>
                <w:color w:val="auto"/>
              </w:rPr>
              <w:t>156,758</w:t>
            </w:r>
          </w:p>
        </w:tc>
        <w:tc>
          <w:tcPr>
            <w:tcW w:w="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$ 1,568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$ 6,539,147</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(391,356)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(13,718)</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683,583</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1,547,317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$ 8,363,819</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77,890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9,078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18,660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105,628</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(172,054)</w:t>
            </w: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23,971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27,419</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7,555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7,555</w:t>
            </w:r>
          </w:p>
        </w:tc>
        <w:tc>
          <w:tcPr>
            <w:tcW w:w="0" w:type="dxa"/>
            <w:vAlign w:val="bottom"/>
          </w:tcPr>
          <w:p>
            <w:pPr>
              <w:spacing w:after="0"/>
              <w:rPr>
                <w:sz w:val="1"/>
                <w:szCs w:val="1"/>
                <w:color w:val="auto"/>
              </w:rPr>
            </w:pPr>
          </w:p>
        </w:tc>
      </w:tr>
      <w:tr>
        <w:trPr>
          <w:trHeight w:val="189"/>
        </w:trPr>
        <w:tc>
          <w:tcPr>
            <w:tcW w:w="2880" w:type="dxa"/>
            <w:vAlign w:val="bottom"/>
          </w:tcPr>
          <w:p>
            <w:pPr>
              <w:ind w:left="100"/>
              <w:spacing w:after="0"/>
              <w:rPr>
                <w:sz w:val="20"/>
                <w:szCs w:val="20"/>
                <w:color w:val="auto"/>
              </w:rPr>
            </w:pPr>
            <w:r>
              <w:rPr>
                <w:rFonts w:ascii="Arial" w:cs="Arial" w:eastAsia="Arial" w:hAnsi="Arial"/>
                <w:sz w:val="14"/>
                <w:szCs w:val="14"/>
                <w:color w:val="auto"/>
              </w:rPr>
              <w:t>in property 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(21,606)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(21,606)</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(6,538)</w:t>
            </w: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March 31, 2023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$ 1,568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$ 6,549,314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691,627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1,552,070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$ 8,306,484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106,604</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105,628</w:t>
            </w:r>
          </w:p>
        </w:tc>
      </w:tr>
      <w:tr>
        <w:trPr>
          <w:trHeight w:val="217"/>
        </w:trPr>
        <w:tc>
          <w:tcPr>
            <w:tcW w:w="7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218,716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208,734</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loss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compensation expense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26,262</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(Income) loss from unconsolidated joint ventures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7,569</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Gains from investments in securities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Allowance for current expected credit losses (gains)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Non-cash portion of interest expense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7,387</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Unrealized (gain) loss on non-real estate investment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and other receivables, net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(35,945)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(18,619)</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(97,762)</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Right of use assets - operating lease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Lease liabilities - operating leases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(8,505)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interest payable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10,626</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16,565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leasing costs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(35,911)</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adjustments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90,991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128,382</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197,595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234,010</w:t>
            </w:r>
          </w:p>
        </w:tc>
      </w:tr>
      <w:tr>
        <w:trPr>
          <w:trHeight w:val="195"/>
        </w:trPr>
        <w:tc>
          <w:tcPr>
            <w:tcW w:w="79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in progress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(119,682)</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Building and other capital improvements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(32,087)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(39,100)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improvements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Acquisition of real estate (net of cash received upon consolidation)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contributions to unconsolidated joint ventures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Investment in non-real estate investments</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note receivables (including related party)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Investments in securities, net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(286,619)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(285,592)</w:t>
            </w:r>
          </w:p>
        </w:tc>
      </w:tr>
      <w:tr>
        <w:trPr>
          <w:trHeight w:val="195"/>
        </w:trPr>
        <w:tc>
          <w:tcPr>
            <w:tcW w:w="79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mortgage notes payable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 / redemption of unsecured senior notes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on unsecured term loan</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Payments on finance lease obligations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unsecured term loan</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(6,213)</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activity from equity transactions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Dividends and distributions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(171,794)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(171,270)</w:t>
            </w: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42"/>
        </w:trPr>
        <w:tc>
          <w:tcPr>
            <w:tcW w:w="7960" w:type="dxa"/>
            <w:vAlign w:val="bottom"/>
            <w:shd w:val="clear" w:color="auto" w:fill="CCEEFF"/>
          </w:tcPr>
          <w:p>
            <w:pPr>
              <w:ind w:left="360"/>
              <w:spacing w:after="0" w:line="142" w:lineRule="exact"/>
              <w:rPr>
                <w:sz w:val="20"/>
                <w:szCs w:val="20"/>
                <w:color w:val="auto"/>
              </w:rPr>
            </w:pPr>
            <w:r>
              <w:rPr>
                <w:rFonts w:ascii="Arial" w:cs="Arial" w:eastAsia="Arial" w:hAnsi="Arial"/>
                <w:sz w:val="16"/>
                <w:szCs w:val="16"/>
                <w:color w:val="auto"/>
              </w:rPr>
              <w:t>Proceeds from sale of interest in property partnerships and contributions from noncontrolling interests in</w:t>
            </w: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141,118</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(756,909)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279,052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(845,933)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227,470</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766,634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964,282</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701,695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918,952</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end of period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64,939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45,330</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766,634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964,282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paid for interest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180,717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125,698</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capitalized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10,589</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(56,391)</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(48,518)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11,692</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assets obtained in exchange for lease liabilities - operating lease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distributions to noncontrolling interests in property,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52,786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operating lease costs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unconsolidated joint ventures eliminated upon consolidation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Mortgage note payable recorded upon consolidation</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and intangibles recorded upon consolidation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Dividends and distributions declared but not paid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172,154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171,427</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noncontrolling interests to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41,989</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6"/>
        </w:trPr>
        <w:tc>
          <w:tcPr>
            <w:tcW w:w="280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CCEEFF"/>
            </w:tcBorders>
            <w:gridSpan w:val="4"/>
            <w:shd w:val="clear" w:color="auto" w:fill="CCEEFF"/>
          </w:tcPr>
          <w:p>
            <w:pPr>
              <w:jc w:val="center"/>
              <w:ind w:right="2940"/>
              <w:spacing w:after="0" w:line="155" w:lineRule="exact"/>
              <w:rPr>
                <w:sz w:val="20"/>
                <w:szCs w:val="20"/>
                <w:color w:val="auto"/>
              </w:rPr>
            </w:pPr>
            <w:r>
              <w:rPr>
                <w:rFonts w:ascii="Arial" w:cs="Arial" w:eastAsia="Arial" w:hAnsi="Arial"/>
                <w:sz w:val="16"/>
                <w:szCs w:val="16"/>
                <w:b w:val="1"/>
                <w:bCs w:val="1"/>
                <w:color w:val="auto"/>
                <w:w w:val="99"/>
              </w:rPr>
              <w:t>ASSETS</w:t>
            </w:r>
          </w:p>
        </w:tc>
        <w:tc>
          <w:tcPr>
            <w:tcW w:w="1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$7,376,175 and $7,054,075 at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26,696,783</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26,382,944</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March 31, 2024 and December 31, 2023, respectively)</w:t>
            </w:r>
          </w:p>
        </w:tc>
        <w:tc>
          <w:tcPr>
            <w:tcW w:w="1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March 31, 2024</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401,486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401,680</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Right of use assets - operating leases (amounts related to VIEs of $154,217 and $158,885 at March 31,</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344,255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324,298</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$(1,538,940) and $(1,501,483) at</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(6,915,437)</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(6,758,361)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March 31, 2024 and December 31, 2023,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real estate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20,527,087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20,350,561</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$298,548 and $245,317 at March 31, 2024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701,695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Cash held in escrows (amounts related to VIEs of $4,839 and $22,160 at December 31, 2023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64,939</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81,090</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2022,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36,337</w:t>
            </w: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$27,792 and $27,987 at March 31, 2024</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94,115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122,407</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Note receivable,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Related party note receivable,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88,789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88,779</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Sales-type lease receivable,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Accrued rental income, net (amounts related to VIEs of $409,628 and $401,159 at March 31, 2024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1,390,217</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1,355,212</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Deferred charges, net (amounts related to VIEs of $194,489 and $175,383 at March 31, 2024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818,424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760,421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Prepaid expenses and other assets (amounts related to VIEs of $45,672 and $11,824 at March 31, 2024</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146,286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64,230</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1,399,824</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1,377,319</w:t>
            </w:r>
          </w:p>
        </w:tc>
        <w:tc>
          <w:tcPr>
            <w:tcW w:w="0" w:type="dxa"/>
            <w:vAlign w:val="bottom"/>
          </w:tcPr>
          <w:p>
            <w:pPr>
              <w:spacing w:after="0"/>
              <w:rPr>
                <w:sz w:val="1"/>
                <w:szCs w:val="1"/>
                <w:color w:val="auto"/>
              </w:rPr>
            </w:pPr>
          </w:p>
        </w:tc>
      </w:tr>
      <w:tr>
        <w:trPr>
          <w:trHeight w:val="209"/>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25,284,777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25,783,251</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800" w:type="dxa"/>
            <w:vAlign w:val="bottom"/>
            <w:shd w:val="clear" w:color="auto" w:fill="CCEEFF"/>
          </w:tcPr>
          <w:p>
            <w:pPr>
              <w:spacing w:after="0"/>
              <w:rPr>
                <w:sz w:val="14"/>
                <w:szCs w:val="14"/>
                <w:color w:val="auto"/>
              </w:rPr>
            </w:pPr>
          </w:p>
        </w:tc>
        <w:tc>
          <w:tcPr>
            <w:tcW w:w="5020" w:type="dxa"/>
            <w:vAlign w:val="bottom"/>
            <w:gridSpan w:val="4"/>
            <w:shd w:val="clear" w:color="auto" w:fill="CCEEFF"/>
          </w:tcPr>
          <w:p>
            <w:pPr>
              <w:jc w:val="center"/>
              <w:ind w:right="2960"/>
              <w:spacing w:after="0" w:line="143" w:lineRule="exact"/>
              <w:rPr>
                <w:sz w:val="20"/>
                <w:szCs w:val="20"/>
                <w:color w:val="auto"/>
              </w:rPr>
            </w:pPr>
            <w:r>
              <w:rPr>
                <w:rFonts w:ascii="Arial" w:cs="Arial" w:eastAsia="Arial" w:hAnsi="Arial"/>
                <w:sz w:val="16"/>
                <w:szCs w:val="16"/>
                <w:b w:val="1"/>
                <w:bCs w:val="1"/>
                <w:color w:val="auto"/>
              </w:rPr>
              <w:t>LIABILITIES AND CAPITAL</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Liabilities:</w:t>
            </w:r>
          </w:p>
        </w:tc>
        <w:tc>
          <w:tcPr>
            <w:tcW w:w="2060" w:type="dxa"/>
            <w:vAlign w:val="bottom"/>
            <w:tcBorders>
              <w:top w:val="single" w:sz="8" w:color="auto"/>
            </w:tcBorders>
            <w:gridSpan w:val="3"/>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Mortgage notes payable, net (amounts related to VIEs of $3,278,396 and $3,277,185 at March 31,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4,368,367</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4,166,379</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Unsecured senior notes,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9,794,527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10,491,617</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Unsecured line of credit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Unsecured term loan,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1,199,430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1,198,301</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finance leases (amounts related to VIEs of $20,831 and $20,794 at March 31, 2024</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415,888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417,961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Lease liabilities - operating leases (amounts related to VIEs of $148,706 and $145,826 at March 31,</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377,667</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350,391</w:t>
            </w:r>
          </w:p>
        </w:tc>
        <w:tc>
          <w:tcPr>
            <w:tcW w:w="0" w:type="dxa"/>
            <w:vAlign w:val="bottom"/>
          </w:tcPr>
          <w:p>
            <w:pPr>
              <w:spacing w:after="0"/>
              <w:rPr>
                <w:sz w:val="1"/>
                <w:szCs w:val="1"/>
                <w:color w:val="auto"/>
              </w:rPr>
            </w:pPr>
          </w:p>
        </w:tc>
      </w:tr>
      <w:tr>
        <w:trPr>
          <w:trHeight w:val="215"/>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Accounts payable and accrued expenses (amounts related to VIEs of $112,385 and $59,667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374,681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458,329</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31, 2024 and 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Dividends and distributions payable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172,154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171,176</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133,684</w:t>
            </w: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Other liabilities (amounts related to VIEs of $105,786 and $115,275 at March 31, 2024 and</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417,978</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445,947</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gridSpan w:val="5"/>
          </w:tcPr>
          <w:p>
            <w:pPr>
              <w:ind w:left="680"/>
              <w:spacing w:after="0"/>
              <w:rPr>
                <w:sz w:val="20"/>
                <w:szCs w:val="20"/>
                <w:color w:val="auto"/>
              </w:rPr>
            </w:pPr>
            <w:r>
              <w:rPr>
                <w:rFonts w:ascii="Arial" w:cs="Arial" w:eastAsia="Arial" w:hAnsi="Arial"/>
                <w:sz w:val="16"/>
                <w:szCs w:val="16"/>
                <w:color w:val="auto"/>
              </w:rPr>
              <w:t>December 31, 2023, respectively)</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17,240,265</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17,833,785</w:t>
            </w:r>
          </w:p>
        </w:tc>
        <w:tc>
          <w:tcPr>
            <w:tcW w:w="0" w:type="dxa"/>
            <w:vAlign w:val="bottom"/>
          </w:tcPr>
          <w:p>
            <w:pPr>
              <w:spacing w:after="0"/>
              <w:rPr>
                <w:sz w:val="1"/>
                <w:szCs w:val="1"/>
                <w:color w:val="auto"/>
              </w:rPr>
            </w:pPr>
          </w:p>
        </w:tc>
      </w:tr>
      <w:tr>
        <w:trPr>
          <w:trHeight w:val="19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Redeemable deferred stock units— 124,656 and 119,471 units outstanding at redemption value at March</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8,141</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215"/>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31, 2024 and December 31, 2023,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vMerge w:val="restart"/>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5"/>
        </w:trPr>
        <w:tc>
          <w:tcPr>
            <w:tcW w:w="78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Redeemable partnership units— 16,492,171 and 16,508,277 common units and 2,666,636 and</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color w:val="auto"/>
              </w:rPr>
              <w:t>2,065,861 long term incentive units outstanding at redemption value at March 31, 2024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1,300,409</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1,347,575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2023,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Boston Properties Limited Partnership partners’ capital— 1,762,080 and 1,755,150 general partner</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color w:val="auto"/>
              </w:rPr>
              <w:t>units and 155,287,091 and 155,185,716 limited partner units outstanding at March 31, 2024 and</w:t>
            </w:r>
          </w:p>
        </w:tc>
        <w:tc>
          <w:tcPr>
            <w:tcW w:w="1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5,004,678</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4,973,951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partners’ capital</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5,001,058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4,952,804</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1,734,904</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1,640,704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capital</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6,735,962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6,593,508</w:t>
            </w: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liabilities and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25,284,777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25,783,251</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unit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Lease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788,590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756,875</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24,009</w:t>
            </w:r>
          </w:p>
        </w:tc>
        <w:tc>
          <w:tcPr>
            <w:tcW w:w="0" w:type="dxa"/>
            <w:vAlign w:val="bottom"/>
          </w:tcPr>
          <w:p>
            <w:pPr>
              <w:spacing w:after="0"/>
              <w:rPr>
                <w:sz w:val="1"/>
                <w:szCs w:val="1"/>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Hotel</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8,101</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839,439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803,200</w:t>
            </w:r>
          </w:p>
        </w:tc>
        <w:tc>
          <w:tcPr>
            <w:tcW w:w="0" w:type="dxa"/>
            <w:vAlign w:val="bottom"/>
          </w:tcPr>
          <w:p>
            <w:pPr>
              <w:spacing w:after="0"/>
              <w:rPr>
                <w:sz w:val="1"/>
                <w:szCs w:val="1"/>
                <w:color w:val="auto"/>
              </w:rPr>
            </w:pPr>
          </w:p>
        </w:tc>
      </w:tr>
      <w:tr>
        <w:trPr>
          <w:trHeight w:val="195"/>
        </w:trPr>
        <w:tc>
          <w:tcPr>
            <w:tcW w:w="7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680"/>
              <w:spacing w:after="0"/>
              <w:rPr>
                <w:sz w:val="20"/>
                <w:szCs w:val="20"/>
                <w:color w:val="auto"/>
              </w:rPr>
            </w:pPr>
            <w:r>
              <w:rPr>
                <w:rFonts w:ascii="Arial" w:cs="Arial" w:eastAsia="Arial" w:hAnsi="Arial"/>
                <w:sz w:val="16"/>
                <w:szCs w:val="16"/>
                <w:color w:val="auto"/>
              </w:rPr>
              <w:t>Rental</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314,157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291,308</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6,671</w:t>
            </w:r>
          </w:p>
        </w:tc>
        <w:tc>
          <w:tcPr>
            <w:tcW w:w="0" w:type="dxa"/>
            <w:vAlign w:val="bottom"/>
          </w:tcPr>
          <w:p>
            <w:pPr>
              <w:spacing w:after="0"/>
              <w:rPr>
                <w:sz w:val="1"/>
                <w:szCs w:val="1"/>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50,018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55,802</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217,019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206,872</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592,015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566,799</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(7,569)</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0" w:type="dxa"/>
            <w:vAlign w:val="bottom"/>
          </w:tcPr>
          <w:p>
            <w:pPr>
              <w:spacing w:after="0"/>
              <w:rPr>
                <w:sz w:val="1"/>
                <w:szCs w:val="1"/>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(161,891)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(134,207)</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108,301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107,490</w:t>
            </w: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(18,660)</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91,080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88,830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Weighted average number of common units outstanding</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175,255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174,652</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175,404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r>
      <w:tr>
        <w:trPr>
          <w:trHeight w:val="229"/>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23"/>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19,711</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128,012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102,627</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(18,804)</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Comprehensive income attributable to Boston Properties Limited Partnership</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110,647</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83,823</w:t>
            </w:r>
          </w:p>
        </w:tc>
      </w:tr>
      <w:tr>
        <w:trPr>
          <w:trHeight w:val="21"/>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940" w:hanging="332"/>
        <w:spacing w:after="0" w:line="266"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340" w:right="2420"/>
        <w:spacing w:after="0" w:line="329"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1680" w:type="dxa"/>
            <w:vAlign w:val="bottom"/>
            <w:gridSpan w:val="4"/>
          </w:tcPr>
          <w:p>
            <w:pPr>
              <w:ind w:left="5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700"/>
              <w:spacing w:after="0"/>
              <w:rPr>
                <w:sz w:val="20"/>
                <w:szCs w:val="20"/>
                <w:color w:val="auto"/>
              </w:rPr>
            </w:pPr>
            <w:r>
              <w:rPr>
                <w:rFonts w:ascii="Arial" w:cs="Arial" w:eastAsia="Arial" w:hAnsi="Arial"/>
                <w:sz w:val="14"/>
                <w:szCs w:val="14"/>
                <w:b w:val="1"/>
                <w:bCs w:val="1"/>
                <w:color w:val="auto"/>
              </w:rPr>
              <w:t>Capital</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Partners’</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Interests -</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(General and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Interests -</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Limited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Property</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Capital</w:t>
            </w: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Partnership</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Partners)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Partnerships</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4,973,951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1,640,704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$6,593,508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1,347,575</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2,862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2,862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14,269</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(153,908)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(153,908)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(18,864)</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52,808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52,808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(52,808)</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Proceeds from sale of interest in property</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partnerships and contributions from</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46,082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96,860</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142,942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interests in property partnerships</w:t>
            </w: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(20,025)</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partnerships</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March 31,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155,287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5,004,678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1,734,904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6,735,962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1,300,409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December 31, 2022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5,299,428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1,547,317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1,280,886</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4,032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4,032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23,973</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79,752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(153,693)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(18,361)</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220,222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220,222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(220,222)</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Contributions from noncontrolling interests in</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partnerships</w:t>
            </w: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(21,606)</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(21,606)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partnerships</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March 31,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155,075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5,449,936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1,552,070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6,983,792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1,074,648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108,301</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107,490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217,019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206,872</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loss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compensation expense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26,262</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(Income) loss from unconsolidated joint ventures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7,569</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Gains from investments in securities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Allowance for current expected credit losses (gains)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Non-cash portion of interest expense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7,387</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Unrealized gain on non-real estate investment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and other receivables, net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(35,945)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(18,619)</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(97,762)</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Right of use assets - operating lease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Lease liabilities - operating leases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(8,505)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interest payable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10,626</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16,565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leasing costs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(35,911)</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adjustments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126,520</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197,595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234,010</w:t>
            </w:r>
          </w:p>
        </w:tc>
      </w:tr>
      <w:tr>
        <w:trPr>
          <w:trHeight w:val="195"/>
        </w:trPr>
        <w:tc>
          <w:tcPr>
            <w:tcW w:w="79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in progress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(119,682)</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Building and other capital improvements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(32,087)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(39,100)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improvements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Acquisition of real estate (net of cash received upon consolidation)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contributions to unconsolidated joint ventures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Investment in non-real estate investments</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note receivables (including related party)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Investments in securities, net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(286,619)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(285,592)</w:t>
            </w:r>
          </w:p>
        </w:tc>
      </w:tr>
      <w:tr>
        <w:trPr>
          <w:trHeight w:val="195"/>
        </w:trPr>
        <w:tc>
          <w:tcPr>
            <w:tcW w:w="79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mortgage notes payable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 / redemption of unsecured senior notes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on unsecured term loan</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Payments on finance lease obligations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unsecured term loan</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(6,213)</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activity from equity transactions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960" w:type="dxa"/>
            <w:vAlign w:val="bottom"/>
            <w:vMerge w:val="restart"/>
          </w:tcPr>
          <w:p>
            <w:pPr>
              <w:ind w:left="36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(171,794)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(171,270)</w:t>
            </w:r>
          </w:p>
        </w:tc>
        <w:tc>
          <w:tcPr>
            <w:tcW w:w="0" w:type="dxa"/>
            <w:vAlign w:val="bottom"/>
          </w:tcPr>
          <w:p>
            <w:pPr>
              <w:spacing w:after="0"/>
              <w:rPr>
                <w:sz w:val="1"/>
                <w:szCs w:val="1"/>
                <w:color w:val="auto"/>
              </w:rPr>
            </w:pPr>
          </w:p>
        </w:tc>
      </w:tr>
      <w:tr>
        <w:trPr>
          <w:trHeight w:val="163"/>
        </w:trPr>
        <w:tc>
          <w:tcPr>
            <w:tcW w:w="796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Proceeds from sale of interest in property partnerships and contributions from noncontrolling interests in</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141,118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(756,909)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279,052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(845,933)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227,470</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766,634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964,282</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701,695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918,952</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end of period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64,939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45,330</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766,634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964,282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paid for interest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180,717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125,698</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capitalized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10,589</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(55,142)</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(48,518)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11,692</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assets obtained in exchange for lease liabilities - operating lease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distributions to noncontrolling interests in property,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52,786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operating lease costs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unconsolidated joint ventures eliminated upon consolidation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Mortgage notes payable recorded upon consolidation</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and intangibles recorded upon consolidation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declared but not paid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172,154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171,427</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redeemable partnership units to partners’ capital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41,989</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BOSTON PROPERTIES, INC. AND BOSTON PROPERTIES LIMITED PARTNERSHIP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04"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BXP is a fully integrated, self-administered and self-managed REIT. BXP is the sole general partner of BPLP, its operating partnership, and at March 31, 2024, owned an approximate 89.1% (89.4% at December 31, 2023) general and limited partnership interest in BPLP. Unless stated otherwise or the context requires, the “Company” refers to BXP and its subsidiaries, including BPLP and its consolidated subsidiaries. Partnership interests in BPLP include:</w:t>
      </w:r>
    </w:p>
    <w:p>
      <w:pPr>
        <w:spacing w:after="0" w:line="95" w:lineRule="exact"/>
        <w:rPr>
          <w:sz w:val="20"/>
          <w:szCs w:val="20"/>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units of partnership interest (also referred to as “OP Units”) and</w:t>
      </w:r>
    </w:p>
    <w:p>
      <w:pPr>
        <w:spacing w:after="0" w:line="103"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term incentive units of partnership interest (also referred to as “LTIP Units”)</w:t>
      </w:r>
    </w:p>
    <w:p>
      <w:pPr>
        <w:spacing w:after="0" w:line="1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3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2013 - 2024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2013 - 2021 MYLTIP Units have ended and BXP’s total stockholder return (“TSR”) was sufficient for employees to earn and therefore become eligible to vest in a portion of the awards. Unless and until they are earned, the rights, preferences and privileges of the 2022 - 2024 MYLTIP Units differ from other LTIP Units granted to employees (including the 2012 OPP Units and the 2013 - 2021 MYLTIP Units, which have been earned). Therefore, unless specifically noted otherwise, all references to LTIP Units exclude the 2022 - 2024 MYLTIP Units. LTIP Units (including the earned 2012 OPP Units and the earned 2013 - 2021 MYLTIP Units), whether vested or not, will receive the same quarterly per unit distributions as OP Units, which equal per share dividends on Common Stock (See Notes 9 and 13).</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Properties</w:t>
      </w:r>
    </w:p>
    <w:p>
      <w:pPr>
        <w:spacing w:after="0" w:line="88" w:lineRule="exact"/>
        <w:rPr>
          <w:sz w:val="20"/>
          <w:szCs w:val="20"/>
          <w:color w:val="auto"/>
        </w:rPr>
      </w:pPr>
    </w:p>
    <w:p>
      <w:pPr>
        <w:ind w:right="180" w:firstLine="445"/>
        <w:spacing w:after="0" w:line="291" w:lineRule="auto"/>
        <w:rPr>
          <w:sz w:val="20"/>
          <w:szCs w:val="20"/>
          <w:color w:val="auto"/>
        </w:rPr>
      </w:pPr>
      <w:r>
        <w:rPr>
          <w:rFonts w:ascii="Arial" w:cs="Arial" w:eastAsia="Arial" w:hAnsi="Arial"/>
          <w:sz w:val="17"/>
          <w:szCs w:val="17"/>
          <w:color w:val="auto"/>
        </w:rPr>
        <w:t>At March 31, 2024, the Company owned or had joint venture interests in a portfolio of 187 commercial real estate properties (the “Properties”) aggregating approximately 53.5 million net rentable square feet of primarily premier workplaces, including 11 properties under construction/redevelopment totaling approximately 3.2 million net rentable square feet. At March 31, 2024, the Properties consisted of:</w:t>
      </w:r>
    </w:p>
    <w:p>
      <w:pPr>
        <w:spacing w:after="0" w:line="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165 office and life sciences properties (including seven properties under construction/redevelopment);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 retail properties (including two properties under construction/redevelopment);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seven residential properties (including two properties under construction</w:t>
      </w:r>
      <w:r>
        <w:rPr>
          <w:rFonts w:ascii="Times New Roman" w:cs="Times New Roman" w:eastAsia="Times New Roman" w:hAnsi="Times New Roman"/>
          <w:sz w:val="18"/>
          <w:szCs w:val="18"/>
          <w:color w:val="auto"/>
        </w:rPr>
        <w:t>)</w:t>
      </w:r>
      <w:r>
        <w:rPr>
          <w:rFonts w:ascii="Arial" w:cs="Arial" w:eastAsia="Arial" w:hAnsi="Arial"/>
          <w:sz w:val="18"/>
          <w:szCs w:val="18"/>
          <w:color w:val="auto"/>
        </w:rPr>
        <w: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hotel.</w:t>
      </w:r>
    </w:p>
    <w:p>
      <w:pPr>
        <w:spacing w:after="0" w:line="153" w:lineRule="exact"/>
        <w:rPr>
          <w:sz w:val="20"/>
          <w:szCs w:val="20"/>
          <w:color w:val="auto"/>
        </w:rPr>
      </w:pPr>
    </w:p>
    <w:p>
      <w:pPr>
        <w:jc w:val="both"/>
        <w:ind w:right="540" w:firstLine="445"/>
        <w:spacing w:after="0" w:line="268" w:lineRule="auto"/>
        <w:rPr>
          <w:sz w:val="20"/>
          <w:szCs w:val="20"/>
          <w:color w:val="auto"/>
        </w:rPr>
      </w:pPr>
      <w:r>
        <w:rPr>
          <w:rFonts w:ascii="Arial" w:cs="Arial" w:eastAsia="Arial" w:hAnsi="Arial"/>
          <w:sz w:val="18"/>
          <w:szCs w:val="18"/>
          <w:color w:val="auto"/>
        </w:rPr>
        <w:t>The Company considers premier workplaces to be well-located buildings that are modern structures or have been modernized to compete with newer buildings and professionally managed and maintained. As such, these properties attract high-quality tenants and command upper-tier rental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1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2023.</w:t>
      </w:r>
    </w:p>
    <w:p>
      <w:pPr>
        <w:spacing w:after="0" w:line="12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Company bases its estimates on historical experience and on various other assumptions that it considers to be reasonable under the circumstances, including the impact of extraordinary events such as a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Entities (VIEs)</w:t>
      </w:r>
    </w:p>
    <w:p>
      <w:pPr>
        <w:spacing w:after="0" w:line="10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nine entities that are VIEs as of March 31, 2024 and has determined that it is the primary beneficiary for all of these entities as of March 31, 2024.</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2024, BXP has identified nine consolidated VIEs, including BPLP. Excluding BPLP, the consolidated VIEs consisted of</w:t>
      </w:r>
    </w:p>
    <w:p>
      <w:pPr>
        <w:spacing w:after="0" w:line="27" w:lineRule="exact"/>
        <w:rPr>
          <w:sz w:val="20"/>
          <w:szCs w:val="20"/>
          <w:color w:val="auto"/>
        </w:rPr>
      </w:pPr>
    </w:p>
    <w:p>
      <w:pPr>
        <w:ind w:right="40" w:firstLine="8"/>
        <w:spacing w:after="0" w:line="265" w:lineRule="auto"/>
        <w:tabs>
          <w:tab w:leader="none" w:pos="21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five in-service properties: 767 Fifth Avenue (the General Motors Building), Times Square Tower, 601 Lexington Avenue, Atlantic Wharf Office Building and 100 Federal Street, (ii) 343 Madison Avenue, which is categorized as land held for future development and</w:t>
      </w: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290 Binney Street and 300 Binney Street which are currently under development / redevelopment.</w:t>
      </w:r>
    </w:p>
    <w:p>
      <w:pPr>
        <w:spacing w:after="0" w:line="153"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spacing w:after="0" w:line="117"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In addition, BXP’s only significant asset is its investment in BPLP and, consequently, substantially all of BXP’s assets and liabilities are the assets and liabilities of BPLP.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Variable Interest Entities Not Consolidated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2024, the Company does not have any unconsolidated joint ventures that are classified as VIEs.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88" w:lineRule="exact"/>
        <w:rPr>
          <w:sz w:val="20"/>
          <w:szCs w:val="20"/>
          <w:color w:val="auto"/>
        </w:rPr>
      </w:pPr>
    </w:p>
    <w:p>
      <w:pPr>
        <w:ind w:right="320" w:firstLine="445"/>
        <w:spacing w:after="0" w:line="262" w:lineRule="auto"/>
        <w:rPr>
          <w:sz w:val="20"/>
          <w:szCs w:val="20"/>
          <w:color w:val="auto"/>
        </w:rPr>
      </w:pPr>
      <w:r>
        <w:rPr>
          <w:rFonts w:ascii="Arial" w:cs="Arial" w:eastAsia="Arial" w:hAnsi="Arial"/>
          <w:sz w:val="18"/>
          <w:szCs w:val="18"/>
          <w:color w:val="auto"/>
        </w:rPr>
        <w:t>The Company follows the authoritative guidance for fair value measurements when valuing its financial instruments for disclosure purposes. The table below presents for March 31, 2024 and December 31, 2023, the financial instruments that are being valued for disclosure purposes as well as the Level at which they are categorized as defined in Accounting Standards Codification (“ASC”) 820 “Fair Value Measurements and Disclosures” (“ASC 820”).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8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925"/>
        </w:trPr>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Financial Instrument</w:t>
            </w:r>
          </w:p>
        </w:tc>
        <w:tc>
          <w:tcPr>
            <w:tcW w:w="78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Level</w:t>
            </w:r>
          </w:p>
        </w:tc>
      </w:tr>
      <w:tr>
        <w:trPr>
          <w:trHeight w:val="22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3-Month United States Treasury Bills</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1</w:t>
            </w: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Investment in securities</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1</w:t>
            </w: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senior notes (1)</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1</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Related party note receivable</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Sales-type lease receivable</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 notes payable</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Unsecured line of credit</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term loan</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99"/>
        </w:trPr>
        <w:tc>
          <w:tcPr>
            <w:tcW w:w="342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7800" w:type="dxa"/>
            <w:vAlign w:val="bottom"/>
          </w:tcPr>
          <w:p>
            <w:pPr>
              <w:spacing w:after="0"/>
              <w:rPr>
                <w:sz w:val="24"/>
                <w:szCs w:val="24"/>
                <w:color w:val="auto"/>
              </w:rPr>
            </w:pPr>
          </w:p>
        </w:tc>
      </w:tr>
    </w:tbl>
    <w:p>
      <w:pPr>
        <w:ind w:left="180"/>
        <w:spacing w:after="0"/>
        <w:rPr>
          <w:sz w:val="20"/>
          <w:szCs w:val="20"/>
          <w:color w:val="auto"/>
        </w:rPr>
      </w:pPr>
      <w:r>
        <w:rPr>
          <w:rFonts w:ascii="Arial" w:cs="Arial" w:eastAsia="Arial" w:hAnsi="Arial"/>
          <w:sz w:val="16"/>
          <w:szCs w:val="16"/>
          <w:color w:val="auto"/>
        </w:rPr>
        <w:t>(1)  If trading volume for the period is low, the valuation could be categorized as Level 2.</w:t>
      </w:r>
    </w:p>
    <w:p>
      <w:pPr>
        <w:spacing w:after="0" w:line="268"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99" w:lineRule="exact"/>
        <w:rPr>
          <w:sz w:val="20"/>
          <w:szCs w:val="20"/>
          <w:color w:val="auto"/>
        </w:rPr>
      </w:pPr>
    </w:p>
    <w:p>
      <w:pPr>
        <w:ind w:right="860" w:firstLine="445"/>
        <w:spacing w:after="0" w:line="287" w:lineRule="auto"/>
        <w:rPr>
          <w:sz w:val="20"/>
          <w:szCs w:val="20"/>
          <w:color w:val="auto"/>
        </w:rPr>
      </w:pPr>
      <w:r>
        <w:rPr>
          <w:rFonts w:ascii="Arial" w:cs="Arial" w:eastAsia="Arial" w:hAnsi="Arial"/>
          <w:sz w:val="18"/>
          <w:szCs w:val="18"/>
          <w:color w:val="auto"/>
        </w:rPr>
        <w:t>In addition, the Company’s estimated fair values for these instruments as of the end of the applicable reporting period are not projections of, nor necessarily indicative of, estimated or actual fair values in future reporting periods.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 December 31, 2023, the Company had outstanding three-month United States Treasury Bills with a maturity date of January 30,</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2024 that were classified as held to maturity because the Company determined that it had the positive intent and ability to hold to maturity. Because these securities were considered a short-term investment, they are reflected at amortized cost within Cash and Cash Equivalents on the Consolidated Balance Sheets. At December 31, 2023, the amortized cost of these securities was approximately $302.7 million. There were no such securities outstanding at March 31, 2024.</w:t>
      </w:r>
    </w:p>
    <w:p>
      <w:pPr>
        <w:spacing w:after="0" w:line="128" w:lineRule="exact"/>
        <w:rPr>
          <w:sz w:val="20"/>
          <w:szCs w:val="20"/>
          <w:color w:val="auto"/>
        </w:rPr>
      </w:pPr>
    </w:p>
    <w:p>
      <w:pPr>
        <w:ind w:right="340" w:firstLine="445"/>
        <w:spacing w:after="0" w:line="268" w:lineRule="auto"/>
        <w:rPr>
          <w:sz w:val="20"/>
          <w:szCs w:val="20"/>
          <w:color w:val="auto"/>
        </w:rPr>
      </w:pPr>
      <w:r>
        <w:rPr>
          <w:rFonts w:ascii="Arial" w:cs="Arial" w:eastAsia="Arial" w:hAnsi="Arial"/>
          <w:sz w:val="18"/>
          <w:szCs w:val="18"/>
          <w:color w:val="auto"/>
        </w:rPr>
        <w:t>The Company’s investment in non-real estate investments is shown within Prepaid and Other Assets on the Consolidated Balance Sheets and was approximately $5.1 million and $4.6 million at March 31, 2024 and December 31, 2023, respectively. The non-real estate investments utilize net asset value as the practical expedient.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Non-Recurring Fair Value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aggregate carrying value of the Company’s non-recurring fair value financial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instruments and the Company’s corresponding estimate of fair value as of March 31, 2024 and December 31, 2023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5"/>
          </w:tcPr>
          <w:p>
            <w:pPr>
              <w:ind w:left="720"/>
              <w:spacing w:after="0"/>
              <w:rPr>
                <w:sz w:val="20"/>
                <w:szCs w:val="20"/>
                <w:color w:val="auto"/>
              </w:rPr>
            </w:pPr>
            <w:r>
              <w:rPr>
                <w:rFonts w:ascii="Arial" w:cs="Arial" w:eastAsia="Arial" w:hAnsi="Arial"/>
                <w:sz w:val="16"/>
                <w:szCs w:val="16"/>
                <w:b w:val="1"/>
                <w:bCs w:val="1"/>
                <w:color w:val="auto"/>
              </w:rPr>
              <w:t>March 31, 2024</w:t>
            </w:r>
          </w:p>
        </w:tc>
        <w:tc>
          <w:tcPr>
            <w:tcW w:w="240" w:type="dxa"/>
            <w:vAlign w:val="bottom"/>
          </w:tcPr>
          <w:p>
            <w:pPr>
              <w:spacing w:after="0"/>
              <w:rPr>
                <w:sz w:val="18"/>
                <w:szCs w:val="18"/>
                <w:color w:val="auto"/>
              </w:rPr>
            </w:pPr>
          </w:p>
        </w:tc>
        <w:tc>
          <w:tcPr>
            <w:tcW w:w="268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December 31, 2023</w:t>
            </w:r>
          </w:p>
        </w:tc>
      </w:tr>
      <w:tr>
        <w:trPr>
          <w:trHeight w:val="155"/>
        </w:trPr>
        <w:tc>
          <w:tcPr>
            <w:tcW w:w="48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center"/>
              <w:ind w:right="42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6"/>
                <w:szCs w:val="16"/>
                <w:b w:val="1"/>
                <w:bCs w:val="1"/>
                <w:color w:val="auto"/>
              </w:rPr>
              <w:t>Estimated</w:t>
            </w:r>
          </w:p>
        </w:tc>
        <w:tc>
          <w:tcPr>
            <w:tcW w:w="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6"/>
                <w:szCs w:val="16"/>
                <w:b w:val="1"/>
                <w:bCs w:val="1"/>
                <w:color w:val="auto"/>
              </w:rPr>
              <w:t>Estimated</w:t>
            </w:r>
          </w:p>
        </w:tc>
      </w:tr>
      <w:tr>
        <w:trPr>
          <w:trHeight w:val="216"/>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180" w:type="dxa"/>
            <w:vAlign w:val="bottom"/>
          </w:tcPr>
          <w:p>
            <w:pPr>
              <w:jc w:val="right"/>
              <w:ind w:right="232"/>
              <w:spacing w:after="0"/>
              <w:rPr>
                <w:sz w:val="20"/>
                <w:szCs w:val="20"/>
                <w:color w:val="auto"/>
              </w:rPr>
            </w:pPr>
            <w:r>
              <w:rPr>
                <w:rFonts w:ascii="Arial" w:cs="Arial" w:eastAsia="Arial" w:hAnsi="Arial"/>
                <w:sz w:val="16"/>
                <w:szCs w:val="16"/>
                <w:b w:val="1"/>
                <w:bCs w:val="1"/>
                <w:color w:val="auto"/>
              </w:rPr>
              <w:t>Fair Value</w:t>
            </w: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3-Month United States Treasury Bills (1)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302,746</w:t>
            </w:r>
          </w:p>
        </w:tc>
      </w:tr>
      <w:tr>
        <w:trPr>
          <w:trHeight w:val="257"/>
        </w:trPr>
        <w:tc>
          <w:tcPr>
            <w:tcW w:w="4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note receivable,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90,593</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Note receivable,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Sales-type lease receivable, net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106,247</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105,608</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Mortgage notes payable,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4,368,367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3,935,382</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4,166,379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3,705,513</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senior notes, net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8,979,934</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9,697,393</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Unsecured line of credit</w:t>
            </w:r>
          </w:p>
        </w:tc>
        <w:tc>
          <w:tcPr>
            <w:tcW w:w="3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term loan, net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1,198,951</w:t>
            </w:r>
          </w:p>
        </w:tc>
        <w:tc>
          <w:tcPr>
            <w:tcW w:w="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1,198,301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1,196,945</w:t>
            </w: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15,362,324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14,114,267</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15,856,297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14,599,851</w:t>
            </w: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48"/>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69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1"/>
        </w:trPr>
        <w:tc>
          <w:tcPr>
            <w:tcW w:w="4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20" w:right="100" w:hanging="331"/>
        <w:spacing w:after="0" w:line="265" w:lineRule="auto"/>
        <w:tabs>
          <w:tab w:leader="none" w:pos="3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 the guidance in ASC 326 “Financial Instruments — Credit Losses” (“ASC 326”), the Company concluded that the risk of nonpayment is nonexistent because the U.S. Government has a long history with no credit losses and therefore, no credit loss allowance was recorded.</w:t>
      </w:r>
    </w:p>
    <w:p>
      <w:pPr>
        <w:spacing w:after="0" w:line="28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At March 31, 2024, the Company evaluated the expected hold period for a portion of its Shady Grove property located in Rockville, Maryland. Based on a shorter-than-expected hold period, the Company reduced the carrying value of a portion of the property that the Company anticipates selling to a third party developer to its estimated fair value at March 31, 2024. As a result, each of BXP and BPLP recognized an impairment loss of approximately $13.6 million. The Company’s estimated fair value utilized Level 3 inputs and was based on a pending offer from a third party.</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Recurring Fair Value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Derivatives</w:t>
      </w:r>
    </w:p>
    <w:p>
      <w:pPr>
        <w:spacing w:after="0" w:line="8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addition to the financial instruments noted above, the Company uses interest rate swap agreements to manage its interest rate risk (See Note 7).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are classified in Level 2 of the fair value hierarchy.</w:t>
      </w:r>
    </w:p>
    <w:p>
      <w:pPr>
        <w:spacing w:after="0" w:line="128"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The following table presents the aggregate fair value of the Company’s interest rate swaps as of March 31, 2024 and December 31, 2023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tcPr>
          <w:p>
            <w:pPr>
              <w:spacing w:after="0"/>
              <w:rPr>
                <w:sz w:val="18"/>
                <w:szCs w:val="18"/>
                <w:color w:val="auto"/>
              </w:rPr>
            </w:pPr>
          </w:p>
        </w:tc>
        <w:tc>
          <w:tcPr>
            <w:tcW w:w="1820" w:type="dxa"/>
            <w:vAlign w:val="bottom"/>
          </w:tcPr>
          <w:p>
            <w:pPr>
              <w:jc w:val="right"/>
              <w:ind w:right="195"/>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bl>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Investments</w:t>
      </w:r>
    </w:p>
    <w:p>
      <w:pPr>
        <w:spacing w:after="0" w:line="8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 accounts for investments in equity securities at fair value, with gains or losses resulting from changes in fair value recognized currently in earnings. The Company maintains deferred compensation plans that are designed to allow officers and non-employee directors of BXP to defer a portion of the officer’s current income or the non-employee director’s current compensation on a pre-tax basis and receive a tax-deferred return on these deferrals based on the performance of specific investments selected by the officer or non-employee director. The Company’s obligation under the plans is that of an unsecured promise to pay the deferred compensation to the plan participants in the future. At March 31, 2024 and December 31, 2023, the Company had maintained approximately $37.0 million and $36.1 million, respectively, in separate accounts, which are not restricted as to their use. The Company recognized gains of approximately</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$2.3 million and $1.7 million on its investments in the accounts associated with the Company’s deferred compensation plans during the three months ended March 31, 2024 and March 31, 2023, respectively primarily due to the observable change in fair value.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March 31, 2024 and December 31,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tcPr>
          <w:p>
            <w:pPr>
              <w:spacing w:after="0"/>
              <w:rPr>
                <w:sz w:val="18"/>
                <w:szCs w:val="18"/>
                <w:color w:val="auto"/>
              </w:rPr>
            </w:pPr>
          </w:p>
        </w:tc>
        <w:tc>
          <w:tcPr>
            <w:tcW w:w="182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5,317,032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5,251,224</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401,486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401,680</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344,255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324,298</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661,713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697,061</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16,689,571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16,607,756</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3,654,576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3,592,172</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53,716</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685,465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547,280</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27,808,789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27,475,187</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(7,040,501)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(6,881,728)</w:t>
            </w:r>
          </w:p>
        </w:tc>
      </w:tr>
      <w:tr>
        <w:trPr>
          <w:trHeight w:val="248"/>
        </w:trPr>
        <w:tc>
          <w:tcPr>
            <w:tcW w:w="6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20,768,288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20,593,459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Note 4.</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March 31, 2024 and December 31, 2023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tcPr>
          <w:p>
            <w:pPr>
              <w:spacing w:after="0"/>
              <w:rPr>
                <w:sz w:val="18"/>
                <w:szCs w:val="18"/>
                <w:color w:val="auto"/>
              </w:rPr>
            </w:pPr>
          </w:p>
        </w:tc>
        <w:tc>
          <w:tcPr>
            <w:tcW w:w="182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5,222,323</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5,156,515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401,486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401,680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344,255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324,298</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661,713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697,061</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16,418,015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16,336,200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3,654,576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3,592,172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53,716</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685,465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547,280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27,442,524</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27,108,922</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(6,915,437)</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(6,758,361)</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20,527,087</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20,350,561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80" w:hanging="310"/>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Note 4.</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w:t>
      </w:r>
    </w:p>
    <w:p>
      <w:pPr>
        <w:spacing w:after="0" w:line="10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January 8, 2024, the Company completed the acquisition of its joint venture partner’s 50% economic ownership interest in the joint venture that owns 901 New York Avenue, located in Washington, DC. At acquisition, the total net equity acquired was $20.0 million, which includes $10.0 million in cash that the Company paid for the joint venture partner's 50% economic ownership interest in the joint venture. The property is subject to existing mortgage indebtedness of approximately $207.1 million (See Note 6</w:t>
      </w:r>
      <w:r>
        <w:rPr>
          <w:rFonts w:ascii="Times New Roman" w:cs="Times New Roman" w:eastAsia="Times New Roman" w:hAnsi="Times New Roman"/>
          <w:sz w:val="18"/>
          <w:szCs w:val="18"/>
          <w:color w:val="auto"/>
        </w:rPr>
        <w:t>)</w:t>
      </w:r>
      <w:r>
        <w:rPr>
          <w:rFonts w:ascii="Arial" w:cs="Arial" w:eastAsia="Arial" w:hAnsi="Arial"/>
          <w:sz w:val="18"/>
          <w:szCs w:val="18"/>
          <w:color w:val="auto"/>
        </w:rPr>
        <w:t>. The acquisition resulted in the Company recording a gain upon consolidation of approximately $21.8 million, which is the difference between the fair value of the previously held equity method investment immediately prior to the consolidation of $10.0 million, less the Company’s costs basis of approximately</w:t>
      </w:r>
    </w:p>
    <w:p>
      <w:pPr>
        <w:spacing w:after="0" w:line="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$(11.8) million. The gain on consolidation is included within income (loss) from unconsolidated joint ventures in the Consolidated Statement of Operations.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80" w:firstLine="405"/>
        <w:spacing w:after="0" w:line="262" w:lineRule="auto"/>
        <w:rPr>
          <w:sz w:val="20"/>
          <w:szCs w:val="20"/>
          <w:color w:val="auto"/>
        </w:rPr>
      </w:pPr>
      <w:r>
        <w:rPr>
          <w:rFonts w:ascii="Arial" w:cs="Arial" w:eastAsia="Arial" w:hAnsi="Arial"/>
          <w:sz w:val="18"/>
          <w:szCs w:val="18"/>
          <w:color w:val="auto"/>
        </w:rPr>
        <w:t>The total net assets acquired is equal to (1) the total net equity acquired of $ 20.0 million, which includes $10.0 million in cash that the Company paid for the joint venture partner's 50% economic ownership interest in the joint venture. plus (2) $207.1 million of debt assumed, less (3) net working capital acquired of approximately $ 7.1 million. The following table summarizes the allocation of the fair value of the net assets the Company received at the date of acquisition for 901 New York Avenue (in thousands):</w:t>
      </w:r>
    </w:p>
    <w:p>
      <w:pPr>
        <w:sectPr>
          <w:pgSz w:w="11900" w:h="16838" w:orient="portrait"/>
          <w:cols w:equalWidth="0" w:num="1">
            <w:col w:w="11240"/>
          </w:cols>
          <w:pgMar w:left="320" w:top="283" w:right="3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Land and site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 improvements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In-place lease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Above-market lease intangibles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Below-market lease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Mortgage note payable adjustment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65,808</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56,882</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16,088</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72,621</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35"/>
        </w:trPr>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220,015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283" w:right="339" w:bottom="1440" w:gutter="0" w:footer="0" w:header="0"/>
          <w:type w:val="continuous"/>
        </w:sectPr>
      </w:pPr>
    </w:p>
    <w:p>
      <w:pPr>
        <w:spacing w:after="0" w:line="119" w:lineRule="exact"/>
        <w:rPr>
          <w:sz w:val="20"/>
          <w:szCs w:val="20"/>
          <w:color w:val="auto"/>
        </w:rPr>
      </w:pPr>
    </w:p>
    <w:p>
      <w:pPr>
        <w:jc w:val="both"/>
        <w:ind w:right="80" w:firstLine="441"/>
        <w:spacing w:after="0" w:line="268" w:lineRule="auto"/>
        <w:rPr>
          <w:sz w:val="20"/>
          <w:szCs w:val="20"/>
          <w:color w:val="auto"/>
        </w:rPr>
      </w:pPr>
      <w:r>
        <w:rPr>
          <w:rFonts w:ascii="Arial" w:cs="Arial" w:eastAsia="Arial" w:hAnsi="Arial"/>
          <w:sz w:val="18"/>
          <w:szCs w:val="18"/>
          <w:color w:val="auto"/>
        </w:rPr>
        <w:t>The following table summarizes the estimated annual amortization of the acquired in-place lease intangibles, and the acquired above-and below-market lease intangibles for 901 New York Avenue for the remainder of 2024 and each of the next five succeeding fiscal years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Acquired In-Place Lease</w:t>
            </w:r>
          </w:p>
        </w:tc>
        <w:tc>
          <w:tcPr>
            <w:tcW w:w="2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Acquired Above-Market Lease</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Acquired Below-Market Lease</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Intangibles</w:t>
            </w:r>
          </w:p>
        </w:tc>
        <w:tc>
          <w:tcPr>
            <w:tcW w:w="42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Intangibles</w:t>
            </w:r>
          </w:p>
        </w:tc>
        <w:tc>
          <w:tcPr>
            <w:tcW w:w="400" w:type="dxa"/>
            <w:vAlign w:val="bottom"/>
          </w:tcPr>
          <w:p>
            <w:pPr>
              <w:spacing w:after="0"/>
              <w:rPr>
                <w:sz w:val="16"/>
                <w:szCs w:val="16"/>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4"/>
        </w:trPr>
        <w:tc>
          <w:tcPr>
            <w:tcW w:w="47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Period from January 8, 2024 through December 31,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vMerge w:val="restart"/>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vMerge w:val="continue"/>
            <w:shd w:val="clear" w:color="auto" w:fill="CCEEFF"/>
          </w:tcPr>
          <w:p>
            <w:pPr>
              <w:spacing w:after="0"/>
              <w:rPr>
                <w:sz w:val="20"/>
                <w:szCs w:val="20"/>
                <w:color w:val="auto"/>
              </w:rPr>
            </w:pPr>
          </w:p>
        </w:tc>
        <w:tc>
          <w:tcPr>
            <w:tcW w:w="18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9,030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6,265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6,076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441"/>
        <w:spacing w:after="0" w:line="287" w:lineRule="auto"/>
        <w:rPr>
          <w:sz w:val="20"/>
          <w:szCs w:val="20"/>
          <w:color w:val="auto"/>
        </w:rPr>
      </w:pPr>
      <w:r>
        <w:rPr>
          <w:rFonts w:ascii="Arial" w:cs="Arial" w:eastAsia="Arial" w:hAnsi="Arial"/>
          <w:sz w:val="18"/>
          <w:szCs w:val="18"/>
          <w:color w:val="auto"/>
        </w:rPr>
        <w:t>The following table summarizes the weighted-average useful life of the acquired in-place lease intangibles and the acquired above- and below-market lease intangibles for 901 New York Avenue as of the acquisition date (in years):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Acquired In-Place Lease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Acquired Above-Market Lease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Acquired Below-Market Lease</w:t>
            </w:r>
          </w:p>
        </w:tc>
      </w:tr>
      <w:tr>
        <w:trPr>
          <w:trHeight w:val="189"/>
        </w:trPr>
        <w:tc>
          <w:tcPr>
            <w:tcW w:w="4720" w:type="dxa"/>
            <w:vAlign w:val="bottom"/>
          </w:tcPr>
          <w:p>
            <w:pPr>
              <w:spacing w:after="0"/>
              <w:rPr>
                <w:sz w:val="16"/>
                <w:szCs w:val="16"/>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Intangibles</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Intangibles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Intangibles</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bl>
    <w:p>
      <w:pPr>
        <w:spacing w:after="0" w:line="319" w:lineRule="exact"/>
        <w:rPr>
          <w:sz w:val="20"/>
          <w:szCs w:val="20"/>
          <w:color w:val="auto"/>
        </w:rPr>
      </w:pPr>
    </w:p>
    <w:p>
      <w:pPr>
        <w:ind w:right="20" w:firstLine="441"/>
        <w:spacing w:after="0" w:line="268" w:lineRule="auto"/>
        <w:rPr>
          <w:sz w:val="20"/>
          <w:szCs w:val="20"/>
          <w:color w:val="auto"/>
        </w:rPr>
      </w:pPr>
      <w:r>
        <w:rPr>
          <w:rFonts w:ascii="Arial" w:cs="Arial" w:eastAsia="Arial" w:hAnsi="Arial"/>
          <w:sz w:val="18"/>
          <w:szCs w:val="18"/>
          <w:color w:val="auto"/>
        </w:rPr>
        <w:t>901 New York Avenue contributed approximately $ 7.9 million of revenue and $2.3 million of net loss to the Company for the period from January 8, 2024 through March 31, 2024. 901 New York Avenue is a premier workplace consisting of approximately 524,000 net rentable square feet.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w:t>
      </w:r>
    </w:p>
    <w:p>
      <w:pPr>
        <w:spacing w:after="0" w:line="88" w:lineRule="exact"/>
        <w:rPr>
          <w:sz w:val="20"/>
          <w:szCs w:val="20"/>
          <w:color w:val="auto"/>
        </w:rPr>
      </w:pPr>
    </w:p>
    <w:p>
      <w:pPr>
        <w:ind w:right="360" w:firstLine="441"/>
        <w:spacing w:after="0" w:line="268" w:lineRule="auto"/>
        <w:rPr>
          <w:sz w:val="20"/>
          <w:szCs w:val="20"/>
          <w:color w:val="auto"/>
        </w:rPr>
      </w:pPr>
      <w:r>
        <w:rPr>
          <w:rFonts w:ascii="Arial" w:cs="Arial" w:eastAsia="Arial" w:hAnsi="Arial"/>
          <w:sz w:val="18"/>
          <w:szCs w:val="18"/>
          <w:color w:val="auto"/>
        </w:rPr>
        <w:t>On February 12, 2024, the Company commenced the development of a residential project at 121 Broadway Street in Cambridge, Massachusetts that is adjacent to its development projects at 290 Binney Street and 300 Binney Street. 121 Broadway will consist of 439 residential units aggregating approximately 492,000 net rentable square feet.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w:t>
      </w:r>
    </w:p>
    <w:p>
      <w:pPr>
        <w:spacing w:after="0" w:line="102" w:lineRule="exact"/>
        <w:rPr>
          <w:sz w:val="20"/>
          <w:szCs w:val="20"/>
          <w:color w:val="auto"/>
        </w:rPr>
      </w:pPr>
    </w:p>
    <w:p>
      <w:pPr>
        <w:ind w:right="400" w:firstLine="441"/>
        <w:spacing w:after="0" w:line="262" w:lineRule="auto"/>
        <w:rPr>
          <w:sz w:val="20"/>
          <w:szCs w:val="20"/>
          <w:color w:val="auto"/>
        </w:rPr>
      </w:pPr>
      <w:r>
        <w:rPr>
          <w:rFonts w:ascii="Arial" w:cs="Arial" w:eastAsia="Arial" w:hAnsi="Arial"/>
          <w:sz w:val="18"/>
          <w:szCs w:val="18"/>
          <w:color w:val="auto"/>
        </w:rPr>
        <w:t>At March 31, 2024, the Company evaluated the expected hold period for a portion of its Shady Grove property located in Rockville, Maryland. Based on a shorter-than-expected hold period, the Company reduced the carrying value of a portion of the property that the Company anticipates selling to a third party developer to its estimated fair value at March 31, 2024. As a result, each of BXP and BPLP recognized an impairment loss of approximately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$13.6 million. The Company’s estimated fair value was based on Level 3 inputs as defined in ASC 820 and on a pending offer from a third party.</w:t>
      </w:r>
    </w:p>
    <w:p>
      <w:pPr>
        <w:spacing w:after="0" w:line="180" w:lineRule="exact"/>
        <w:rPr>
          <w:sz w:val="20"/>
          <w:szCs w:val="20"/>
          <w:color w:val="auto"/>
        </w:rPr>
      </w:pPr>
    </w:p>
    <w:p>
      <w:pPr>
        <w:jc w:val="both"/>
        <w:ind w:left="220" w:right="10420" w:hanging="212"/>
        <w:spacing w:after="0" w:line="422" w:lineRule="auto"/>
        <w:tabs>
          <w:tab w:leader="none" w:pos="218"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Lessor</w:t>
      </w:r>
    </w:p>
    <w:p>
      <w:pPr>
        <w:spacing w:after="0" w:line="1"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following table summarizes the components of lease revenue recognized under the Company’s operating and sales-type leases for the three months ended March 31, 2024 and 2023 and included within the Company's Consolidated Statements of Operations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Revenue</w:t>
            </w:r>
          </w:p>
        </w:tc>
        <w:tc>
          <w:tcPr>
            <w:tcW w:w="340" w:type="dxa"/>
            <w:vAlign w:val="bottom"/>
          </w:tcPr>
          <w:p>
            <w:pPr>
              <w:spacing w:after="0"/>
              <w:rPr>
                <w:sz w:val="18"/>
                <w:szCs w:val="18"/>
                <w:color w:val="auto"/>
              </w:rPr>
            </w:pPr>
          </w:p>
        </w:tc>
        <w:tc>
          <w:tcPr>
            <w:tcW w:w="1320" w:type="dxa"/>
            <w:vAlign w:val="bottom"/>
          </w:tcPr>
          <w:p>
            <w:pPr>
              <w:jc w:val="right"/>
              <w:ind w:right="573"/>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2023</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contractual payments</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648,890</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621,646</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Variable lease payments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139,458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135,003</w:t>
            </w: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 revenue</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3"/>
        </w:trPr>
        <w:tc>
          <w:tcPr>
            <w:tcW w:w="7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788,590</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756,875</w:t>
            </w: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Lessee</w:t>
      </w:r>
    </w:p>
    <w:p>
      <w:pPr>
        <w:spacing w:after="0" w:line="102"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On March 28, 2024, the Company entered into a 90-year air rights lease with the Massachusetts Department of Transportation for an approximately 61,000 square feet site at the parking garage located at 100 Clarendon Street and the concourse level of the Massachusetts Bay Transportation Authority’s Back Bay Station (the “Station”). The lease requires annual base rental payments of $ 250,000 until the commencement of construction, as defined in the lease. If the Company commences construction of a project on the site on or before August 1, 2028, then a final fixed rental payment is due in accordance with the lease at that time. After August 1, 2028, if the Company commences construction of a project on the site, then a final rental payment based on the then current fair market value will be due at that time. In addition, the lease requires annual payments of $500,000 through 2033 to fund maintenance and improvements to the Station. The Company has assumed that it will begin construction on the site on or before August 1, 2028. The incremental borrowing rate for this lease is 6.57% per annum. The net present value of the ground lease payments is approximately $23.2 million. The Company classifies this lease as an operating lease. As a result, the Company recorded a Right of Use Assets – Operating Leases and Lease Liabilities – Operating Leases of approximately $ 23.9 million and $23.2 million, respectively, on its Consolidated Balance Sheets as of March 31, 2024. There were no lease costs for the period from March 28, 2024 through March 31, 2024.</w:t>
      </w:r>
    </w:p>
    <w:p>
      <w:pPr>
        <w:spacing w:after="0" w:line="136" w:lineRule="exact"/>
        <w:rPr>
          <w:sz w:val="20"/>
          <w:szCs w:val="20"/>
          <w:color w:val="auto"/>
        </w:rPr>
      </w:pPr>
    </w:p>
    <w:p>
      <w:pPr>
        <w:ind w:right="3140" w:firstLine="445"/>
        <w:spacing w:after="0" w:line="287" w:lineRule="auto"/>
        <w:rPr>
          <w:sz w:val="20"/>
          <w:szCs w:val="20"/>
          <w:color w:val="auto"/>
        </w:rPr>
      </w:pPr>
      <w:r>
        <w:rPr>
          <w:rFonts w:ascii="Arial" w:cs="Arial" w:eastAsia="Arial" w:hAnsi="Arial"/>
          <w:sz w:val="18"/>
          <w:szCs w:val="18"/>
          <w:color w:val="auto"/>
        </w:rPr>
        <w:t>The following table provides a maturity analysis for the air rights operating lease as of March 28, 2024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Operating</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 from March 28, 2024 through December 31, 2024</w:t>
            </w:r>
          </w:p>
        </w:tc>
        <w:tc>
          <w:tcPr>
            <w:tcW w:w="40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2025</w:t>
            </w:r>
          </w:p>
        </w:tc>
        <w:tc>
          <w:tcPr>
            <w:tcW w:w="4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2027</w:t>
            </w:r>
          </w:p>
        </w:tc>
        <w:tc>
          <w:tcPr>
            <w:tcW w:w="4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2029</w:t>
            </w:r>
          </w:p>
        </w:tc>
        <w:tc>
          <w:tcPr>
            <w:tcW w:w="4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30,576</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portion</w:t>
            </w:r>
          </w:p>
        </w:tc>
        <w:tc>
          <w:tcPr>
            <w:tcW w:w="40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40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060" w:type="dxa"/>
            <w:vAlign w:val="bottom"/>
            <w:vMerge w:val="restart"/>
          </w:tcPr>
          <w:p>
            <w:pPr>
              <w:jc w:val="right"/>
              <w:ind w:right="3290"/>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50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4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Joint Ventures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investments in unconsolidated joint ventures consist of the following at March 31,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31"/>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56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Nominal %</w:t>
            </w:r>
          </w:p>
        </w:tc>
        <w:tc>
          <w:tcPr>
            <w:tcW w:w="16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2024</w:t>
            </w:r>
          </w:p>
        </w:tc>
        <w:tc>
          <w:tcPr>
            <w:tcW w:w="14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901 New York,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901 New York Avenue</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25.00 % (2)</w:t>
            </w:r>
          </w:p>
        </w:tc>
        <w:tc>
          <w:tcPr>
            <w:tcW w:w="16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(11,764)</w:t>
            </w:r>
          </w:p>
        </w:tc>
        <w:tc>
          <w:tcPr>
            <w:tcW w:w="0" w:type="dxa"/>
            <w:vAlign w:val="bottom"/>
          </w:tcPr>
          <w:p>
            <w:pPr>
              <w:spacing w:after="0"/>
              <w:rPr>
                <w:sz w:val="1"/>
                <w:szCs w:val="1"/>
                <w:color w:val="auto"/>
              </w:rPr>
            </w:pPr>
          </w:p>
        </w:tc>
      </w:tr>
      <w:tr>
        <w:trPr>
          <w:trHeight w:val="163"/>
        </w:trPr>
        <w:tc>
          <w:tcPr>
            <w:tcW w:w="33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WP Project Developer LLC</w:t>
            </w:r>
          </w:p>
        </w:tc>
        <w:tc>
          <w:tcPr>
            <w:tcW w:w="30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Wisconsin Place Land and</w:t>
            </w:r>
          </w:p>
        </w:tc>
        <w:tc>
          <w:tcPr>
            <w:tcW w:w="156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33.33 % (3)</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30,221</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30,375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Infrastructure</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500 North Capitol Venture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500 North Capitol Street, NW</w:t>
            </w:r>
          </w:p>
        </w:tc>
        <w:tc>
          <w:tcPr>
            <w:tcW w:w="1180" w:type="dxa"/>
            <w:vAlign w:val="bottom"/>
          </w:tcPr>
          <w:p>
            <w:pPr>
              <w:jc w:val="right"/>
              <w:spacing w:after="0"/>
              <w:rPr>
                <w:sz w:val="20"/>
                <w:szCs w:val="20"/>
                <w:color w:val="auto"/>
              </w:rPr>
            </w:pPr>
            <w:r>
              <w:rPr>
                <w:rFonts w:ascii="Arial" w:cs="Arial" w:eastAsia="Arial" w:hAnsi="Arial"/>
                <w:sz w:val="16"/>
                <w:szCs w:val="16"/>
                <w:color w:val="auto"/>
              </w:rPr>
              <w:t>30.00 %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(10,773)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501 K Street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1001 6th Street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Podium Developer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The Hub on Causeway - Podium</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45,068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45,201</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Tower Developer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Hub50House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40,235</w:t>
            </w:r>
          </w:p>
        </w:tc>
        <w:tc>
          <w:tcPr>
            <w:tcW w:w="0" w:type="dxa"/>
            <w:vAlign w:val="bottom"/>
          </w:tcPr>
          <w:p>
            <w:pPr>
              <w:spacing w:after="0"/>
              <w:rPr>
                <w:sz w:val="1"/>
                <w:szCs w:val="1"/>
                <w:color w:val="auto"/>
              </w:rPr>
            </w:pPr>
          </w:p>
        </w:tc>
      </w:tr>
      <w:tr>
        <w:trPr>
          <w:trHeight w:val="162"/>
        </w:trPr>
        <w:tc>
          <w:tcPr>
            <w:tcW w:w="33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Hotel Tower Developer LLC</w:t>
            </w:r>
          </w:p>
        </w:tc>
        <w:tc>
          <w:tcPr>
            <w:tcW w:w="3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The Hub on Causeway - Hotel Air</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50.00 %</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6"/>
                <w:szCs w:val="16"/>
                <w:color w:val="auto"/>
              </w:rPr>
              <w:t>13,680</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13,494</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Rights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 Tower Developer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Causeway Street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57,660</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1265 Main Office JV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1265 Main Street</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BNY Tower Holdings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50.00 % (4)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CA-Colorado Center,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235,143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237,815</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BP-M 3HB Venture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3 Hudson Boulevard</w:t>
            </w:r>
          </w:p>
        </w:tc>
        <w:tc>
          <w:tcPr>
            <w:tcW w:w="1180" w:type="dxa"/>
            <w:vAlign w:val="bottom"/>
          </w:tcPr>
          <w:p>
            <w:pPr>
              <w:jc w:val="right"/>
              <w:spacing w:after="0"/>
              <w:rPr>
                <w:sz w:val="20"/>
                <w:szCs w:val="20"/>
                <w:color w:val="auto"/>
              </w:rPr>
            </w:pPr>
            <w:r>
              <w:rPr>
                <w:rFonts w:ascii="Arial" w:cs="Arial" w:eastAsia="Arial" w:hAnsi="Arial"/>
                <w:sz w:val="16"/>
                <w:szCs w:val="16"/>
                <w:color w:val="auto"/>
              </w:rPr>
              <w:t>25.00 %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114,331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115,103</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Platform 16 Holdings LP</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Platform 16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Gateway Portfolio Holdings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Gateway Commons</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385,568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376,834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Rosecrans-Sepulveda Partners 4,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Beach Cities Media Campus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Safeco Plaza REIT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Safeco Plaza</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33.67 % (5)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43,860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44,734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360 PAS Holdco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360 Park Avenue South</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71.11 % (6)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42,988</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PR II/BXP Reston Gateway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Skymark - Reston Next Residential</w:t>
            </w:r>
          </w:p>
        </w:tc>
        <w:tc>
          <w:tcPr>
            <w:tcW w:w="1180" w:type="dxa"/>
            <w:vAlign w:val="bottom"/>
          </w:tcPr>
          <w:p>
            <w:pPr>
              <w:jc w:val="right"/>
              <w:spacing w:after="0"/>
              <w:rPr>
                <w:sz w:val="20"/>
                <w:szCs w:val="20"/>
                <w:color w:val="auto"/>
              </w:rPr>
            </w:pPr>
            <w:r>
              <w:rPr>
                <w:rFonts w:ascii="Arial" w:cs="Arial" w:eastAsia="Arial" w:hAnsi="Arial"/>
                <w:sz w:val="16"/>
                <w:szCs w:val="16"/>
                <w:color w:val="auto"/>
              </w:rPr>
              <w:t>20.00 %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15,323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15,184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751 Gateway Holdings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751 Gateway</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49.00 %</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93,411</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200 Fifth Avenue JV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200 Fifth Avenue</w:t>
            </w:r>
          </w:p>
        </w:tc>
        <w:tc>
          <w:tcPr>
            <w:tcW w:w="1180" w:type="dxa"/>
            <w:vAlign w:val="bottom"/>
          </w:tcPr>
          <w:p>
            <w:pPr>
              <w:jc w:val="right"/>
              <w:spacing w:after="0"/>
              <w:rPr>
                <w:sz w:val="20"/>
                <w:szCs w:val="20"/>
                <w:color w:val="auto"/>
              </w:rPr>
            </w:pPr>
            <w:r>
              <w:rPr>
                <w:rFonts w:ascii="Arial" w:cs="Arial" w:eastAsia="Arial" w:hAnsi="Arial"/>
                <w:sz w:val="16"/>
                <w:szCs w:val="16"/>
                <w:color w:val="auto"/>
              </w:rPr>
              <w:t>26.69 %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76,728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75,718</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ABXP Worldgate Investments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13100 and 13150 Worldgate Drive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18,079</w:t>
            </w: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1,370,447</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1,337,416</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100" w:hanging="330"/>
        <w:spacing w:after="0" w:line="255"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$29.4 million and $39.9 million at March 31, 2024 and December 31, 2023, respectively, are included within Other Liabilities in the Company’s Consolidated Balance Sheets.</w:t>
      </w:r>
    </w:p>
    <w:p>
      <w:pPr>
        <w:ind w:left="500" w:right="60" w:hanging="330"/>
        <w:spacing w:after="0" w:line="252"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December 31, 2023, the Company’s economic ownership was approximately 50%. On January 8, 2024, the Company completed the acquisition of its joint venture partner’s 50% economic ownership interest for a gross purchase price of $10.0 million, as described in Note 3 and this Note 5.</w:t>
      </w:r>
    </w:p>
    <w:p>
      <w:pPr>
        <w:spacing w:after="0" w:line="1" w:lineRule="exact"/>
        <w:rPr>
          <w:rFonts w:ascii="Arial" w:cs="Arial" w:eastAsia="Arial" w:hAnsi="Arial"/>
          <w:sz w:val="16"/>
          <w:szCs w:val="16"/>
          <w:color w:val="auto"/>
        </w:rPr>
      </w:pPr>
    </w:p>
    <w:p>
      <w:pPr>
        <w:ind w:left="500" w:right="100" w:hanging="330"/>
        <w:spacing w:after="0" w:line="255"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33.33% interest in the joint venture entity that owns the land, parking garage and infrastructure of the project.</w:t>
      </w:r>
    </w:p>
    <w:p>
      <w:pPr>
        <w:ind w:left="480" w:hanging="310"/>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property includes net equity balances from the amenity joint venture.</w:t>
      </w:r>
    </w:p>
    <w:p>
      <w:pPr>
        <w:spacing w:after="0" w:line="8" w:lineRule="exact"/>
        <w:rPr>
          <w:rFonts w:ascii="Arial" w:cs="Arial" w:eastAsia="Arial" w:hAnsi="Arial"/>
          <w:sz w:val="16"/>
          <w:szCs w:val="16"/>
          <w:color w:val="auto"/>
        </w:rPr>
      </w:pPr>
    </w:p>
    <w:p>
      <w:pPr>
        <w:ind w:left="500" w:right="40" w:hanging="330"/>
        <w:spacing w:after="0" w:line="252"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Company’s ownership includes (1) a 33.0% direct interest in the joint venture, and (2) an additional 1% interest in each of the two entities through which each partner owns its interest in the joint venture.</w:t>
      </w:r>
    </w:p>
    <w:p>
      <w:pPr>
        <w:spacing w:after="0" w:line="1" w:lineRule="exact"/>
        <w:rPr>
          <w:rFonts w:ascii="Arial" w:cs="Arial" w:eastAsia="Arial" w:hAnsi="Arial"/>
          <w:sz w:val="16"/>
          <w:szCs w:val="16"/>
          <w:color w:val="auto"/>
        </w:rPr>
      </w:pPr>
    </w:p>
    <w:p>
      <w:pPr>
        <w:ind w:left="500" w:right="220" w:hanging="330"/>
        <w:spacing w:after="0" w:line="270"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Company’s ownership includes (1) a 35.79% direct interest in the joint venture, (2) an additional 35.02% indirect ownership in the joint venture, and (3) an additional 1% interest in the entity through which the partner owns its interest in the joint venture.</w:t>
      </w:r>
    </w:p>
    <w:p>
      <w:pPr>
        <w:spacing w:after="0" w:line="231" w:lineRule="exact"/>
        <w:rPr>
          <w:sz w:val="20"/>
          <w:szCs w:val="20"/>
          <w:color w:val="auto"/>
        </w:rPr>
      </w:pPr>
    </w:p>
    <w:p>
      <w:pPr>
        <w:ind w:right="80" w:firstLine="445"/>
        <w:spacing w:after="0" w:line="291"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balance sheets of the Company’s unconsolidated joint ventures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4"/>
          </w:tcPr>
          <w:p>
            <w:pPr>
              <w:jc w:val="right"/>
              <w:ind w:right="13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2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5,740,545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5,811,763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(2)</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619,559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682,291</w:t>
            </w:r>
          </w:p>
        </w:tc>
        <w:tc>
          <w:tcPr>
            <w:tcW w:w="0" w:type="dxa"/>
            <w:vAlign w:val="bottom"/>
          </w:tcPr>
          <w:p>
            <w:pPr>
              <w:spacing w:after="0"/>
              <w:rPr>
                <w:sz w:val="1"/>
                <w:szCs w:val="1"/>
                <w:color w:val="auto"/>
              </w:rPr>
            </w:pPr>
          </w:p>
        </w:tc>
      </w:tr>
      <w:tr>
        <w:trPr>
          <w:trHeight w:val="209"/>
        </w:trPr>
        <w:tc>
          <w:tcPr>
            <w:tcW w:w="72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6,360,104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6,494,054</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20" w:type="dxa"/>
            <w:vAlign w:val="bottom"/>
            <w:shd w:val="clear" w:color="auto" w:fill="CCEEFF"/>
          </w:tcPr>
          <w:p>
            <w:pPr>
              <w:ind w:left="1680"/>
              <w:spacing w:after="0"/>
              <w:rPr>
                <w:sz w:val="20"/>
                <w:szCs w:val="20"/>
                <w:color w:val="auto"/>
              </w:rPr>
            </w:pPr>
            <w:r>
              <w:rPr>
                <w:rFonts w:ascii="Arial" w:cs="Arial" w:eastAsia="Arial" w:hAnsi="Arial"/>
                <w:sz w:val="16"/>
                <w:szCs w:val="16"/>
                <w:b w:val="1"/>
                <w:bCs w:val="1"/>
                <w:color w:val="auto"/>
              </w:rPr>
              <w:t>LIABILITIES AND MEMBERS’/PARTNERS’ EQUITY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3,162,545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3,351,873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(3)</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361,357</w:t>
            </w:r>
          </w:p>
        </w:tc>
        <w:tc>
          <w:tcPr>
            <w:tcW w:w="0" w:type="dxa"/>
            <w:vAlign w:val="bottom"/>
          </w:tcPr>
          <w:p>
            <w:pPr>
              <w:spacing w:after="0"/>
              <w:rPr>
                <w:sz w:val="1"/>
                <w:szCs w:val="1"/>
                <w:color w:val="auto"/>
              </w:rPr>
            </w:pPr>
          </w:p>
        </w:tc>
      </w:tr>
      <w:tr>
        <w:trPr>
          <w:trHeight w:val="21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2,878,851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2,780,824</w:t>
            </w:r>
          </w:p>
        </w:tc>
        <w:tc>
          <w:tcPr>
            <w:tcW w:w="0" w:type="dxa"/>
            <w:vAlign w:val="bottom"/>
          </w:tcPr>
          <w:p>
            <w:pPr>
              <w:spacing w:after="0"/>
              <w:rPr>
                <w:sz w:val="1"/>
                <w:szCs w:val="1"/>
                <w:color w:val="auto"/>
              </w:rPr>
            </w:pPr>
          </w:p>
        </w:tc>
      </w:tr>
      <w:tr>
        <w:trPr>
          <w:trHeight w:val="235"/>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members’/partners’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6,360,104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6,494,054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2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1,313,484</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1,278,483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(4)</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58,933</w:t>
            </w:r>
          </w:p>
        </w:tc>
        <w:tc>
          <w:tcPr>
            <w:tcW w:w="0" w:type="dxa"/>
            <w:vAlign w:val="bottom"/>
          </w:tcPr>
          <w:p>
            <w:pPr>
              <w:spacing w:after="0"/>
              <w:rPr>
                <w:sz w:val="1"/>
                <w:szCs w:val="1"/>
                <w:color w:val="auto"/>
              </w:rPr>
            </w:pPr>
          </w:p>
        </w:tc>
      </w:tr>
      <w:tr>
        <w:trPr>
          <w:trHeight w:val="209"/>
        </w:trPr>
        <w:tc>
          <w:tcPr>
            <w:tcW w:w="722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1,370,447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1,337,416</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460" w:hanging="330"/>
        <w:spacing w:after="0" w:line="255"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March 31, 2024 and December 31, 2023, this amount included right of use assets - operating leases totaling approximately $19.8 million and $20.1 million, respectively.</w:t>
      </w:r>
    </w:p>
    <w:p>
      <w:pPr>
        <w:ind w:left="500" w:right="840" w:hanging="330"/>
        <w:spacing w:after="0" w:line="252"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March 31, 2024 and December 31, 2023, this amount included sales-type lease receivable, net totaling approximately $14.0 million and $13.9 million, respectively.</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March 31, 2024 and December 31, 2023, this amount included lease liabilities - operating leases totaling approximately $30.5 million.</w:t>
      </w:r>
    </w:p>
    <w:p>
      <w:pPr>
        <w:spacing w:after="0" w:line="8" w:lineRule="exact"/>
        <w:rPr>
          <w:rFonts w:ascii="Arial" w:cs="Arial" w:eastAsia="Arial" w:hAnsi="Arial"/>
          <w:sz w:val="16"/>
          <w:szCs w:val="16"/>
          <w:color w:val="auto"/>
        </w:rPr>
      </w:pPr>
    </w:p>
    <w:p>
      <w:pPr>
        <w:ind w:left="500" w:right="60" w:hanging="330"/>
        <w:spacing w:after="0" w:line="260"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Property</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March 31, 2024</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760" w:type="dxa"/>
            <w:vAlign w:val="bottom"/>
            <w:gridSpan w:val="3"/>
          </w:tcPr>
          <w:p>
            <w:pPr>
              <w:jc w:val="right"/>
              <w:ind w:right="1359"/>
              <w:spacing w:after="0" w:line="142"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298,190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200 Fifth Avenue</w:t>
            </w:r>
          </w:p>
        </w:tc>
        <w:tc>
          <w:tcPr>
            <w:tcW w:w="22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56,193</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58,308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Gateway Commons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49,593</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Safeco Plaza</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(29,432)</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(29,678)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360 Park Avenue South</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(116,188)</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Dock 72</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(94,586)</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(95,521)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Platform 16</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(142,671)</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(143,052)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100" w:lineRule="exact"/>
        <w:rPr>
          <w:sz w:val="20"/>
          <w:szCs w:val="20"/>
          <w:color w:val="auto"/>
        </w:rPr>
      </w:pPr>
    </w:p>
    <w:p>
      <w:pPr>
        <w:ind w:left="500" w:right="80" w:hanging="330"/>
        <w:spacing w:after="0" w:line="286"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$29.4 million and $39.9 million at March 31, 2024 and December 31, 2023, respectively, are reflected within Other Liabilities in the Company’s Consolidated Balance Sheets.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statements of operations of the Company’s unconsolidated joint ventures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r>
      <w:tr>
        <w:trPr>
          <w:trHeight w:val="210"/>
        </w:trPr>
        <w:tc>
          <w:tcPr>
            <w:tcW w:w="7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130,392</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151,423</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49,194</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57,206</w:t>
            </w: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39,424</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49,978</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88,620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107,258</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(43,563)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(57,250)</w:t>
            </w:r>
          </w:p>
        </w:tc>
      </w:tr>
      <w:tr>
        <w:trPr>
          <w:trHeight w:val="229"/>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derivative instruments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w:t>
            </w:r>
          </w:p>
        </w:tc>
      </w:tr>
      <w:tr>
        <w:trPr>
          <w:trHeight w:val="223"/>
        </w:trPr>
        <w:tc>
          <w:tcPr>
            <w:tcW w:w="7740" w:type="dxa"/>
            <w:vAlign w:val="bottom"/>
          </w:tcPr>
          <w:p>
            <w:pPr>
              <w:ind w:left="68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Company’s share of 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(6,902)</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 consolidation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Basis differential (2)</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unconsolidated joint ventures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820" w:hanging="330"/>
        <w:spacing w:after="0" w:line="252"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$7.7 million and $6.3 million for the three months ended March 31, 2024 and 2023, respectively.</w:t>
      </w:r>
    </w:p>
    <w:p>
      <w:pPr>
        <w:spacing w:after="0" w:line="1" w:lineRule="exact"/>
        <w:rPr>
          <w:rFonts w:ascii="Arial" w:cs="Arial" w:eastAsia="Arial" w:hAnsi="Arial"/>
          <w:sz w:val="16"/>
          <w:szCs w:val="16"/>
          <w:color w:val="auto"/>
        </w:rPr>
      </w:pPr>
    </w:p>
    <w:p>
      <w:pPr>
        <w:ind w:left="500" w:right="300" w:hanging="330"/>
        <w:spacing w:after="0" w:line="256"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depreciation and amortization of approximately $2.9 million and $3.7 million for the three months ended March 31, 2024 and 2023, respectively. Includes unrealized gain (loss) on derivative instruments of approximately $2.7 million and $(2.8) million for the three months ended March 31, 2024 and 2023, respectively. Includes straight-line rent adjustments of approximately $0.3 million for the three months ended March 31, 2024 and 2023. Also includes net above-/below-market rent adjustments of approximately $0.2 million for the three months ended March 31, 2024 and 2023.</w:t>
      </w:r>
    </w:p>
    <w:p>
      <w:pPr>
        <w:spacing w:after="0" w:line="325" w:lineRule="exact"/>
        <w:rPr>
          <w:sz w:val="20"/>
          <w:szCs w:val="20"/>
          <w:color w:val="auto"/>
        </w:rPr>
      </w:pPr>
    </w:p>
    <w:p>
      <w:pPr>
        <w:ind w:right="920" w:firstLine="445"/>
        <w:spacing w:after="0" w:line="268" w:lineRule="auto"/>
        <w:rPr>
          <w:sz w:val="20"/>
          <w:szCs w:val="20"/>
          <w:color w:val="auto"/>
        </w:rPr>
      </w:pPr>
      <w:r>
        <w:rPr>
          <w:rFonts w:ascii="Arial" w:cs="Arial" w:eastAsia="Arial" w:hAnsi="Arial"/>
          <w:sz w:val="18"/>
          <w:szCs w:val="18"/>
          <w:color w:val="auto"/>
        </w:rPr>
        <w:t>On January 2, 2024, a joint venture in which the Company has a 50% interest partially placed in-service 651 Gateway, an approximately 327,000 net rentable square foot laboratory/life sciences project in South San Francisco, California. The property is approximately 21% pre-leased as of May 2, 2024.</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January 8, 2024, the Company acquired its joint venture partner’s 50% economic ownership interest in the joint venture that owns 901 New York Avenue, located in Washington, DC, for a gross purchase price of $10.0 million in cash (See Note 3). Prior to the acquisition, the Company had a 50% economic ownership interest in the joint venture and accounted for it under the equity method of accounting. The acquisition resulted in the Company having full ownership of the joint venture such that the Company now accounts for the assets, liabilities, and operations of it on a consolidated basis in its financial statements instead of under the equity method of accounting and as a result recognized a gain on consolidation of approximately $21.8 million.</w:t>
      </w:r>
    </w:p>
    <w:p>
      <w:pPr>
        <w:spacing w:after="0" w:line="128" w:lineRule="exact"/>
        <w:rPr>
          <w:sz w:val="20"/>
          <w:szCs w:val="20"/>
          <w:color w:val="auto"/>
        </w:rPr>
      </w:pPr>
    </w:p>
    <w:p>
      <w:pPr>
        <w:jc w:val="both"/>
        <w:ind w:right="140" w:firstLine="445"/>
        <w:spacing w:after="0" w:line="259" w:lineRule="auto"/>
        <w:rPr>
          <w:sz w:val="20"/>
          <w:szCs w:val="20"/>
          <w:color w:val="auto"/>
        </w:rPr>
      </w:pPr>
      <w:r>
        <w:rPr>
          <w:rFonts w:ascii="Arial" w:cs="Arial" w:eastAsia="Arial" w:hAnsi="Arial"/>
          <w:sz w:val="18"/>
          <w:szCs w:val="18"/>
          <w:color w:val="auto"/>
        </w:rPr>
        <w:t>On February 6, 2024, a joint venture in which the Company owns a 25% interest extended the maturity date of the loan collateralized by its 3 Hudson Boulevard property. The extended loan continues to bear interest at a variable rate equal to Term SOFR plus approximately 3.61% per annum and matures on May 9, 2024. At the time of the extension, the loan had an outstanding balance totaling $80.0 million and was scheduled to mature on February 9, 2024. 3 Hudson Boulevard consists of land and improvements held for future development located in New York, New York.</w:t>
      </w:r>
    </w:p>
    <w:p>
      <w:pPr>
        <w:spacing w:after="0" w:line="1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February 9, 2024, a joint venture in which the Company owns a 50% interest exercised an option to extend the maturity date of the construction loan collateralized by its 7750 Wisconsin Avenue property. The construction loan had a total commitment amount of approximately $252.6 million. The extended loan continues to bear interest at a variable rate equal to Term SOFR plus 1.35% per annum and matures on April 26, 2025. At the time of the extension, the loan had an outstanding balance totaling approximately $251.6 million and was scheduled to mature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on April 26, 2024. 7750 Wisconsin Avenue is a premier workplace with approximately 736,000 net rentable square feet located in Bethesda, Maryland.</w:t>
      </w:r>
    </w:p>
    <w:p>
      <w:pPr>
        <w:spacing w:after="0" w:line="193"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Mortgage Notes Payable</w:t>
      </w:r>
    </w:p>
    <w:p>
      <w:pPr>
        <w:spacing w:after="0" w:line="88"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On January 8, 2024, the Company acquired its joint venture partner’s 50% economic ownership interest in the joint venture that owns 901 New York Avenue located in Washington, DC (See Note 3). The property is subject to existing mortgage indebtedness. At acquisition, the mortgage loan had an outstanding principal balance of approximately $207.1 million, bore interest at 3.61% per annum and was scheduled to mature on January 5, 2025. The mortgage loan was recorded at a fair value of approximately $198.7 million. On January 11, 2024, the Company modified the mortgage loan to provide for two extension options totaling five years of additional term, each subject to certain conditions.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Senior Notes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unsecured senior notes outstanding as of March 31, 2024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Coupon/Stated Rate</w:t>
            </w: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Effective Rate(1)</w:t>
            </w:r>
          </w:p>
        </w:tc>
        <w:tc>
          <w:tcPr>
            <w:tcW w:w="14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17"/>
                <w:szCs w:val="17"/>
                <w:color w:val="auto"/>
              </w:rPr>
            </w:pPr>
          </w:p>
        </w:tc>
        <w:tc>
          <w:tcPr>
            <w:tcW w:w="2260" w:type="dxa"/>
            <w:vAlign w:val="bottom"/>
          </w:tcPr>
          <w:p>
            <w:pPr>
              <w:ind w:left="580"/>
              <w:spacing w:after="0"/>
              <w:rPr>
                <w:sz w:val="20"/>
                <w:szCs w:val="20"/>
                <w:color w:val="auto"/>
              </w:rPr>
            </w:pPr>
            <w:r>
              <w:rPr>
                <w:rFonts w:ascii="Arial" w:cs="Arial" w:eastAsia="Arial" w:hAnsi="Arial"/>
                <w:sz w:val="14"/>
                <w:szCs w:val="14"/>
                <w:b w:val="1"/>
                <w:bCs w:val="1"/>
                <w:color w:val="auto"/>
              </w:rPr>
              <w:t>Maturity Date(2)</w:t>
            </w: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 Year Unsecured Senior Notes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3.200 %</w:t>
            </w:r>
          </w:p>
        </w:tc>
        <w:tc>
          <w:tcPr>
            <w:tcW w:w="2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3.350 %</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15, 2025</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3.650 %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3.766 %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February 1, 2026</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2026</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6.750 %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6.924 %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December 1, 2027</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2028</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3.400 %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3.505 %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June 21, 2029</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2030</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10.75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3.250 %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3.343 %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January 30, 2031</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2032</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12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2.450 %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2.524 %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October 1, 2033</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6.619 %</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2034</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principal</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9,850,000</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Net unamortized discount</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12,611</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42,862</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9,794,527</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spacing w:after="0" w:line="14" w:lineRule="exact"/>
        <w:rPr>
          <w:rFonts w:ascii="Arial" w:cs="Arial" w:eastAsia="Arial" w:hAnsi="Arial"/>
          <w:sz w:val="16"/>
          <w:szCs w:val="16"/>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spacing w:after="0" w:line="35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February 1, 2024, BPLP repaid $700.0 million in aggregate principal amount of its 3.800% senior notes due February 1, 2024. The repayment was completed with available cash and the $600.0 million proceeds from the mortgage loan entered into on October 26, 2023. The repayment price was approximately $713.3 million, which was equal to the stated principal plus approximately $13.3 million of accrued and unpaid interest to, but not including, the repayment date. Excluding the accrued and unpaid interest, the repayment price was equal to the principal amount being repaid.</w:t>
      </w:r>
    </w:p>
    <w:p>
      <w:pPr>
        <w:spacing w:after="0" w:line="125"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March 31, 2024, BPLP was in compliance with each of these financial restrictions and requirements.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90" w:lineRule="exact"/>
        <w:rPr>
          <w:sz w:val="20"/>
          <w:szCs w:val="20"/>
          <w:color w:val="auto"/>
        </w:rPr>
      </w:pPr>
    </w:p>
    <w:p>
      <w:pPr>
        <w:ind w:right="380" w:firstLine="445"/>
        <w:spacing w:after="0" w:line="262" w:lineRule="auto"/>
        <w:rPr>
          <w:sz w:val="20"/>
          <w:szCs w:val="20"/>
          <w:color w:val="auto"/>
        </w:rPr>
      </w:pPr>
      <w:r>
        <w:rPr>
          <w:rFonts w:ascii="Arial" w:cs="Arial" w:eastAsia="Arial" w:hAnsi="Arial"/>
          <w:sz w:val="18"/>
          <w:szCs w:val="18"/>
          <w:color w:val="auto"/>
        </w:rPr>
        <w:t>BPLP’s agreements with the swap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March 31, 2024, the Company had not posted any collateral related to the agreements.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Hedge Instruments</w:t>
      </w:r>
    </w:p>
    <w:p>
      <w:pPr>
        <w:spacing w:after="0" w:line="10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BPLP assesses the effectiveness of its hedges both at inception and on an ongoing basis. If the hedges are deemed to be effective, the fair value is recorded in “Accumulated other comprehensive income (loss)” in the Company’s Consolidated Balance Sheets and is subsequently reclassified into “Interest expense” in the Company’s Consolidated Statements of Operations in the period that the hedged forecasted transactions affect earnings. BPLP’s derivative financial instruments are cash flow hedges that are designated as effective hedges, and are carried at their estimated fair value on a recurring basis (See Note 2). The Company did not incur any ineffectiveness during the three months ended March 31, 2024.</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BPLP’s and SMBP LLC’s interest rate swap contracts consisted of the following at March 31, 2024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5"/>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ind w:left="400"/>
              <w:spacing w:after="0"/>
              <w:rPr>
                <w:sz w:val="20"/>
                <w:szCs w:val="20"/>
                <w:color w:val="auto"/>
              </w:rPr>
            </w:pPr>
            <w:r>
              <w:rPr>
                <w:rFonts w:ascii="Arial" w:cs="Arial" w:eastAsia="Arial" w:hAnsi="Arial"/>
                <w:sz w:val="14"/>
                <w:szCs w:val="14"/>
                <w:b w:val="1"/>
                <w:bCs w:val="1"/>
                <w:color w:val="auto"/>
              </w:rPr>
              <w:t>Strike Rate Range</w:t>
            </w: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45"/>
              <w:spacing w:after="0" w:line="126" w:lineRule="exact"/>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8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Derivative Instrument</w:t>
            </w: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Effective Date</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Low</w:t>
            </w:r>
          </w:p>
        </w:tc>
        <w:tc>
          <w:tcPr>
            <w:tcW w:w="900" w:type="dxa"/>
            <w:vAlign w:val="bottom"/>
            <w:vMerge w:val="restart"/>
          </w:tcPr>
          <w:p>
            <w:pPr>
              <w:jc w:val="right"/>
              <w:ind w:right="225"/>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4"/>
                <w:szCs w:val="4"/>
                <w:color w:val="auto"/>
              </w:rPr>
            </w:pPr>
          </w:p>
        </w:tc>
        <w:tc>
          <w:tcPr>
            <w:tcW w:w="2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4"/>
                <w:szCs w:val="4"/>
                <w:color w:val="auto"/>
              </w:rPr>
            </w:pPr>
          </w:p>
        </w:tc>
        <w:tc>
          <w:tcPr>
            <w:tcW w:w="9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4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5"/>
                <w:szCs w:val="15"/>
                <w:b w:val="1"/>
                <w:bCs w:val="1"/>
                <w:color w:val="auto"/>
              </w:rPr>
              <w:t>BPLP:</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Prepaid expenses and other</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May 4, 2023</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May 16, 2024</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4.638 % —</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4.646 %</w:t>
            </w: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160"/>
              <w:spacing w:after="0" w:line="149" w:lineRule="exact"/>
              <w:rPr>
                <w:sz w:val="20"/>
                <w:szCs w:val="20"/>
                <w:color w:val="auto"/>
              </w:rPr>
            </w:pPr>
            <w:r>
              <w:rPr>
                <w:rFonts w:ascii="Arial" w:cs="Arial" w:eastAsia="Arial" w:hAnsi="Arial"/>
                <w:sz w:val="15"/>
                <w:szCs w:val="15"/>
                <w:color w:val="auto"/>
              </w:rPr>
              <w:t>December 15,</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Prepaid expenses and other</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gridSpan w:val="4"/>
          </w:tcPr>
          <w:p>
            <w:pPr>
              <w:spacing w:after="0"/>
              <w:rPr>
                <w:sz w:val="20"/>
                <w:szCs w:val="20"/>
                <w:color w:val="auto"/>
              </w:rPr>
            </w:pPr>
            <w:r>
              <w:rPr>
                <w:rFonts w:ascii="Arial" w:cs="Arial" w:eastAsia="Arial" w:hAnsi="Arial"/>
                <w:sz w:val="15"/>
                <w:szCs w:val="15"/>
                <w:color w:val="auto"/>
              </w:rPr>
              <w:t>Interest Rate Swaps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600,000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2023</w:t>
            </w: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5"/>
                <w:szCs w:val="15"/>
                <w:color w:val="auto"/>
              </w:rPr>
              <w:t>October 26, 2028</w:t>
            </w:r>
          </w:p>
        </w:tc>
        <w:tc>
          <w:tcPr>
            <w:tcW w:w="1140" w:type="dxa"/>
            <w:vAlign w:val="bottom"/>
            <w:tcBorders>
              <w:bottom w:val="single" w:sz="8" w:color="CCEEFF"/>
            </w:tcBorders>
            <w:gridSpan w:val="2"/>
          </w:tcPr>
          <w:p>
            <w:pPr>
              <w:ind w:left="300"/>
              <w:spacing w:after="0"/>
              <w:rPr>
                <w:sz w:val="20"/>
                <w:szCs w:val="20"/>
                <w:color w:val="auto"/>
              </w:rPr>
            </w:pPr>
            <w:r>
              <w:rPr>
                <w:rFonts w:ascii="Arial" w:cs="Arial" w:eastAsia="Arial" w:hAnsi="Arial"/>
                <w:sz w:val="15"/>
                <w:szCs w:val="15"/>
                <w:color w:val="auto"/>
              </w:rPr>
              <w:t>3.790 % —</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3.798 %</w:t>
            </w:r>
          </w:p>
        </w:tc>
        <w:tc>
          <w:tcPr>
            <w:tcW w:w="14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assets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1,800,000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SMBP LLC (1)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December 14,</w:t>
            </w: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Prepaid expenses and other</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Interest Rate Swaps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April 1, 2025</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2.661 % —</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2.688 %</w:t>
            </w: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assets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2,100,000</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12,298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A subsidiary of the Company that is the borrower under the mortgage loan collateralized by its Santa Monica Business Park property.</w:t>
      </w:r>
    </w:p>
    <w:p>
      <w:pPr>
        <w:spacing w:after="0" w:line="245"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following table presents the location in the financial statements of the gains or losses recognized related to the Company’s cash flow hedges for the three months ended March 31, 2024 and 2023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56"/>
        </w:trPr>
        <w:tc>
          <w:tcPr>
            <w:tcW w:w="81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Amount of gain (loss) related to the effective portion recognized in other comprehensive income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2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24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Amount of gain (loss) related to the effective portion subsequently reclassified to earnings (2)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3,360</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 of gain (loss) relate do the ineffective portion and amount excluded from effectiveness</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testing</w:t>
            </w:r>
          </w:p>
        </w:tc>
        <w:tc>
          <w:tcPr>
            <w:tcW w:w="240" w:type="dxa"/>
            <w:vAlign w:val="bottom"/>
            <w:vMerge w:val="continue"/>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the Company’s share of gain (loss) related to the effective portion of derivatives outstanding at its unconsolidated joint venture properties.</w:t>
      </w:r>
    </w:p>
    <w:p>
      <w:pPr>
        <w:spacing w:after="0" w:line="8"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amounts from previous interest rate programs.</w:t>
      </w:r>
    </w:p>
    <w:p>
      <w:pPr>
        <w:spacing w:after="0" w:line="241"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(loss) and equity.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Ineffective Hedging Instruments</w:t>
      </w:r>
    </w:p>
    <w:p>
      <w:pPr>
        <w:spacing w:after="0" w:line="8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During the year ended December 31, 2023, to satisfy a lender requirement, the Company entered into two agreements with the same third-party to purchase and sell a $600.0 million interest rate cap. The Company did not elect hedge accounting, and as such, any change in market value will be recognized in Gain (losses) from interest rate contracts in the Consolidated Statement of Operations. For the three months ended March 31, 2024 and 2023, the Company recognized no impact to its Consolidated Statement of Operations from entering into these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88" w:lineRule="exact"/>
        <w:rPr>
          <w:sz w:val="20"/>
          <w:szCs w:val="20"/>
          <w:color w:val="auto"/>
        </w:rPr>
      </w:pPr>
    </w:p>
    <w:p>
      <w:pPr>
        <w:ind w:right="260" w:firstLine="445"/>
        <w:spacing w:after="0" w:line="262" w:lineRule="auto"/>
        <w:rPr>
          <w:sz w:val="20"/>
          <w:szCs w:val="20"/>
          <w:color w:val="auto"/>
        </w:rPr>
      </w:pPr>
      <w:r>
        <w:rPr>
          <w:rFonts w:ascii="Arial" w:cs="Arial" w:eastAsia="Arial" w:hAnsi="Arial"/>
          <w:sz w:val="18"/>
          <w:szCs w:val="18"/>
          <w:color w:val="auto"/>
        </w:rPr>
        <w:t>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w:t>
      </w:r>
    </w:p>
    <w:p>
      <w:pPr>
        <w:spacing w:after="0" w:line="122"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Company had letter of credit and performance obligations related to lender and development requirements that total approximately $21.6 million at March 31, 2024.</w:t>
      </w:r>
    </w:p>
    <w:p>
      <w:pPr>
        <w:spacing w:after="0" w:line="99"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17"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w:t>
      </w:r>
    </w:p>
    <w:p>
      <w:pPr>
        <w:spacing w:after="0" w:line="12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March 31, 2024, the maximum funding obligation under the guarantee was approximately $8.5 million. The Company earns a fee from the joint venture for providing the guarantee and has an agreement with the outside partners to reimburse the joint venture for their share of any payments made under the guarantee. As of March 31, 2024, no amounts related to the guarantee were recorded as liabilities in the Company’s consolidated financial statements.</w:t>
      </w:r>
    </w:p>
    <w:p>
      <w:pPr>
        <w:spacing w:after="0" w:line="12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connection with the sale of Metropolitan Square, in which the Company had a 20% equity interest, the Company agreed to become a co-lender of up to $ 20.0 million under a mezzanine loan. The mezzanine loan has a maximum principal amount of $100.0 million, and it is subordinate only to an existing senior loan. The mezzanine loan may be drawn upon for future lease-up, operating and other costs on an as needed basis, and amounts borrowed will bear interest at a per annum rate of 12%, compounded monthly. As of March 31, 2024, the Company has funded approximately $2.2 million.</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102"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p>
    <w:p>
      <w:pPr>
        <w:spacing w:after="0" w:line="117"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 connection with the acquisition of a premier workplace in New York City in 2010, the Company entered into an agreement with the seller pursuant to which the seller could earn various fees based on the future leasing performance of the property. The Company initially accrued approximately $1.5 million as an estimate of the fees it would owe the seller. The seller filed suit against the Company claiming that consideration significantly in excess of the initial reserve amount is owed under the agreement in 2020. The disagreement between the Company and the</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seller involves material issues of contract interpretation and, more importantly, the method of calculating fees, including various inputs (both facts and assumptions) that drive the calculation. In February 2024, a summary judgment was issued interpreting certain sections of the agreement in favor of the seller’s claims. The Company believes it has meritorious defenses to the seller’s claims, is disputing the seller’s calculations and intends to continue defending itself vigorously. However, there can be no assurance that the Company will prevail in the lawsuit. If the court ultimately agrees with the seller’s calculations, then amounts due to the seller could theoretically be as high as the additional $31 million claimed in the seller’s complaint, plus interest. Although the Company rejects those calculations, there can be no assurance that the Company’s ultimate liability will not be significantly greater than its established accrual.</w:t>
      </w:r>
    </w:p>
    <w:p>
      <w:pPr>
        <w:spacing w:after="0" w:line="129"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On April 26, 2024, Brammer Bio MA, LLC (“Brammer”), a subsidiary of Thermo Fisher Scientific Inc. and an abutter to the Company’s 290 Binney Street development project located in Cambridge, Massachusetts, filed a complaint in Superior Court in Suffolk County, Massachusetts against the Company relating to certain ongoing construction activities.</w:t>
      </w:r>
    </w:p>
    <w:p>
      <w:pPr>
        <w:spacing w:after="0" w:line="117"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In the first quarter of 2023, the Company commenced development of 290 Binney Street, an approximately 566,000 net rentable square foot laboratory/life sciences property that is 100% pre-leased to AstraZeneca Pharmaceuticals (“AstraZeneca”). The Company has a 55% interest in the joint venture that owns 290 Binney Street. Brammer subleases the premises at 250 Binney Street, the Company’s approximately 67,000 net rentable square foot life sciences property that is adjacent to 290 Binney Street.</w:t>
      </w:r>
    </w:p>
    <w:p>
      <w:pPr>
        <w:spacing w:after="0" w:line="122"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Brammer alleges that, as a result of the Company’s construction of 290 Binney Street, it is threatened with irreparable harm due to intrusion onto the 250 Binney Street premises and the loss of its property rights. Brammer also alleges that the 290 Binney Street development project has caused and is causing major disruption to its manufacturing operations, and that it has suffered and will continue to suffer damages in the form of losses to its clients and customers. Brammer brought the action for quiet title, breach of contract, trespass and nuisance, and it is seeking declaratory and injunctive relief and specific performance purportedly to protect its property interests in the premises located at 250 Binney Street.</w:t>
      </w:r>
    </w:p>
    <w:p>
      <w:pPr>
        <w:spacing w:after="0" w:line="128"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The Company believes Brammer’s claims are without merit and intends to defend against them vigorously. However, there can be no assurance the Company will prevail in the litigation. If the Company is enjoined from further construction activities, it could suffer delays in construction that could result in its failure to deliver a completed building on the schedule contemplated by the Company’s lease with AstraZeneca or at all, and this could result in owing financial penalties to AstraZeneca and other third parties. Although the Company is unable to estimate a range of loss for all related matters for which losses are reasonably possible, if the court grants injunctive relief or awards monetary damages to Brammer, it could have a material adverse effect on the Company’s results of operations and financial condition.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 acts of terrorism other than nuclear, biological, chemical or radiological terrorism (“Terrorism Coverage”). The Company also carries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billion of property insurance in excess of the $1.0 billion of coverage in the Company’s property insurance program for 601 Lexington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Avenue, New York, New York, consisting of $750 million of property and Terrorism Coverage in excess of the Company’s property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and $600 million of Terrorism Coverage only in excess of the $1.75 billion of coverage. Certain properties, including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Motors Building located at 767 Fifth Avenue in New York, New York (“767 Fifth Avenue”), are currently insured in separate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programs. The property insurance program per occurrence limits for 767 Fifth Avenue are $1.625 billion, including Terrorism Coverage.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also currently carries nuclear, biological, chemical and radiological terrorism insurance coverage for acts of terrorism certified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Federal Terrorism Risk Insurance Act (as amended, “TRIA”) (“NBCR Coverage”), which is provided by IXP as a direct insurer,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properties in the Company’s portfolio, including 767 Fifth Avenue, but excluding certain other properties owned in joint ventures with third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parties or which the Company manages. The per occurrence limit for NBCR Coverage is $1.0 billion. Under TRIA, after the payment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required deductible and coinsurance, the NBCR Coverage provided by IXP is backstopped by the Federal Government if the aggregate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industry insured losses resulting from a certified act of terrorism exceed a “program trigger.” The program trigger is $200 million,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coinsurance is 20% and the deductible is 20% of the premiums earned by the insurer for the year prior to a claim. If the Federal Government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pays out for a loss under TRIA, it is mandatory that the Federal Government recoup the full amount of the loss from insurers offering 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coverage after the payment of the loss pursuant to a formula in TRIA. The Company may elect to terminate the NBCR Coverage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Government seeks recoupment for losses paid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under TRIA, if TRIA is not extended after its expiration on December 31, 2027, if there is a change in its portfolio or for any other reason. The Company intends to continue to monitor the scope, nature and cost of available terrorism insurance.</w:t>
      </w:r>
    </w:p>
    <w:p>
      <w:pPr>
        <w:spacing w:after="0" w:line="99"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$ 330 million annual aggregate limit, $30 million of which is provided by IXP, as a direct insurer. This insurance is subject to a deductible in the amount of 5%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3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3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continues to monitor the state of the insurance market in general, and the scope and costs of coverage for acts of terrorism, earthquakes, pandemics and cybersecurity incidents,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104"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Noncontrolling interests relate to the interests in BPLP not owned by BXP and interests in consolidated property partnerships not wholly-owned by the Company. As of March 31, 2024, the noncontrolling interests in BPLP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60" w:type="dxa"/>
            <w:vAlign w:val="bottom"/>
            <w:gridSpan w:val="2"/>
          </w:tcPr>
          <w:p>
            <w:pPr>
              <w:ind w:left="700"/>
              <w:spacing w:after="0"/>
              <w:rPr>
                <w:sz w:val="20"/>
                <w:szCs w:val="20"/>
                <w:color w:val="auto"/>
              </w:rPr>
            </w:pPr>
            <w:r>
              <w:rPr>
                <w:rFonts w:ascii="Arial" w:cs="Arial" w:eastAsia="Arial" w:hAnsi="Arial"/>
                <w:sz w:val="16"/>
                <w:szCs w:val="16"/>
                <w:b w:val="1"/>
                <w:bCs w:val="1"/>
                <w:color w:val="auto"/>
              </w:rPr>
              <w:t>OP Units</w:t>
            </w:r>
          </w:p>
        </w:tc>
        <w:tc>
          <w:tcPr>
            <w:tcW w:w="2280" w:type="dxa"/>
            <w:vAlign w:val="bottom"/>
            <w:gridSpan w:val="2"/>
          </w:tcPr>
          <w:p>
            <w:pPr>
              <w:ind w:left="540"/>
              <w:spacing w:after="0"/>
              <w:rPr>
                <w:sz w:val="20"/>
                <w:szCs w:val="20"/>
                <w:color w:val="auto"/>
              </w:rPr>
            </w:pPr>
            <w:r>
              <w:rPr>
                <w:rFonts w:ascii="Arial" w:cs="Arial" w:eastAsia="Arial" w:hAnsi="Arial"/>
                <w:sz w:val="16"/>
                <w:szCs w:val="16"/>
                <w:b w:val="1"/>
                <w:bCs w:val="1"/>
                <w:color w:val="auto"/>
              </w:rPr>
              <w:t>LTIP Units (1)</w:t>
            </w:r>
          </w:p>
        </w:tc>
        <w:tc>
          <w:tcPr>
            <w:tcW w:w="2280" w:type="dxa"/>
            <w:vAlign w:val="bottom"/>
            <w:gridSpan w:val="2"/>
          </w:tcPr>
          <w:p>
            <w:pPr>
              <w:ind w:left="320"/>
              <w:spacing w:after="0"/>
              <w:rPr>
                <w:sz w:val="20"/>
                <w:szCs w:val="20"/>
                <w:color w:val="auto"/>
              </w:rPr>
            </w:pPr>
            <w:r>
              <w:rPr>
                <w:rFonts w:ascii="Arial" w:cs="Arial" w:eastAsia="Arial" w:hAnsi="Arial"/>
                <w:sz w:val="16"/>
                <w:szCs w:val="16"/>
                <w:b w:val="1"/>
                <w:bCs w:val="1"/>
                <w:color w:val="auto"/>
              </w:rPr>
              <w:t>2022 MYLTIP Units</w:t>
            </w:r>
          </w:p>
        </w:tc>
        <w:tc>
          <w:tcPr>
            <w:tcW w:w="2280" w:type="dxa"/>
            <w:vAlign w:val="bottom"/>
            <w:gridSpan w:val="2"/>
          </w:tcPr>
          <w:p>
            <w:pPr>
              <w:ind w:left="340"/>
              <w:spacing w:after="0"/>
              <w:rPr>
                <w:sz w:val="20"/>
                <w:szCs w:val="20"/>
                <w:color w:val="auto"/>
              </w:rPr>
            </w:pPr>
            <w:r>
              <w:rPr>
                <w:rFonts w:ascii="Arial" w:cs="Arial" w:eastAsia="Arial" w:hAnsi="Arial"/>
                <w:sz w:val="16"/>
                <w:szCs w:val="16"/>
                <w:b w:val="1"/>
                <w:bCs w:val="1"/>
                <w:color w:val="auto"/>
              </w:rPr>
              <w:t>2023 MYLTIP Units</w:t>
            </w:r>
          </w:p>
        </w:tc>
        <w:tc>
          <w:tcPr>
            <w:tcW w:w="2120" w:type="dxa"/>
            <w:vAlign w:val="bottom"/>
          </w:tcPr>
          <w:p>
            <w:pPr>
              <w:jc w:val="right"/>
              <w:ind w:right="255"/>
              <w:spacing w:after="0"/>
              <w:rPr>
                <w:sz w:val="20"/>
                <w:szCs w:val="20"/>
                <w:color w:val="auto"/>
              </w:rPr>
            </w:pPr>
            <w:r>
              <w:rPr>
                <w:rFonts w:ascii="Arial" w:cs="Arial" w:eastAsia="Arial" w:hAnsi="Arial"/>
                <w:sz w:val="16"/>
                <w:szCs w:val="16"/>
                <w:b w:val="1"/>
                <w:bCs w:val="1"/>
                <w:color w:val="auto"/>
              </w:rPr>
              <w:t>2024 MYLTIP Units</w:t>
            </w:r>
          </w:p>
        </w:tc>
      </w:tr>
      <w:tr>
        <w:trPr>
          <w:trHeight w:val="223"/>
        </w:trPr>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16,492,171</w:t>
            </w:r>
          </w:p>
        </w:tc>
        <w:tc>
          <w:tcPr>
            <w:tcW w:w="1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2,666,636</w:t>
            </w:r>
          </w:p>
        </w:tc>
        <w:tc>
          <w:tcPr>
            <w:tcW w:w="1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252,151</w:t>
            </w:r>
          </w:p>
        </w:tc>
        <w:tc>
          <w:tcPr>
            <w:tcW w:w="2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322,053</w:t>
            </w:r>
          </w:p>
        </w:tc>
        <w:tc>
          <w:tcPr>
            <w:tcW w:w="16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330,479</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500" w:right="80" w:hanging="330"/>
        <w:spacing w:after="0" w:line="270" w:lineRule="auto"/>
        <w:tabs>
          <w:tab w:leader="none" w:pos="4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666,405 LTIP Units earned by employees under the Company’s multi-year long-term incentive awards granted between 2012 and 2021 (i.e., 2012 OPP and 2013 - 2021 MYLTIP awards).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w:t>
      </w:r>
    </w:p>
    <w:p>
      <w:pPr>
        <w:spacing w:after="0" w:line="102" w:lineRule="exact"/>
        <w:rPr>
          <w:sz w:val="20"/>
          <w:szCs w:val="20"/>
          <w:color w:val="auto"/>
        </w:rPr>
      </w:pPr>
    </w:p>
    <w:p>
      <w:pPr>
        <w:ind w:right="400" w:firstLine="445"/>
        <w:spacing w:after="0" w:line="268" w:lineRule="auto"/>
        <w:rPr>
          <w:sz w:val="20"/>
          <w:szCs w:val="20"/>
          <w:color w:val="auto"/>
        </w:rPr>
      </w:pPr>
      <w:r>
        <w:rPr>
          <w:rFonts w:ascii="Arial" w:cs="Arial" w:eastAsia="Arial" w:hAnsi="Arial"/>
          <w:sz w:val="18"/>
          <w:szCs w:val="18"/>
          <w:color w:val="auto"/>
        </w:rPr>
        <w:t>During the three months ended March 31, 2024, 36,305 OP Units were presented by the holders for redemption (including an aggregate of 22,155 OP Units issued upon conversion of LTIP Units, 2012 OPP Units and MYLTIP Units) and were redeemed by BXP in exchange for an equal number of shares of Common Stock.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At March 31, 2024, BPLP had outstanding the 2022 - 2024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2022 - 2024 MYLTIP Units, the Company will make a “catch-up” cash payment on the MYLTIP Units that are ultimately earned in an amount equal to the regular and special dividends, if any, declared during the performance period on a number of shares of Common Stock agreed to the number of 2022 - 2024 MYLTIP Units that are earned, less the distributions actually paid during the performance period on all of the awarded 2022 - 2024 MYLTIP Units.</w:t>
      </w:r>
    </w:p>
    <w:p>
      <w:pPr>
        <w:spacing w:after="0" w:line="127"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On February 1, 2024, the measurement period for the Company’s 2021 MYLTIP awards ended and, based on BXP’s absolute and relative TSR performance, the final payout was determined to be 112% of target, or an aggregate of approximately $12.6 million (after giving effect to employee separations). As a result, an aggregate of 155,625 2021 MYLTIP Units that had been previously granted were automatically forfeited.</w:t>
      </w:r>
    </w:p>
    <w:p>
      <w:pPr>
        <w:spacing w:after="0" w:line="122"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following table presents BPLP’s distributions on the OP Units and LTIP Units and MYLTIP Units paid or declared in 2024 and during the three months ended March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2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Distributions per OP Unit and</w:t>
            </w:r>
          </w:p>
        </w:tc>
        <w:tc>
          <w:tcPr>
            <w:tcW w:w="2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LTIP Unit</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28, 2024</w:t>
            </w:r>
          </w:p>
        </w:tc>
        <w:tc>
          <w:tcPr>
            <w:tcW w:w="1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30, 2024</w:t>
            </w:r>
          </w:p>
        </w:tc>
        <w:tc>
          <w:tcPr>
            <w:tcW w:w="1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December 29, 2023</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January 30, 2024</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April 28, 2023</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30, 2022</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30, 2023</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2013 - 2021 MYLTIP Units), assuming in each case that all conditions had been met for the conversion thereof, had all of such units been redeemed at March 31, 2024 was approximately $1.3 billion based on the last reported price of a share of Common Stock on the New York Stock Exchange of $65.31 per share on March 28, 2024.</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Interests—Property Partnerships</w:t>
      </w:r>
    </w:p>
    <w:p>
      <w:pPr>
        <w:spacing w:after="0" w:line="102"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$1.7 billion and $1.6 billion at March 31, 2024 and December 31, 2023, respectively, are included in Noncontrolling Interests—Property Partnerships on the accompanying Consolidated Balance Sheets.</w:t>
      </w:r>
    </w:p>
    <w:p>
      <w:pPr>
        <w:spacing w:after="0" w:line="122"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On March 21, 2024, the Company completed the sale of a 45% interest in 290 Binney Street in Cambridge, Massachusetts.  The institutional investor funded approximately $97.2 million in cash at closing, which is less than 45% of the agreed upon carrying value of the property immediately prior to the transaction.  The institutional investor will fund all construction costs until its equity balance is proportionate to its ownership percentage, after which the Company and the institutional investor will fund the development project based on their respective ownership interests.  The Company retains a 55% ownership interest in the joint venture.  The transaction did not qualify as a sale of real estate for financial reporting purposes as the Company continues to effectively control the property and thus will continue to account for the property on a consolidated basis in its financial statements and no gain was recognized in the Consolidated Statements of Operations.  The Company provides customary development, property management and leasing services to the joint venture. </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Company has accounted for the transaction as an equity transaction and as of March 21, 2024 has recognized noncontrolling interest in its Consolidated Balance Sheets totaling approximately $104.6 million, which is equal to 45% of the aggregate carrying value of the total equity of the property immediately prior to the transaction.  The difference between the cash proceeds received and the noncontrolling interest recognized, which was approximately $ 7.5 million, has been reflected as a decrease in additional paid-in capital in the Company’s Consolidated Balance Sheets.  At the end of each reporting period, there will be a reallocation of the partners’ equity balances such that the ending balance in each partners’ capital account reflects each partners’ claim on net assets. These adjustments will impact additional paid-in capital and noncontrolling interest in property partnerships in the Company’s Consolidated Balance Sheets. For the period ended March 31, 2024, the adjustment was approximately $50.7 million. </w:t>
      </w:r>
    </w:p>
    <w:p>
      <w:pPr>
        <w:spacing w:after="0" w:line="131" w:lineRule="exact"/>
        <w:rPr>
          <w:sz w:val="20"/>
          <w:szCs w:val="20"/>
          <w:color w:val="auto"/>
        </w:rPr>
      </w:pPr>
    </w:p>
    <w:p>
      <w:pPr>
        <w:ind w:right="740" w:firstLine="441"/>
        <w:spacing w:after="0" w:line="287" w:lineRule="auto"/>
        <w:rPr>
          <w:sz w:val="20"/>
          <w:szCs w:val="20"/>
          <w:color w:val="auto"/>
        </w:rPr>
      </w:pPr>
      <w:r>
        <w:rPr>
          <w:rFonts w:ascii="Arial" w:cs="Arial" w:eastAsia="Arial" w:hAnsi="Arial"/>
          <w:sz w:val="18"/>
          <w:szCs w:val="18"/>
          <w:color w:val="auto"/>
        </w:rPr>
        <w:t>290 Binney Street is an approximately 566,000 net rentable square foot laboratory/life sciences development project located in Cambridge, Massachusetts.  The  development project is 100% pre-leased to a life sciences company.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Partners’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2024, BXP had 157,049,171 shares of Common Stock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2024, BXP owned 1,762,080 general partnership units and 155,287,091 limited partnership units in BPLP.</w:t>
      </w:r>
    </w:p>
    <w:p>
      <w:pPr>
        <w:spacing w:after="0" w:line="1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May 17, 2023,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No shares of Common Stock have been issued under this ATM stock offering program.</w:t>
      </w:r>
    </w:p>
    <w:p>
      <w:pPr>
        <w:spacing w:after="0" w:line="128"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During the three months ended March 31, 2024, BXP issued 36,305 shares of Common Stock in connection with the redemption of an equal number of redeemable OP Units from limited partners.</w:t>
      </w:r>
    </w:p>
    <w:p>
      <w:pPr>
        <w:spacing w:after="0" w:line="99"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following table presents BXP’s dividends per share and BPLP’s distributions per OP Unit and LTIP Unit paid or declared in 2024 and during the three months ended March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 Date</w:t>
            </w:r>
          </w:p>
        </w:tc>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Payment Date</w:t>
            </w:r>
          </w:p>
        </w:tc>
        <w:tc>
          <w:tcPr>
            <w:tcW w:w="2560" w:type="dxa"/>
            <w:vAlign w:val="bottom"/>
            <w:gridSpan w:val="2"/>
          </w:tcPr>
          <w:p>
            <w:pPr>
              <w:ind w:left="680"/>
              <w:spacing w:after="0"/>
              <w:rPr>
                <w:sz w:val="20"/>
                <w:szCs w:val="20"/>
                <w:color w:val="auto"/>
              </w:rPr>
            </w:pPr>
            <w:r>
              <w:rPr>
                <w:rFonts w:ascii="Arial" w:cs="Arial" w:eastAsia="Arial" w:hAnsi="Arial"/>
                <w:sz w:val="16"/>
                <w:szCs w:val="16"/>
                <w:b w:val="1"/>
                <w:bCs w:val="1"/>
                <w:color w:val="auto"/>
              </w:rPr>
              <w:t>Dividend (Per Share)</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28, 2024</w:t>
            </w:r>
          </w:p>
        </w:tc>
        <w:tc>
          <w:tcPr>
            <w:tcW w:w="18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30, 2024</w:t>
            </w:r>
          </w:p>
        </w:tc>
        <w:tc>
          <w:tcPr>
            <w:tcW w:w="1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December 29, 2023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January 30, 2024</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70"/>
        </w:trPr>
        <w:tc>
          <w:tcPr>
            <w:tcW w:w="2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April 28, 2023</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30, 2022</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30, 2023</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04"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following tables present reconciliations of Net Income Attributable to Boston Properties, Inc. to the Company’s share of Net Operating Income and Net Income Attributable to Boston Properties Limited Partnership to the Company’s share of Net Operating Income for the three months ended March 31, 2024 and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interest—common units of the Operating Partnership</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17,221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18,660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161,891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134,207</w:t>
            </w: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Impairment loss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13,615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0" w:type="dxa"/>
            <w:vAlign w:val="bottom"/>
          </w:tcPr>
          <w:p>
            <w:pPr>
              <w:spacing w:after="0"/>
              <w:rPr>
                <w:sz w:val="1"/>
                <w:szCs w:val="1"/>
                <w:color w:val="auto"/>
              </w:rPr>
            </w:pP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218,716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208,734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income attributable to noncontrolling interests in property partnerships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47,097</w:t>
            </w: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Unrealized gain on non-real estate investment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from investments in securities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Interest and other income (loss)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14,529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unconsolidated joint ventures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Direct reimbursements of payroll and related costs from management services contracts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497,680</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484,665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20"/>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8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0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r>
      <w:tr>
        <w:trPr>
          <w:trHeight w:val="210"/>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w:t>
            </w: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161,891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134,207</w:t>
            </w: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35,430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40,756</w:t>
            </w: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217,019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206,872</w:t>
            </w: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50,018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55,802</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Net operating income attributable to noncontrolling interests in property partnerships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46,570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47,097</w:t>
            </w: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non-real estate investment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Gains from investments in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(loss)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w:t>
            </w:r>
          </w:p>
        </w:tc>
      </w:tr>
      <w:tr>
        <w:trPr>
          <w:trHeight w:val="229"/>
        </w:trPr>
        <w:tc>
          <w:tcPr>
            <w:tcW w:w="8000" w:type="dxa"/>
            <w:vAlign w:val="bottom"/>
          </w:tcPr>
          <w:p>
            <w:pPr>
              <w:ind w:left="360"/>
              <w:spacing w:after="0"/>
              <w:rPr>
                <w:sz w:val="20"/>
                <w:szCs w:val="20"/>
                <w:color w:val="auto"/>
              </w:rPr>
            </w:pPr>
            <w:r>
              <w:rPr>
                <w:rFonts w:ascii="Arial" w:cs="Arial" w:eastAsia="Arial" w:hAnsi="Arial"/>
                <w:sz w:val="18"/>
                <w:szCs w:val="18"/>
                <w:color w:val="auto"/>
              </w:rPr>
              <w:t>Income (loss) from unconsolidated joint ventures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19,186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(7,569)</w:t>
            </w:r>
          </w:p>
        </w:tc>
      </w:tr>
      <w:tr>
        <w:trPr>
          <w:trHeight w:val="229"/>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reimbursements of payroll and related costs from management services contracts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r>
      <w:tr>
        <w:trPr>
          <w:trHeight w:val="23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497,680</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484,665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impairment loss, depreciation and amortization expense, transaction costs, payroll and related costs from management services contracts and corporate general and administrative expense less (2) unrealized gain on non-real estate investment, gains from investments in securities, interest and other income (loss), income (loss)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w:t>
      </w:r>
    </w:p>
    <w:p>
      <w:pPr>
        <w:spacing w:after="0" w:line="141"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based upon the partners’ economic percentage ownership interests and, in some cases, after priority allocations,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allocation to private REIT shareholders and their share of fees due to the Company). The Company’s share of NOI from unconsolidated joint ventures, as defined above, also does not include its share of unrealized gain (loss) on derivative instruments and gain on sale / consolidation, all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3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Asset information by segment is not reported because the Company does not use this measure to assess performance. Therefore, depreciation and amortization expense is not allocated among segments. Interest expense, impairment loss, depreciation and amortization expense, transaction costs, payroll and related costs from management services contracts, corporate general and administrative expense, unrealized gain on non-real estate investment, gains from investments in securities, interest and other income (loss), income (loss)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w:t>
      </w:r>
    </w:p>
    <w:p>
      <w:pPr>
        <w:spacing w:after="0" w:line="129"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Company’s segments are based on the Company’s method of internal reporting which classifies its operations by geographic area. The Company’s segments by geographic area are Boston, Los Angeles, New York, San Francisco, Seattle and Washington, DC. The Company also presents information for each segment by property type, including Premier Workplace (which includes office, life sciences and retail), Residential and Hotel.</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480" w:type="dxa"/>
            <w:vAlign w:val="bottom"/>
            <w:gridSpan w:val="3"/>
          </w:tcPr>
          <w:p>
            <w:pPr>
              <w:ind w:left="100"/>
              <w:spacing w:after="0"/>
              <w:rPr>
                <w:sz w:val="20"/>
                <w:szCs w:val="20"/>
                <w:color w:val="auto"/>
              </w:rPr>
            </w:pPr>
            <w:r>
              <w:rPr>
                <w:rFonts w:ascii="Arial" w:cs="Arial" w:eastAsia="Arial" w:hAnsi="Arial"/>
                <w:sz w:val="15"/>
                <w:szCs w:val="15"/>
                <w:b w:val="1"/>
                <w:bCs w:val="1"/>
                <w:color w:val="auto"/>
              </w:rPr>
              <w:t>Washington, DC</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280,466</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20,401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260,809</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132,614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10,910</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102,922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808,122</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12,684</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8,186</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292,848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20,401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260,809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136,572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10,910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107,452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828,992</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105,171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6,567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107,481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46,942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3,081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39,229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308,471</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5,686</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6,015</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112,779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107,481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49,160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3,081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41,104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320,172</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180,069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13,834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153,328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87,412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7,829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66,348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508,820</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(11,056)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(35,514)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(46,570)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8,757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7,248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5,984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5,154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6,411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35,430</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177,770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21,082</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123,798</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92,566</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9,705</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72,759</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497,680</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14.62 %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480" w:type="dxa"/>
            <w:vAlign w:val="bottom"/>
            <w:gridSpan w:val="3"/>
          </w:tcPr>
          <w:p>
            <w:pPr>
              <w:ind w:left="100"/>
              <w:spacing w:after="0"/>
              <w:rPr>
                <w:sz w:val="20"/>
                <w:szCs w:val="20"/>
                <w:color w:val="auto"/>
              </w:rPr>
            </w:pPr>
            <w:r>
              <w:rPr>
                <w:rFonts w:ascii="Arial" w:cs="Arial" w:eastAsia="Arial" w:hAnsi="Arial"/>
                <w:sz w:val="15"/>
                <w:szCs w:val="15"/>
                <w:b w:val="1"/>
                <w:bCs w:val="1"/>
                <w:color w:val="auto"/>
              </w:rPr>
              <w:t>Washington, DC</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269,951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258,192</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136,093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14,258</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90,664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769,158</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11,726</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8,101</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282,101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258,192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139,735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14,258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94,699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788,985</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100,049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102,485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46,085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2,960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34,266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285,845</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6,671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6,671</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108,272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102,485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48,258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2,960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36,004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297,979</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173,829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155,707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91,477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11,298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58,695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491,006</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(10,817)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(36,280)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(47,097)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8,577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13,225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3,464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color w:val="auto"/>
              </w:rPr>
              <w:t>9,994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40,756</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171,589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13,225</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123,077</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94,941</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13,144</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68,689</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484,665</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19.59 %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14.17 %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26" w:lineRule="exact"/>
        <w:rPr>
          <w:rFonts w:ascii="Arial" w:cs="Arial" w:eastAsia="Arial" w:hAnsi="Arial"/>
          <w:sz w:val="16"/>
          <w:szCs w:val="16"/>
          <w:color w:val="auto"/>
        </w:rPr>
      </w:pPr>
    </w:p>
    <w:p>
      <w:pPr>
        <w:ind w:left="300" w:hanging="292"/>
        <w:spacing w:after="0"/>
        <w:tabs>
          <w:tab w:leader="none" w:pos="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 Common Unit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following table provides a reconciliation of both the net income attributable to Boston Properties, Inc. and the number of common shares used in the computation of basic earnings per share (“EPS”), which is calculated by dividing net income attributable to Boston Properties, Inc.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2013 - 2021 MYLTIP Units required, and the 2022 - 2024 MYLTIP Units require, BXP to outperform certain performance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6"/>
                <w:szCs w:val="16"/>
                <w:b w:val="1"/>
                <w:bCs w:val="1"/>
                <w:color w:val="auto"/>
              </w:rPr>
              <w:t>Three months ended March 31, 2024</w:t>
            </w:r>
          </w:p>
        </w:tc>
        <w:tc>
          <w:tcPr>
            <w:tcW w:w="1260" w:type="dxa"/>
            <w:vAlign w:val="bottom"/>
            <w:tcBorders>
              <w:bottom w:val="single" w:sz="8" w:color="auto"/>
            </w:tcBorders>
          </w:tcPr>
          <w:p>
            <w:pPr>
              <w:spacing w:after="0"/>
              <w:rPr>
                <w:sz w:val="18"/>
                <w:szCs w:val="18"/>
                <w:color w:val="auto"/>
              </w:rPr>
            </w:pPr>
          </w:p>
        </w:tc>
      </w:tr>
      <w:tr>
        <w:trPr>
          <w:trHeight w:val="155"/>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400" w:type="dxa"/>
            <w:vAlign w:val="bottom"/>
          </w:tcPr>
          <w:p>
            <w:pPr>
              <w:spacing w:after="0"/>
              <w:rPr>
                <w:sz w:val="13"/>
                <w:szCs w:val="13"/>
                <w:color w:val="auto"/>
              </w:rPr>
            </w:pPr>
          </w:p>
        </w:tc>
        <w:tc>
          <w:tcPr>
            <w:tcW w:w="1260" w:type="dxa"/>
            <w:vAlign w:val="bottom"/>
          </w:tcPr>
          <w:p>
            <w:pPr>
              <w:jc w:val="center"/>
              <w:ind w:right="334"/>
              <w:spacing w:after="0" w:line="155" w:lineRule="exact"/>
              <w:rPr>
                <w:sz w:val="20"/>
                <w:szCs w:val="20"/>
                <w:color w:val="auto"/>
              </w:rPr>
            </w:pPr>
            <w:r>
              <w:rPr>
                <w:rFonts w:ascii="Arial" w:cs="Arial" w:eastAsia="Arial" w:hAnsi="Arial"/>
                <w:sz w:val="16"/>
                <w:szCs w:val="16"/>
                <w:b w:val="1"/>
                <w:bCs w:val="1"/>
                <w:color w:val="auto"/>
              </w:rPr>
              <w:t>Per Share</w:t>
            </w: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34"/>
              <w:spacing w:after="0"/>
              <w:rPr>
                <w:sz w:val="20"/>
                <w:szCs w:val="20"/>
                <w:color w:val="auto"/>
              </w:rPr>
            </w:pPr>
            <w:r>
              <w:rPr>
                <w:rFonts w:ascii="Arial" w:cs="Arial" w:eastAsia="Arial" w:hAnsi="Arial"/>
                <w:sz w:val="16"/>
                <w:szCs w:val="16"/>
                <w:b w:val="1"/>
                <w:bCs w:val="1"/>
                <w:color w:val="auto"/>
                <w:w w:val="99"/>
              </w:rPr>
              <w:t>Amount</w:t>
            </w: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79,883</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156,983</w:t>
            </w:r>
          </w:p>
        </w:tc>
        <w:tc>
          <w:tcPr>
            <w:tcW w:w="2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79,883</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157,132</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23"/>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6"/>
                <w:szCs w:val="16"/>
                <w:b w:val="1"/>
                <w:bCs w:val="1"/>
                <w:color w:val="auto"/>
              </w:rPr>
              <w:t>Three months ended March 31, 2023</w:t>
            </w:r>
          </w:p>
        </w:tc>
        <w:tc>
          <w:tcPr>
            <w:tcW w:w="1260" w:type="dxa"/>
            <w:vAlign w:val="bottom"/>
            <w:tcBorders>
              <w:bottom w:val="single" w:sz="8" w:color="auto"/>
            </w:tcBorders>
          </w:tcPr>
          <w:p>
            <w:pPr>
              <w:spacing w:after="0"/>
              <w:rPr>
                <w:sz w:val="24"/>
                <w:szCs w:val="24"/>
                <w:color w:val="auto"/>
              </w:rPr>
            </w:pPr>
          </w:p>
        </w:tc>
      </w:tr>
      <w:tr>
        <w:trPr>
          <w:trHeight w:val="155"/>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400" w:type="dxa"/>
            <w:vAlign w:val="bottom"/>
          </w:tcPr>
          <w:p>
            <w:pPr>
              <w:spacing w:after="0"/>
              <w:rPr>
                <w:sz w:val="13"/>
                <w:szCs w:val="13"/>
                <w:color w:val="auto"/>
              </w:rPr>
            </w:pPr>
          </w:p>
        </w:tc>
        <w:tc>
          <w:tcPr>
            <w:tcW w:w="1260" w:type="dxa"/>
            <w:vAlign w:val="bottom"/>
          </w:tcPr>
          <w:p>
            <w:pPr>
              <w:jc w:val="center"/>
              <w:ind w:right="334"/>
              <w:spacing w:after="0" w:line="155" w:lineRule="exact"/>
              <w:rPr>
                <w:sz w:val="20"/>
                <w:szCs w:val="20"/>
                <w:color w:val="auto"/>
              </w:rPr>
            </w:pPr>
            <w:r>
              <w:rPr>
                <w:rFonts w:ascii="Arial" w:cs="Arial" w:eastAsia="Arial" w:hAnsi="Arial"/>
                <w:sz w:val="16"/>
                <w:szCs w:val="16"/>
                <w:b w:val="1"/>
                <w:bCs w:val="1"/>
                <w:color w:val="auto"/>
              </w:rPr>
              <w:t>Per Share</w:t>
            </w: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334"/>
              <w:spacing w:after="0"/>
              <w:rPr>
                <w:sz w:val="20"/>
                <w:szCs w:val="20"/>
                <w:color w:val="auto"/>
              </w:rPr>
            </w:pPr>
            <w:r>
              <w:rPr>
                <w:rFonts w:ascii="Arial" w:cs="Arial" w:eastAsia="Arial" w:hAnsi="Arial"/>
                <w:sz w:val="16"/>
                <w:szCs w:val="16"/>
                <w:b w:val="1"/>
                <w:bCs w:val="1"/>
                <w:color w:val="auto"/>
                <w:w w:val="99"/>
              </w:rPr>
              <w:t>Amount</w:t>
            </w: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77,890</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156,803</w:t>
            </w:r>
          </w:p>
        </w:tc>
        <w:tc>
          <w:tcPr>
            <w:tcW w:w="2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77,890</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157,043</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The following table provides a reconciliation of both the net income attributable to Boston Properties Limited Partnership and the number of common units used in the computation of basic earnings per common unit, which is calculated by dividing net income attributable to Boston Properties Limited Partnership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2013 - 2021 MYLTIP Units required, and the 2022 - 2024 MYLTIP Units require, BXP to outperform certain performance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18,272,000 and 17,849,000 redeemable common units for the three months ended March 31, 2024 and 2023, respectively.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5"/>
          </w:tcPr>
          <w:p>
            <w:pPr>
              <w:jc w:val="center"/>
              <w:ind w:left="875"/>
              <w:spacing w:after="0"/>
              <w:rPr>
                <w:sz w:val="20"/>
                <w:szCs w:val="20"/>
                <w:color w:val="auto"/>
              </w:rPr>
            </w:pPr>
            <w:r>
              <w:rPr>
                <w:rFonts w:ascii="Arial" w:cs="Arial" w:eastAsia="Arial" w:hAnsi="Arial"/>
                <w:sz w:val="16"/>
                <w:szCs w:val="16"/>
                <w:b w:val="1"/>
                <w:bCs w:val="1"/>
                <w:color w:val="auto"/>
              </w:rPr>
              <w:t>Three months ended March 31, 2024</w:t>
            </w:r>
          </w:p>
        </w:tc>
        <w:tc>
          <w:tcPr>
            <w:tcW w:w="1220" w:type="dxa"/>
            <w:vAlign w:val="bottom"/>
            <w:tcBorders>
              <w:bottom w:val="single" w:sz="8" w:color="auto"/>
            </w:tcBorders>
          </w:tcPr>
          <w:p>
            <w:pPr>
              <w:spacing w:after="0"/>
              <w:rPr>
                <w:sz w:val="18"/>
                <w:szCs w:val="18"/>
                <w:color w:val="auto"/>
              </w:rPr>
            </w:pPr>
          </w:p>
        </w:tc>
      </w:tr>
      <w:tr>
        <w:trPr>
          <w:trHeight w:val="155"/>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440" w:type="dxa"/>
            <w:vAlign w:val="bottom"/>
          </w:tcPr>
          <w:p>
            <w:pPr>
              <w:spacing w:after="0"/>
              <w:rPr>
                <w:sz w:val="13"/>
                <w:szCs w:val="13"/>
                <w:color w:val="auto"/>
              </w:rPr>
            </w:pPr>
          </w:p>
        </w:tc>
        <w:tc>
          <w:tcPr>
            <w:tcW w:w="1220" w:type="dxa"/>
            <w:vAlign w:val="bottom"/>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91,080</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175,255</w:t>
            </w:r>
          </w:p>
        </w:tc>
        <w:tc>
          <w:tcPr>
            <w:tcW w:w="2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91,080</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175,404</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8"/>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left="875"/>
              <w:spacing w:after="0"/>
              <w:rPr>
                <w:sz w:val="20"/>
                <w:szCs w:val="20"/>
                <w:color w:val="auto"/>
              </w:rPr>
            </w:pPr>
            <w:r>
              <w:rPr>
                <w:rFonts w:ascii="Arial" w:cs="Arial" w:eastAsia="Arial" w:hAnsi="Arial"/>
                <w:sz w:val="16"/>
                <w:szCs w:val="16"/>
                <w:b w:val="1"/>
                <w:bCs w:val="1"/>
                <w:color w:val="auto"/>
              </w:rPr>
              <w:t>Three months ended March 31, 2023</w:t>
            </w:r>
          </w:p>
        </w:tc>
        <w:tc>
          <w:tcPr>
            <w:tcW w:w="1220" w:type="dxa"/>
            <w:vAlign w:val="bottom"/>
            <w:tcBorders>
              <w:bottom w:val="single" w:sz="8" w:color="auto"/>
            </w:tcBorders>
          </w:tcPr>
          <w:p>
            <w:pPr>
              <w:spacing w:after="0"/>
              <w:rPr>
                <w:sz w:val="24"/>
                <w:szCs w:val="24"/>
                <w:color w:val="auto"/>
              </w:rPr>
            </w:pPr>
          </w:p>
        </w:tc>
      </w:tr>
      <w:tr>
        <w:trPr>
          <w:trHeight w:val="155"/>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440" w:type="dxa"/>
            <w:vAlign w:val="bottom"/>
          </w:tcPr>
          <w:p>
            <w:pPr>
              <w:spacing w:after="0"/>
              <w:rPr>
                <w:sz w:val="13"/>
                <w:szCs w:val="13"/>
                <w:color w:val="auto"/>
              </w:rPr>
            </w:pPr>
          </w:p>
        </w:tc>
        <w:tc>
          <w:tcPr>
            <w:tcW w:w="1220" w:type="dxa"/>
            <w:vAlign w:val="bottom"/>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r>
      <w:tr>
        <w:trPr>
          <w:trHeight w:val="216"/>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r>
      <w:tr>
        <w:trPr>
          <w:trHeight w:val="209"/>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88,830</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174,652</w:t>
            </w:r>
          </w:p>
        </w:tc>
        <w:tc>
          <w:tcPr>
            <w:tcW w:w="2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88,830</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174,892</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04"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On January 25, 2024, the Compensation Committee of BXP’s Board of Directors approved the grant of 2024 Multi-Year Long-Term Incentive Program (the “2024 MYLTIP”) awards under the Boston Properties, Inc. 2021 Stock Incentive Plan (the “2021 Plan”) to certain executive officers of BXP. The 2024 MYLTIP awards consists of three components. Two of the components, each weighted 40%, utilize BXP’s TSR over a three year measurement period as the performance metrics and the third component utilizes a leverage ratio as the performance metric. Earned awards will range from zero to a maximum of 330,479 LTIP Units depending on BXP’s performance under the three components, with a target of approximately 165,240 LTIP Units. Under ASC 718 “Compensation - Stock Compensation,” the 2024 MYLTIP awards have an aggregate value of approximately $11.1 million.</w:t>
      </w:r>
    </w:p>
    <w:p>
      <w:pPr>
        <w:spacing w:after="0" w:line="129"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On February 1, 2024, the measurement period for the Company’s 2021 MYLTIP awards ended and, based on BXP’s absolute and relative TSR performance, the final payout was determined to be 112% of target, or an aggregate of approximately $12.6 million (after giving effect to employee separations). As a result, an aggregate of 155,625 2021 MYLTIP Units that had been previously granted were automatically forfeited.</w:t>
      </w:r>
    </w:p>
    <w:p>
      <w:pPr>
        <w:spacing w:after="0" w:line="12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During the three months ended March 31, 2024, BXP issued 76,228 shares of restricted common stock and BPLP issued 431,123 LTIP Units and 330,479 2024 MYLTIP Units to employees and non-employee directors under the 2021 Plan. Employees and non-employee directors paid $0.01 per share of restricted common stock and $0.25 per LTIP Unit and 2024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 granted during the three months ended March 31, 2024 were valued at approximately $4.9 million. The LTIP Units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granted were valued at approximately $25.6 million using a Monte Carlo simulation method model. Because the 2012 OPP Units and 2013 - 2024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Boston Properties, Inc.’s Consolidated Balance Sheets and Partners’ Capital in Boston Properties Limited Partnership’s Consolidated Balance Sheets. Aggregate stock-based compensation expense associated with restricted stock, LTIP Units and MYLTIP Units was approximately $18.5 million and $25.9 million for the three months ended March 31, 2024 and 2023, respectively. At March 31, 2024, there was (1) an aggregate of approximately $38.9 million of unrecognized compensation expense related to unvested restricted stock and LTIP Units and (2) an aggregate of approximately $5.8 million of unrecognized compensation expense related to unvested 2022 - 2024 MYLTIP Units that is expected to be recognized over a weighted-average period of approximately 2.7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0"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On April 5, 2024, the Company completed and fully placed in-service 760 Boylston Street, an approximately 118,000 net rentable square feet retail redevelopment located in Boston, Massachusetts.</w:t>
      </w:r>
    </w:p>
    <w:p>
      <w:pPr>
        <w:spacing w:after="0" w:line="99" w:lineRule="exact"/>
        <w:rPr>
          <w:sz w:val="20"/>
          <w:szCs w:val="20"/>
          <w:color w:val="auto"/>
        </w:rPr>
      </w:pPr>
    </w:p>
    <w:p>
      <w:pPr>
        <w:ind w:right="260" w:firstLine="445"/>
        <w:spacing w:after="0" w:line="262" w:lineRule="auto"/>
        <w:rPr>
          <w:sz w:val="20"/>
          <w:szCs w:val="20"/>
          <w:color w:val="auto"/>
        </w:rPr>
      </w:pPr>
      <w:r>
        <w:rPr>
          <w:rFonts w:ascii="Arial" w:cs="Arial" w:eastAsia="Arial" w:hAnsi="Arial"/>
          <w:sz w:val="18"/>
          <w:szCs w:val="18"/>
          <w:color w:val="auto"/>
        </w:rPr>
        <w:t>On April 16, 2024, BPLP provided notice to exercise its one-year extension option on its $1.2 billion unsecured term loan facility (the “2023 Unsecured Term Loan”). BPLP anticipates effectuating the extension on or prior to the current May 16, 2024 maturity date. Upon effectiveness, the 2023 Unsecured Term Loan will mature on May 16, 2025. After making an approximately $500.0 million optional repayment on April 29, 2024, the 2023 Unsecured Term Loan has an outstanding principal balance of $700.0 million as of May 2, 2024.</w:t>
      </w:r>
    </w:p>
    <w:p>
      <w:pPr>
        <w:spacing w:after="0" w:line="12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 million with varying maturities of up to one year. The notes will be sold in private placements and will rank pari passu with all of BPLP’s other unsecured senior indebtedness, including its outstanding senior notes. The commercial paper program is backstopped by available capacity under BPLP's unsecured revolving credit facility (the “2021 Credit Facility”). As of May 2, 2024, BPLP had $500.0 million outstanding under its commercial paper program that bears interest at a weighted-average rate of 5.58% per annum. Proceeds from the commercial paper program were used to reduce BPLP’s 2023 Unsecured Term Loan to $700.0 million.</w:t>
      </w:r>
    </w:p>
    <w:p>
      <w:pPr>
        <w:spacing w:after="0" w:line="129" w:lineRule="exact"/>
        <w:rPr>
          <w:sz w:val="20"/>
          <w:szCs w:val="20"/>
          <w:color w:val="auto"/>
        </w:rPr>
      </w:pPr>
    </w:p>
    <w:p>
      <w:pPr>
        <w:ind w:right="600" w:firstLine="445"/>
        <w:spacing w:after="0" w:line="268" w:lineRule="auto"/>
        <w:rPr>
          <w:sz w:val="20"/>
          <w:szCs w:val="20"/>
          <w:color w:val="auto"/>
        </w:rPr>
      </w:pPr>
      <w:r>
        <w:rPr>
          <w:rFonts w:ascii="Arial" w:cs="Arial" w:eastAsia="Arial" w:hAnsi="Arial"/>
          <w:sz w:val="18"/>
          <w:szCs w:val="18"/>
          <w:color w:val="auto"/>
        </w:rPr>
        <w:t>On April 29, 2024, BPLP increased the current maximum borrowing amount under the 2021 Credit Facility from $1.815 billion to $2.0 billion. All other terms of the 2021 Credit Facility, including its maturity date of June 15, 2026, remain unchanged. BPLP had no borrowings under the 2021 Credit Facility as of May 2, 2024.</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104"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The following discussion should be read in conjunction with the financial statements and notes thereto appearing elsewhere in this report.</w:t>
      </w:r>
    </w:p>
    <w:p>
      <w:pPr>
        <w:spacing w:after="0" w:line="18"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This Quarterly Report on Form 10-Q, including the documents incorporated by reference, contain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w:t>
      </w:r>
      <w:r>
        <w:rPr>
          <w:rFonts w:ascii="Arial" w:cs="Arial" w:eastAsia="Arial" w:hAnsi="Arial"/>
          <w:sz w:val="18"/>
          <w:szCs w:val="18"/>
          <w:color w:val="212529"/>
        </w:rPr>
        <w:t>“</w:t>
      </w:r>
      <w:r>
        <w:rPr>
          <w:rFonts w:ascii="Arial" w:cs="Arial" w:eastAsia="Arial" w:hAnsi="Arial"/>
          <w:sz w:val="18"/>
          <w:szCs w:val="18"/>
          <w:color w:val="auto"/>
        </w:rPr>
        <w:t>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39" w:lineRule="exact"/>
        <w:rPr>
          <w:sz w:val="20"/>
          <w:szCs w:val="20"/>
          <w:color w:val="auto"/>
        </w:rPr>
      </w:pPr>
    </w:p>
    <w:p>
      <w:pPr>
        <w:ind w:firstLine="405"/>
        <w:spacing w:after="0" w:line="274" w:lineRule="auto"/>
        <w:rPr>
          <w:sz w:val="20"/>
          <w:szCs w:val="20"/>
          <w:color w:val="auto"/>
        </w:rPr>
      </w:pPr>
      <w:r>
        <w:rPr>
          <w:rFonts w:ascii="Arial" w:cs="Arial" w:eastAsia="Arial" w:hAnsi="Arial"/>
          <w:sz w:val="17"/>
          <w:szCs w:val="17"/>
          <w:color w:val="auto"/>
        </w:rPr>
        <w:t>The most significant factors that may cause actual results to differ materially from those expressed or implied by the forward-looking statements include the risks and uncertainties related to the impact of changes in general economic and capital market conditions, including continued inflation, increasing interest rates, supply chain disruptions, labor market disruptions, dislocation and volatility in capital markets, and potential longer-term changes in consumer and client behavior resulting from the severity and duration of any downturn in the U.S. or global economy, sustained changes in client preferences and space utilization, as well as the other important factors below and the risks described in (i) our Annual Report on Form 10-K for the fiscal year ended December 31, 2023 including those described under the caption “Risk Factors,” (ii) our subsequent filings under the Exchange Act and (iii) the risk factors set forth in this Form 10-Q in Part II, Item 1A, if any.</w:t>
      </w:r>
    </w:p>
    <w:p>
      <w:pPr>
        <w:spacing w:after="0" w:line="112"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31" w:lineRule="exact"/>
        <w:rPr>
          <w:sz w:val="20"/>
          <w:szCs w:val="20"/>
          <w:color w:val="auto"/>
        </w:rPr>
      </w:pPr>
    </w:p>
    <w:p>
      <w:pPr>
        <w:ind w:left="1300" w:hanging="644"/>
        <w:spacing w:after="0" w:line="268"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volatile or adverse global economic and geopolitical conditions, health crises and dislocations in the credit markets could adversely affect economic conditions and/or restrict our access to cost-effective capital, which could have a material adverse effect on our business opportunities, results of operations and financial condition;</w:t>
      </w:r>
    </w:p>
    <w:p>
      <w:pPr>
        <w:spacing w:after="0" w:line="62" w:lineRule="exact"/>
        <w:rPr>
          <w:rFonts w:ascii="Arial" w:cs="Arial" w:eastAsia="Arial" w:hAnsi="Arial"/>
          <w:sz w:val="18"/>
          <w:szCs w:val="18"/>
          <w:color w:val="auto"/>
        </w:rPr>
      </w:pPr>
    </w:p>
    <w:p>
      <w:pPr>
        <w:ind w:left="1300" w:right="220" w:hanging="644"/>
        <w:spacing w:after="0" w:line="268"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risks affecting the real estate industry (including, without limitation, the inability to enter into or renew leases, changes in client preferences and space utilization, dependence on clients’ financial condition, and competition from other developers, owners and operators of real estate);</w:t>
      </w:r>
    </w:p>
    <w:p>
      <w:pPr>
        <w:spacing w:after="0" w:line="62" w:lineRule="exact"/>
        <w:rPr>
          <w:rFonts w:ascii="Arial" w:cs="Arial" w:eastAsia="Arial" w:hAnsi="Arial"/>
          <w:sz w:val="18"/>
          <w:szCs w:val="18"/>
          <w:color w:val="auto"/>
        </w:rPr>
      </w:pPr>
    </w:p>
    <w:p>
      <w:pPr>
        <w:ind w:left="1300" w:right="240" w:hanging="644"/>
        <w:spacing w:after="0" w:line="28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manage effectively our growth and expansion into new markets and sub-markets or to integrate acquisitions and developments successfully;</w:t>
      </w:r>
    </w:p>
    <w:p>
      <w:pPr>
        <w:spacing w:after="0" w:line="44"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joint venture partners to satisfy their obligations;</w:t>
      </w:r>
    </w:p>
    <w:p>
      <w:pPr>
        <w:spacing w:after="0" w:line="117" w:lineRule="exact"/>
        <w:rPr>
          <w:rFonts w:ascii="Arial" w:cs="Arial" w:eastAsia="Arial" w:hAnsi="Arial"/>
          <w:sz w:val="18"/>
          <w:szCs w:val="18"/>
          <w:color w:val="auto"/>
        </w:rPr>
      </w:pPr>
    </w:p>
    <w:p>
      <w:pPr>
        <w:ind w:left="1300" w:hanging="644"/>
        <w:spacing w:after="0" w:line="262"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and uncertainties affecting property development and construction (including, without limitation, continued inflation, supply chain disruptions, labor shortages, construction delays, increased construction costs, cost overruns, inability to obtain necessary permits, client accounting considerations that may result in negotiated lease provisions that limit a client’s liability during construction, and public opposition to such activities);</w:t>
      </w:r>
    </w:p>
    <w:p>
      <w:pPr>
        <w:spacing w:after="0" w:line="68" w:lineRule="exact"/>
        <w:rPr>
          <w:rFonts w:ascii="Arial" w:cs="Arial" w:eastAsia="Arial" w:hAnsi="Arial"/>
          <w:sz w:val="18"/>
          <w:szCs w:val="18"/>
          <w:color w:val="auto"/>
        </w:rPr>
      </w:pPr>
    </w:p>
    <w:p>
      <w:pPr>
        <w:ind w:left="1300" w:right="340" w:hanging="644"/>
        <w:spacing w:after="0" w:line="318"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forward interest rate contracts and derivatives and the effectiveness of such arrangements;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actual or threatened terrorist attacks;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compliance with the Americans with Disabilities Act and other similar laws;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117" w:lineRule="exact"/>
        <w:rPr>
          <w:rFonts w:ascii="Arial" w:cs="Arial" w:eastAsia="Arial" w:hAnsi="Arial"/>
          <w:sz w:val="18"/>
          <w:szCs w:val="18"/>
          <w:color w:val="auto"/>
        </w:rPr>
      </w:pPr>
    </w:p>
    <w:p>
      <w:pPr>
        <w:ind w:left="1300" w:right="400" w:hanging="644"/>
        <w:spacing w:after="0" w:line="28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climate change and severe weather events, as well as the regulatory efforts intended to reduce the effects of climate change;</w:t>
      </w:r>
    </w:p>
    <w:p>
      <w:pPr>
        <w:spacing w:after="0" w:line="44" w:lineRule="exact"/>
        <w:rPr>
          <w:rFonts w:ascii="Arial" w:cs="Arial" w:eastAsia="Arial" w:hAnsi="Arial"/>
          <w:sz w:val="18"/>
          <w:szCs w:val="18"/>
          <w:color w:val="auto"/>
        </w:rPr>
      </w:pPr>
    </w:p>
    <w:p>
      <w:pPr>
        <w:ind w:left="1300" w:right="40" w:hanging="644"/>
        <w:spacing w:after="0" w:line="268"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security breaches, incidents, and compromises through cyber-attacks, cyber intrusions or otherwise, as well as other significant disruptions of our information technology (IT) networks and related systems, which support our operations and our buildings;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legal proceedings and other claims that could result in substantial monetary and other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BXP’s potential failure to qualify as a REIT under the Internal Revenue Code of 1986, as amended;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adverse changes in tax and environmental laws;</w:t>
      </w:r>
    </w:p>
    <w:p>
      <w:pPr>
        <w:spacing w:after="0" w:line="117" w:lineRule="exact"/>
        <w:rPr>
          <w:rFonts w:ascii="Arial" w:cs="Arial" w:eastAsia="Arial" w:hAnsi="Arial"/>
          <w:sz w:val="18"/>
          <w:szCs w:val="18"/>
          <w:color w:val="auto"/>
        </w:rPr>
      </w:pPr>
    </w:p>
    <w:p>
      <w:pPr>
        <w:ind w:left="1300" w:right="640" w:hanging="644"/>
        <w:spacing w:after="0" w:line="28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newly adopted accounting principles on our accounting policies and on period-to-period comparisons of financial results;</w:t>
      </w:r>
    </w:p>
    <w:p>
      <w:pPr>
        <w:spacing w:after="0" w:line="44"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possible state and local tax audits;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our dependence on key personnel whose continued service is not guaranteed.</w:t>
      </w:r>
    </w:p>
    <w:p>
      <w:pPr>
        <w:spacing w:after="0" w:line="25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BXP is one of the largest publicly traded office real estate investment trusts (REITs) (based on total market capitalization as of March 31, 2024) in the U.S. that develops, owns, and manages primarily premier workplaces. Our properties are concentrated in six dynamic gateway markets in the U.S.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spacing w:after="0" w:line="131"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We believe the key competitive advantages for BXP are our commitment to the office asset class and to our clients as many competitors disinvest in the sector, a strong balance sheet with access to capital in the secured and unsecured debt and private equity markets, and one of the highest quality portfolios of premier workplaces in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U.S. assembled over several decades of intentional development, acquisitions, and dispositions. Today, clients and their advisors are more focused than ever on these attributes for their building owners, which distinguishes BXP among its competitors.</w:t>
      </w:r>
    </w:p>
    <w:p>
      <w:pPr>
        <w:spacing w:after="0" w:line="99"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Our core strategy has always been to develop, acquire and manage premier workplaces in gateway markets with high barriers-to-entry and attractive demand drivers, and to focus on executing long-term leases with financially strong clients that are diverse across market sectors.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This strategy is more valuable than ever as our clients are interested in premier workplaces in vibrant, amenitized, accessible and high demand workplaces to encourage more in-person work. This interest has resulted in the acceleration of flight to quality in the office industry. Over the past several years, BXP’s experience and performance has diverged from the larger market and media sentiment, as premier workplaces have outperformed the broader office market consistently and substantially. We believe this divergence validates our strategy and differentiates BXP from other office companies. Although overall leasing demand has still not returned to pre-pandemic levels, premier workplaces in our five traditional central business district (“CBD”) markets (Boston, New York, San Francisco, Seattle, and Washington, DC) have consistently outperformed the broader office market in those CBDs since the first quarter of 2021 on several key metrics, including occupancy, net absorption levels and rental rates. This outperformance is evident in BXP’s portfolio where approximately 89% of our share of net operating income (“NOI”) comes from assets located in CBDs that are predominantly premier workplaces. These CBD assets are 91.0% occupied and 92.8% leased (including vacant space for which we have signed leases that have not yet commenced in accordance with generally accepted accounting principles (“GAAP”)) as of the end of the first quarter of 2024. For a detailed discussion of our share of NOI, including the reasons management believes the metric is useful to investors and a reconciliation to the most comparable GAAP measure, see page 31.</w:t>
      </w:r>
    </w:p>
    <w:p>
      <w:pPr>
        <w:spacing w:after="0" w:line="133" w:lineRule="exact"/>
        <w:rPr>
          <w:sz w:val="20"/>
          <w:szCs w:val="20"/>
          <w:color w:val="auto"/>
        </w:rPr>
      </w:pPr>
    </w:p>
    <w:p>
      <w:pPr>
        <w:jc w:val="both"/>
        <w:ind w:right="300" w:firstLine="405"/>
        <w:spacing w:after="0" w:line="268" w:lineRule="auto"/>
        <w:rPr>
          <w:sz w:val="20"/>
          <w:szCs w:val="20"/>
          <w:color w:val="auto"/>
        </w:rPr>
      </w:pPr>
      <w:r>
        <w:rPr>
          <w:rFonts w:ascii="Arial" w:cs="Arial" w:eastAsia="Arial" w:hAnsi="Arial"/>
          <w:sz w:val="18"/>
          <w:szCs w:val="18"/>
          <w:color w:val="auto"/>
        </w:rPr>
        <w:t>As of March 31, 2024, the weighted-average remaining lease term (1) for our in-place leases, based on square feet, including those signed by our unconsolidated joint ventures but excluding residential units, was approximately 7.6 years, and (2) for our 20 largest clients, based on square feet, was approximately 10.4 years.</w:t>
      </w:r>
    </w:p>
    <w:p>
      <w:pPr>
        <w:spacing w:after="0" w:line="117"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31"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understanding of our client’s short- and long-term space utilization and amenity needs in the local markets;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track record of developing and operating premier workplaces in a sustainable and responsible manner;</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as a high-quality developer, owner and manager of premier workplaces in our markets;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strength, including our ability to fund our share of lease obligations and maintain premier building standards;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relationships with local brokers.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Outlook</w:t>
      </w:r>
    </w:p>
    <w:p>
      <w:pPr>
        <w:spacing w:after="0" w:line="1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Two of the most significant external forces impacting BXP’s performance are interest rates and corporate earnings. We believe lower interest rates would improve our cost of capital, spark more transaction activity and investment opportunities in our sector, reduce the cost of new development and be a tailwind for our client’s earnings growth. Greater corporate earning would, in turn, likely encourage our clients to increase their office space requirements. However, with inflation increasing at greater than expected rates, the Federal Reserve has stated that it expects to delay interest rate cuts.</w:t>
      </w:r>
    </w:p>
    <w:p>
      <w:pPr>
        <w:spacing w:after="0" w:line="1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clients generally do not hire new employees and increase their office space requirements unless their earnings are growing or they are in need of additional employees to grow their earnings. From 2011 to present, S&amp;P 500 earnings grew around 12% per year, but in 2023 the growth rate was 0% and in 2022 it was 5%. Though the U.S. economy is growing, and unemployment remains low, only approximately 7% of the jobs created in the first quarter of 2024 were in office using categories compared to the long-term average of over 25%. Growth in S&amp;P 500 earnings are projected to be 11% to 13% per annum over the next two years, which should be constructive to BXP’s leasing activity. Many technology clients, a critically important sector that drove space demand following the Great Financial Crisis, overcommitted to space during the pandemic which has exacerbated the supply-demand imbalance. Over the longer term, we expect earnings at technology companies will grow and they will begin to absorb the available supply.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remote work continues to be a factor restraining demand for office space, we believe economic conditions are the primary driver of leasing activity. As overall earnings growth for our clients and potential clients improves, it should lead to employment growth and demand for office space over time. However, we are not counting on a near-term market recovery to maintain BXP’s occupancy. Our leasing, construction and property management teams will lean on our operating prowess to gain new clients and market share as clients choose premier workplaces that are in sound financial condition for their office space.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evolving operating environment impacts various aspects of our operating activities as:</w:t>
      </w:r>
    </w:p>
    <w:p>
      <w:pPr>
        <w:spacing w:after="0" w:line="171"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labor market conditions shift, which has gradually increased employer demand for mandatory in-person workdays;</w:t>
      </w:r>
    </w:p>
    <w:p>
      <w:pPr>
        <w:spacing w:after="0" w:line="103" w:lineRule="exact"/>
        <w:rPr>
          <w:rFonts w:ascii="Arial" w:cs="Arial" w:eastAsia="Arial" w:hAnsi="Arial"/>
          <w:sz w:val="18"/>
          <w:szCs w:val="18"/>
          <w:color w:val="auto"/>
        </w:rPr>
      </w:pPr>
    </w:p>
    <w:p>
      <w:pPr>
        <w:ind w:left="820" w:right="160" w:hanging="326"/>
        <w:spacing w:after="0" w:line="28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the capital markets has led companies to be more reticent in their capital outlays, including capital required for leasing new space;</w:t>
      </w:r>
    </w:p>
    <w:p>
      <w:pPr>
        <w:spacing w:after="0" w:line="17" w:lineRule="exact"/>
        <w:rPr>
          <w:rFonts w:ascii="Arial" w:cs="Arial" w:eastAsia="Arial" w:hAnsi="Arial"/>
          <w:sz w:val="18"/>
          <w:szCs w:val="18"/>
          <w:color w:val="auto"/>
        </w:rPr>
      </w:pPr>
    </w:p>
    <w:p>
      <w:pPr>
        <w:ind w:left="820" w:right="640" w:hanging="326"/>
        <w:spacing w:after="0" w:line="28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capital costs have increased due to higher interest rates and credit spreads, and private market debt financing, both for construction and existing assets, is significantly more challenging to arrange; and</w:t>
      </w:r>
    </w:p>
    <w:p>
      <w:pPr>
        <w:spacing w:after="0" w:line="31" w:lineRule="exact"/>
        <w:rPr>
          <w:rFonts w:ascii="Arial" w:cs="Arial" w:eastAsia="Arial" w:hAnsi="Arial"/>
          <w:sz w:val="18"/>
          <w:szCs w:val="18"/>
          <w:color w:val="auto"/>
        </w:rPr>
      </w:pPr>
    </w:p>
    <w:p>
      <w:pPr>
        <w:ind w:left="820" w:right="80" w:hanging="326"/>
        <w:spacing w:after="0" w:line="28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construction costs have increased and, although much of the cost for our active development pipeline is fixed, the cost of potential future construction activity continues to increase.</w:t>
      </w:r>
    </w:p>
    <w:p>
      <w:pPr>
        <w:spacing w:after="0" w:line="99"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In light of the uncertain trajectory of the U.S. and global economies, we believe we continue to position BXP for success by increasing liquidity, managing our leverage, pursuing additional capital raising opportunities and maintaining discipline in discretionary capital expenditures, while continuing to selectively invest (including through both acquisitions and developments) in premier workplace opportunities. We remain focused on the following strategies:</w:t>
      </w:r>
    </w:p>
    <w:p>
      <w:pPr>
        <w:spacing w:after="0" w:line="122" w:lineRule="exact"/>
        <w:rPr>
          <w:sz w:val="20"/>
          <w:szCs w:val="20"/>
          <w:color w:val="auto"/>
        </w:rPr>
      </w:pPr>
    </w:p>
    <w:p>
      <w:pPr>
        <w:ind w:left="820" w:right="300" w:hanging="326"/>
        <w:spacing w:after="0" w:line="28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to embrace our leadership position in the premier workplace segment and leveraging our strength in portfolio quality, client relationships, development skills, market penetration and sustainability to profitably build market share;</w:t>
      </w:r>
    </w:p>
    <w:p>
      <w:pPr>
        <w:spacing w:after="0" w:line="31"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leasing available space in our in-service and development properties, as well as proactively focusing on future lease expirations;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completing the construction and leasing of our development properties;</w:t>
      </w:r>
    </w:p>
    <w:p>
      <w:pPr>
        <w:spacing w:after="0" w:line="103" w:lineRule="exact"/>
        <w:rPr>
          <w:rFonts w:ascii="Arial" w:cs="Arial" w:eastAsia="Arial" w:hAnsi="Arial"/>
          <w:sz w:val="18"/>
          <w:szCs w:val="18"/>
          <w:color w:val="auto"/>
        </w:rPr>
      </w:pPr>
    </w:p>
    <w:p>
      <w:pPr>
        <w:ind w:left="820" w:right="720" w:hanging="326"/>
        <w:spacing w:after="0" w:line="28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pursuing attractive asset class adjacencies where we have a track record of success, such as life sciences and residential development;</w:t>
      </w:r>
    </w:p>
    <w:p>
      <w:pPr>
        <w:spacing w:after="0" w:line="31" w:lineRule="exact"/>
        <w:rPr>
          <w:rFonts w:ascii="Arial" w:cs="Arial" w:eastAsia="Arial" w:hAnsi="Arial"/>
          <w:sz w:val="18"/>
          <w:szCs w:val="18"/>
          <w:color w:val="auto"/>
        </w:rPr>
      </w:pPr>
    </w:p>
    <w:p>
      <w:pPr>
        <w:ind w:left="820" w:hanging="326"/>
        <w:spacing w:after="0" w:line="268"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to raise the bar in the quality of our portfolio and actively recycling capital by selling assets, subject to market conditions, which have been, and may continue to be, negatively impacted by a slowdown in the capital markets, elevated interest rates, and the limited availability of private market debt financing;</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actively managing our operations in a sustainable and responsible manner; and</w:t>
      </w:r>
    </w:p>
    <w:p>
      <w:pPr>
        <w:spacing w:after="0" w:line="103" w:lineRule="exact"/>
        <w:rPr>
          <w:rFonts w:ascii="Arial" w:cs="Arial" w:eastAsia="Arial" w:hAnsi="Arial"/>
          <w:sz w:val="18"/>
          <w:szCs w:val="18"/>
          <w:color w:val="auto"/>
        </w:rPr>
      </w:pPr>
    </w:p>
    <w:p>
      <w:pPr>
        <w:ind w:left="820" w:right="260" w:hanging="326"/>
        <w:spacing w:after="0" w:line="28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prioritizing risk management by actively managing liquidity, investing more extensively with joint venture partners to manage our debt levels, and being highly selective in new investment commitments.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an overview of leasing and investment activity in the first quarter of 2024 and recent business highlights.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Activity and Occupancy</w:t>
      </w:r>
    </w:p>
    <w:p>
      <w:pPr>
        <w:spacing w:after="0" w:line="102"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The macroeconomic environment has resulted in softening demand in all of our markets. While property tours continue and leases under negotiation move forward, there is less urgency from clients to make new commitments. Potential clients touring space acknowledge that economic uncertainty is impacting space decisions. Also impacting clients decisions are the building quality as well as the financial stability and long-term commitment of their building owners, both strong competitive advantages for BXP.</w:t>
      </w:r>
    </w:p>
    <w:p>
      <w:pPr>
        <w:spacing w:after="0" w:line="122" w:lineRule="exact"/>
        <w:rPr>
          <w:sz w:val="20"/>
          <w:szCs w:val="20"/>
          <w:color w:val="auto"/>
        </w:rPr>
      </w:pPr>
    </w:p>
    <w:p>
      <w:pPr>
        <w:jc w:val="both"/>
        <w:ind w:right="280" w:firstLine="405"/>
        <w:spacing w:after="0" w:line="268" w:lineRule="auto"/>
        <w:rPr>
          <w:sz w:val="20"/>
          <w:szCs w:val="20"/>
          <w:color w:val="auto"/>
        </w:rPr>
      </w:pPr>
      <w:r>
        <w:rPr>
          <w:rFonts w:ascii="Arial" w:cs="Arial" w:eastAsia="Arial" w:hAnsi="Arial"/>
          <w:sz w:val="18"/>
          <w:szCs w:val="18"/>
          <w:color w:val="auto"/>
        </w:rPr>
        <w:t>In the first quarter of 2024, we executed 61 leases totaling approximately 900,000 square feet with a weighted-average lease term of approximately 11.6 years, compared to approximately 660,500 square feet of leases executed in the first quarter of 2023 with a weighted-average lease term of approximately 7.7 years.</w:t>
      </w:r>
    </w:p>
    <w:p>
      <w:pPr>
        <w:spacing w:after="0" w:line="117"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BXP’s CBD portfolio of premier workplaces was 91.0% occupied and 92.8% leased (including vacant space for which we have signed leases that have not yet commenced in accordance with GAAP) at March 31, 2024.</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Approximately 89% of our share of NOI comes from assets located in our CBD portfolio, underscoring the strength of BXP’s strategy to invest in the highest quality buildings in dynamic urban gateway markets. For a detailed discussion of our share of NOI, including the reasons management believes the metric is useful to investors and a reconciliation to the most comparable GAAP measure, see page 31.</w:t>
      </w:r>
    </w:p>
    <w:p>
      <w:pPr>
        <w:spacing w:after="0" w:line="117"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overall occupancy of our in-service office and retail properties was 88.2% at March 31, 2024, a decrease of 20 basis points from December 31, 2023. We define occupancy as space with signed leases for which revenue recognition has commenced in accordance with GAAP. Including vacant space for which we have signed leases that have not yet commenced revenue recognition in accordance with GAAP, our in-service office and retail properties were approximately 89.9% leased at March 31, 2024.</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Activity</w:t>
      </w:r>
    </w:p>
    <w:p>
      <w:pPr>
        <w:spacing w:after="0" w:line="10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remain in active pursuit of opportunities in our core markets and asset types with primarily two types of counterparties: lenders to highly leveraged assets that require recapitalization and institutional owners seeking to diversify from the office asset class. To date, there has been limited market transaction activity for higher-quality office assets. With lenders, there are fewer premier workplaces that are struggling with leverage, and in the few cases involving premier workplaces, lenders are generally electing to extend loans to borrowers who agree to invest modestly in their assets. Institutional owners are less interested in selling their higher quality assets, and there remains a material bid-ask spread given assets have in most cases not been marked down to market clearing levels. Notwithstanding these current challenges, our expectations are that transactions and our investment activity will increase in coming quarters given the volume of maturing financings, continued mark downs in institutional portfolios and prolonged high interest rates. We also have interest from institutional investors in co-investing with us for select opportunities.</w:t>
      </w:r>
    </w:p>
    <w:p>
      <w:pPr>
        <w:spacing w:after="0" w:line="12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Consistent with this strategy, on January 8, 2024, we completed the acquisition of our joint venture partner’s 50% economic ownership interest in the joint venture that owns 901 New York Avenue located in Washington, DC for a purchase price of $10.0 million and recorded a gain on consolidation of approximately $21.8 million. This transaction was sparked by our partner’s election to reduce their exposure to the office sector, and we agreed to purchase their interest on attractive terms. The property is encumbered by an approximately $207.1 million mortgage debt, at acquisition, which bears interest at 3.61% per annum and matures on January 5, 2025. Following the acquisition, we modified the mortgage loan to provide for two loan extension options totaling five years of additional term, each subject to certain conditions. The first loan extension option is for four years at a fixed interest rate of 5.0% per annum. We also extended an approximately 200,000 square foot lease with the anchor client through 2042 after the acquisition. 901 New York Avenue is a premier workplace consisting of approximately 524,000 net rentable square feet.</w:t>
      </w:r>
    </w:p>
    <w:p>
      <w:pPr>
        <w:spacing w:after="0" w:line="12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Also, on March 21, 2024, we completed the previously announced sale of a 45% interest in 290 Binney Street, a life sciences development located in Kendall Square in Cambridge, Massachusetts, to an institutional investor. The institutional investor’s investment in 290 Binney Street will reduce our share of the project’s estimated development spend over time by approximately $533.5 million, including $141.8 million that was funded at closing. The consummation of this joint venture completed the institutional investor’s two-building investment in Cambridge, Massachusetts with a gross valuation of approximately $1.66 billion or $2,050 per square foot. The properties, 290 Binney Street and 300 Binney Street, total 802,000 net rentable square feet and are 100% pre-leased. We retain a 55% interest in each joint venture and provide development, property management, and leasing services for the ventures.</w:t>
      </w:r>
    </w:p>
    <w:p>
      <w:pPr>
        <w:spacing w:after="0" w:line="129"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As of March 31, 2024, our development/redevelopment pipeline consisted of 11 properties that, when completed, we expect will total approximately 3.2 million net rentable square feet. Our share of the estimated total cost for these projects is approximately $2.6 billion, of which approximately $1.4 billion remains to be invested. The commercial space in the pipeline, which excludes the residential projects, was 54% pre-leased as of May 2, 2024.</w:t>
      </w:r>
    </w:p>
    <w:p>
      <w:pPr>
        <w:spacing w:after="0" w:line="122"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As we continue to focus on new investments to drive future growth, we regularly review our portfolio to identify properties as potential sales candidates that either no longer fit within our portfolio strategy or could attract premium pricing in the current market. However, the asset sale market for all real estate asset classes has slowed dramatically while interest rates remain elevated and transaction volume for office assets continues to be minimal in the U.S.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brief overview of each of our markets follows.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Boston</w:t>
      </w:r>
    </w:p>
    <w:p>
      <w:pPr>
        <w:spacing w:after="0" w:line="102" w:lineRule="exact"/>
        <w:rPr>
          <w:sz w:val="20"/>
          <w:szCs w:val="20"/>
          <w:color w:val="auto"/>
        </w:rPr>
      </w:pPr>
    </w:p>
    <w:p>
      <w:pPr>
        <w:jc w:val="both"/>
        <w:ind w:right="280" w:firstLine="405"/>
        <w:spacing w:after="0" w:line="268" w:lineRule="auto"/>
        <w:rPr>
          <w:sz w:val="20"/>
          <w:szCs w:val="20"/>
          <w:color w:val="auto"/>
        </w:rPr>
      </w:pPr>
      <w:r>
        <w:rPr>
          <w:rFonts w:ascii="Arial" w:cs="Arial" w:eastAsia="Arial" w:hAnsi="Arial"/>
          <w:sz w:val="18"/>
          <w:szCs w:val="18"/>
          <w:color w:val="auto"/>
        </w:rPr>
        <w:t>During the first quarter of 2024, we executed approximately 178,000 square feet of leases and approximately 435,000 square feet of leases commenced in the Boston region. Approximately 374,000 square feet of the leases that commenced had been vacant for less than one year and represent an increase in net rental obligations of approximately 21.4% over the prior leases.</w:t>
      </w:r>
    </w:p>
    <w:p>
      <w:pPr>
        <w:spacing w:after="0" w:line="117"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As of March 31, 2024, our approximately 8.3 million square foot Boston CBD in-service portfolio was approximately 94.7% occupied and approximately 95.9% leased (including vacant space for which we have signed leases that have not yet commenced in accordance with GAAP).</w:t>
      </w:r>
    </w:p>
    <w:p>
      <w:pPr>
        <w:spacing w:after="0" w:line="117"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Our approximately 2.5 million square foot in-service premier workplace CBD portfolio in Cambridge was approximately 97.4% occupied and leased (including vacant space for which we have signed leases that have not yet commenced in accordance with GAAP) as of March 31, 2024.</w:t>
      </w:r>
    </w:p>
    <w:p>
      <w:pPr>
        <w:spacing w:after="0" w:line="117" w:lineRule="exact"/>
        <w:rPr>
          <w:sz w:val="20"/>
          <w:szCs w:val="20"/>
          <w:color w:val="auto"/>
        </w:rPr>
      </w:pPr>
    </w:p>
    <w:p>
      <w:pPr>
        <w:jc w:val="both"/>
        <w:ind w:right="160" w:firstLine="405"/>
        <w:spacing w:after="0" w:line="268" w:lineRule="auto"/>
        <w:rPr>
          <w:sz w:val="20"/>
          <w:szCs w:val="20"/>
          <w:color w:val="auto"/>
        </w:rPr>
      </w:pPr>
      <w:r>
        <w:rPr>
          <w:rFonts w:ascii="Arial" w:cs="Arial" w:eastAsia="Arial" w:hAnsi="Arial"/>
          <w:sz w:val="18"/>
          <w:szCs w:val="18"/>
          <w:color w:val="auto"/>
        </w:rPr>
        <w:t>As of March 31, 2024, our Route 128-Mass Turnpike in-service portfolio is comprised of approximately 4.7 million square feet and was approximately 79.3% occupied and approximately 79.4% leased (including vacant space for which we have signed leases that have not yet commenced in accordance with GAAP).</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 Angeles</w:t>
      </w:r>
    </w:p>
    <w:p>
      <w:pPr>
        <w:spacing w:after="0" w:line="88"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As of March 31, 2024, our LA in-service properties were approximately 86.1% occupied and 87.2% leased (including vacant space for which we have signed leases that have not yet commenced in accordance with GAAP).</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York</w:t>
      </w:r>
    </w:p>
    <w:p>
      <w:pPr>
        <w:spacing w:after="0" w:line="1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first quarter of 2024, we executed approximately 225,000 square feet of leases in the New York region and approximately 313,000 square feet of leases commenced. Approximately 269,000 square feet of the leases that commenced had been vacant for less than one year and they represent an increase in net rental obligations of approximately 10.5% over the prior leases. As of March 31, 2024, our New York CBD in-service portfolio was approximately 91.5% occupied and approximately 95% leased (including vacant space for which we have signed leases that have not yet commenced in accordance with GAAP).</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San Francisco</w:t>
      </w:r>
    </w:p>
    <w:p>
      <w:pPr>
        <w:spacing w:after="0" w:line="102"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During the first quarter of 2024, we executed approximately 109,000 square feet of leases and approximately 175,000 square feet of leases commenced in the San Francisco region. Approximately 98,000 square feet of leases that commenced had been vacant for less than one year and represent an increase in net rental obligations of approximately 10.0% over the prior leases.</w:t>
      </w:r>
    </w:p>
    <w:p>
      <w:pPr>
        <w:spacing w:after="0" w:line="117"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As of March 31, 2024, our San Francisco CBD in-service properties were approximately 86.6% occupied and approximately 87.4% leased (including vacant space for which we have signed leases that have not yet commenced in accordance with GAAP).</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Seattle</w:t>
      </w:r>
    </w:p>
    <w:p>
      <w:pPr>
        <w:spacing w:after="0" w:line="88" w:lineRule="exact"/>
        <w:rPr>
          <w:sz w:val="20"/>
          <w:szCs w:val="20"/>
          <w:color w:val="auto"/>
        </w:rPr>
      </w:pPr>
    </w:p>
    <w:p>
      <w:pPr>
        <w:jc w:val="both"/>
        <w:ind w:right="320" w:firstLine="405"/>
        <w:spacing w:after="0" w:line="260" w:lineRule="auto"/>
        <w:rPr>
          <w:sz w:val="20"/>
          <w:szCs w:val="20"/>
          <w:color w:val="auto"/>
        </w:rPr>
      </w:pPr>
      <w:r>
        <w:rPr>
          <w:rFonts w:ascii="Arial" w:cs="Arial" w:eastAsia="Arial" w:hAnsi="Arial"/>
          <w:sz w:val="18"/>
          <w:szCs w:val="18"/>
          <w:color w:val="auto"/>
        </w:rPr>
        <w:t>Our Seattle in-service portfolio includes Safeco Plaza, an approximately 769,000 square foot property of which we own 33.67%, and Madison Centre, an approximately 755,000 square foot property. As of March 31, 2024, these in-service properties were approximately</w:t>
      </w:r>
    </w:p>
    <w:p>
      <w:pPr>
        <w:spacing w:after="0" w:line="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81.8% occupied and approximately 83.1% leased (inclusive of vacant space with signed leases that have not yet commenced in accordance with GAAP).</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Washington, DC</w:t>
      </w:r>
    </w:p>
    <w:p>
      <w:pPr>
        <w:spacing w:after="0" w:line="102" w:lineRule="exact"/>
        <w:rPr>
          <w:sz w:val="20"/>
          <w:szCs w:val="20"/>
          <w:color w:val="auto"/>
        </w:rPr>
      </w:pPr>
    </w:p>
    <w:p>
      <w:pPr>
        <w:jc w:val="both"/>
        <w:ind w:right="300" w:firstLine="405"/>
        <w:spacing w:after="0" w:line="268" w:lineRule="auto"/>
        <w:rPr>
          <w:sz w:val="20"/>
          <w:szCs w:val="20"/>
          <w:color w:val="auto"/>
        </w:rPr>
      </w:pPr>
      <w:r>
        <w:rPr>
          <w:rFonts w:ascii="Arial" w:cs="Arial" w:eastAsia="Arial" w:hAnsi="Arial"/>
          <w:sz w:val="18"/>
          <w:szCs w:val="18"/>
          <w:color w:val="auto"/>
        </w:rPr>
        <w:t>During the first quarter of 2024, we executed approximately 336,000 square feet of leases and approximately 438,000 square feet of leases commenced in the Washington, DC region. Approximately 256,000 square feet of the leases that commenced had been vacant for less than one year and represent a decrease in net rental obligations of approximately 4.7% over the prior leases.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firstLine="405"/>
        <w:spacing w:after="0" w:line="287" w:lineRule="auto"/>
        <w:rPr>
          <w:sz w:val="20"/>
          <w:szCs w:val="20"/>
          <w:color w:val="auto"/>
        </w:rPr>
      </w:pPr>
      <w:r>
        <w:rPr>
          <w:rFonts w:ascii="Arial" w:cs="Arial" w:eastAsia="Arial" w:hAnsi="Arial"/>
          <w:sz w:val="18"/>
          <w:szCs w:val="18"/>
          <w:color w:val="auto"/>
        </w:rPr>
        <w:t>As of March 31, 2024, our Washington, DC CBD in-service properties were approximately 86.7% occupied and approximately 88.9% leased (inclusive of vacant space with signed leases that have not yet commenced in accordance with GAAP).</w:t>
      </w:r>
    </w:p>
    <w:p>
      <w:pPr>
        <w:spacing w:after="0" w:line="99"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 significant component of our Washington, DC regional portfolio is in Reston Town Center, an award-winning mixed-use development in Northern Virginia. Reston is a hub for technology, cloud services, cybersecurity and defense intelligence companies. As of March 31, 2024, our Reston CBD portfolio was approximately 93.7% occupied and approximately 95.6% leased (inclusive of vacant space with signed leases that have not yet commenced in accordance with GAAP).</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Statistics</w:t>
      </w:r>
    </w:p>
    <w:p>
      <w:pPr>
        <w:spacing w:after="0" w:line="102"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The table below details the leasing activity, including 100% of the unconsolidated joint ventures, that commenced revenue recognition during the three months ended March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Three months ended March</w:t>
            </w:r>
          </w:p>
        </w:tc>
      </w:tr>
      <w:tr>
        <w:trPr>
          <w:trHeight w:val="216"/>
        </w:trPr>
        <w:tc>
          <w:tcPr>
            <w:tcW w:w="896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31, 2024</w:t>
            </w:r>
          </w:p>
        </w:tc>
      </w:tr>
      <w:tr>
        <w:trPr>
          <w:trHeight w:val="209"/>
        </w:trPr>
        <w:tc>
          <w:tcPr>
            <w:tcW w:w="89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(Square Feet)</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available at the beginning of the period</w:t>
            </w:r>
          </w:p>
        </w:tc>
        <w:tc>
          <w:tcPr>
            <w:tcW w:w="2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5,696,007</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Vacant space from property dispositions/properties taken out of service (1)</w:t>
            </w:r>
          </w:p>
        </w:tc>
        <w:tc>
          <w:tcPr>
            <w:tcW w:w="2260" w:type="dxa"/>
            <w:vAlign w:val="bottom"/>
          </w:tcPr>
          <w:p>
            <w:pPr>
              <w:jc w:val="right"/>
              <w:ind w:right="111"/>
              <w:spacing w:after="0"/>
              <w:rPr>
                <w:sz w:val="20"/>
                <w:szCs w:val="20"/>
                <w:color w:val="auto"/>
              </w:rPr>
            </w:pPr>
            <w:r>
              <w:rPr>
                <w:rFonts w:ascii="Arial" w:cs="Arial" w:eastAsia="Arial" w:hAnsi="Arial"/>
                <w:sz w:val="18"/>
                <w:szCs w:val="18"/>
                <w:color w:val="auto"/>
              </w:rPr>
              <w:t>(233,694)</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from properties placed (and partially placed) in-service (2)</w:t>
            </w:r>
          </w:p>
        </w:tc>
        <w:tc>
          <w:tcPr>
            <w:tcW w:w="2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44,652</w:t>
            </w: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Leases expiring or terminated during the period</w:t>
            </w:r>
          </w:p>
        </w:tc>
        <w:tc>
          <w:tcPr>
            <w:tcW w:w="2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1,684,796</w:t>
            </w: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space available for lease</w:t>
            </w:r>
          </w:p>
        </w:tc>
        <w:tc>
          <w:tcPr>
            <w:tcW w:w="2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7,191,761</w:t>
            </w:r>
          </w:p>
        </w:tc>
      </w:tr>
      <w:tr>
        <w:trPr>
          <w:trHeight w:val="223"/>
        </w:trPr>
        <w:tc>
          <w:tcPr>
            <w:tcW w:w="8960" w:type="dxa"/>
            <w:vAlign w:val="bottom"/>
          </w:tcPr>
          <w:p>
            <w:pPr>
              <w:ind w:left="20"/>
              <w:spacing w:after="0" w:line="223"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generation leases</w:t>
            </w:r>
          </w:p>
        </w:tc>
        <w:tc>
          <w:tcPr>
            <w:tcW w:w="2260" w:type="dxa"/>
            <w:vAlign w:val="bottom"/>
          </w:tcPr>
          <w:p>
            <w:pPr>
              <w:jc w:val="right"/>
              <w:ind w:right="151"/>
              <w:spacing w:after="0"/>
              <w:rPr>
                <w:sz w:val="20"/>
                <w:szCs w:val="20"/>
                <w:color w:val="auto"/>
              </w:rPr>
            </w:pPr>
            <w:r>
              <w:rPr>
                <w:rFonts w:ascii="Arial" w:cs="Arial" w:eastAsia="Arial" w:hAnsi="Arial"/>
                <w:sz w:val="18"/>
                <w:szCs w:val="18"/>
                <w:color w:val="auto"/>
              </w:rPr>
              <w:t>171,991</w:t>
            </w:r>
          </w:p>
        </w:tc>
      </w:tr>
      <w:tr>
        <w:trPr>
          <w:trHeight w:val="229"/>
        </w:trPr>
        <w:tc>
          <w:tcPr>
            <w:tcW w:w="8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leases with new clients</w:t>
            </w:r>
          </w:p>
        </w:tc>
        <w:tc>
          <w:tcPr>
            <w:tcW w:w="2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414,732</w:t>
            </w:r>
          </w:p>
        </w:tc>
      </w:tr>
      <w:tr>
        <w:trPr>
          <w:trHeight w:val="230"/>
        </w:trPr>
        <w:tc>
          <w:tcPr>
            <w:tcW w:w="89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 renewals</w:t>
            </w:r>
          </w:p>
        </w:tc>
        <w:tc>
          <w:tcPr>
            <w:tcW w:w="2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846,432</w:t>
            </w: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space leased (3)</w:t>
            </w:r>
          </w:p>
        </w:tc>
        <w:tc>
          <w:tcPr>
            <w:tcW w:w="2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1,433,155</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Vacant space available for lease at the end of the period</w:t>
            </w:r>
          </w:p>
        </w:tc>
        <w:tc>
          <w:tcPr>
            <w:tcW w:w="2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5,758,606</w:t>
            </w:r>
          </w:p>
        </w:tc>
      </w:tr>
      <w:tr>
        <w:trPr>
          <w:trHeight w:val="20"/>
        </w:trPr>
        <w:tc>
          <w:tcPr>
            <w:tcW w:w="89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37"/>
        </w:trPr>
        <w:tc>
          <w:tcPr>
            <w:tcW w:w="89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Leases executed during the period (4)</w:t>
            </w:r>
          </w:p>
        </w:tc>
        <w:tc>
          <w:tcPr>
            <w:tcW w:w="2260" w:type="dxa"/>
            <w:vAlign w:val="bottom"/>
          </w:tcPr>
          <w:p>
            <w:pPr>
              <w:jc w:val="right"/>
              <w:ind w:right="151"/>
              <w:spacing w:after="0"/>
              <w:rPr>
                <w:sz w:val="20"/>
                <w:szCs w:val="20"/>
                <w:color w:val="auto"/>
              </w:rPr>
            </w:pPr>
            <w:r>
              <w:rPr>
                <w:rFonts w:ascii="Arial" w:cs="Arial" w:eastAsia="Arial" w:hAnsi="Arial"/>
                <w:sz w:val="18"/>
                <w:szCs w:val="18"/>
                <w:color w:val="auto"/>
              </w:rPr>
              <w:t>893,941</w:t>
            </w:r>
          </w:p>
        </w:tc>
      </w:tr>
      <w:tr>
        <w:trPr>
          <w:trHeight w:val="270"/>
        </w:trPr>
        <w:tc>
          <w:tcPr>
            <w:tcW w:w="896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Second generation leasing information</w:t>
            </w:r>
            <w:r>
              <w:rPr>
                <w:rFonts w:ascii="Arial" w:cs="Arial" w:eastAsia="Arial" w:hAnsi="Arial"/>
                <w:sz w:val="18"/>
                <w:szCs w:val="18"/>
                <w:color w:val="auto"/>
              </w:rPr>
              <w:t>: (5)</w:t>
            </w:r>
          </w:p>
        </w:tc>
        <w:tc>
          <w:tcPr>
            <w:tcW w:w="2260" w:type="dxa"/>
            <w:vAlign w:val="bottom"/>
          </w:tcPr>
          <w:p>
            <w:pPr>
              <w:spacing w:after="0"/>
              <w:rPr>
                <w:sz w:val="19"/>
                <w:szCs w:val="19"/>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commencing during the period, in square feet</w:t>
            </w:r>
          </w:p>
        </w:tc>
        <w:tc>
          <w:tcPr>
            <w:tcW w:w="2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1,261,164</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Weighted Average Lease Term</w:t>
            </w:r>
          </w:p>
        </w:tc>
        <w:tc>
          <w:tcPr>
            <w:tcW w:w="2260" w:type="dxa"/>
            <w:vAlign w:val="bottom"/>
          </w:tcPr>
          <w:p>
            <w:pPr>
              <w:jc w:val="right"/>
              <w:spacing w:after="0"/>
              <w:rPr>
                <w:sz w:val="20"/>
                <w:szCs w:val="20"/>
                <w:color w:val="auto"/>
              </w:rPr>
            </w:pPr>
            <w:r>
              <w:rPr>
                <w:rFonts w:ascii="Arial" w:cs="Arial" w:eastAsia="Arial" w:hAnsi="Arial"/>
                <w:sz w:val="18"/>
                <w:szCs w:val="18"/>
                <w:color w:val="auto"/>
              </w:rPr>
              <w:t>110 Months</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Free Rent Period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Days</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Total Transaction Costs Per Square Foot (6)</w:t>
            </w:r>
          </w:p>
        </w:tc>
        <w:tc>
          <w:tcPr>
            <w:tcW w:w="2260" w:type="dxa"/>
            <w:vAlign w:val="bottom"/>
          </w:tcPr>
          <w:p>
            <w:pPr>
              <w:jc w:val="right"/>
              <w:ind w:right="151"/>
              <w:spacing w:after="0"/>
              <w:rPr>
                <w:sz w:val="20"/>
                <w:szCs w:val="20"/>
                <w:color w:val="auto"/>
              </w:rPr>
            </w:pPr>
            <w:r>
              <w:rPr>
                <w:rFonts w:ascii="Arial" w:cs="Arial" w:eastAsia="Arial" w:hAnsi="Arial"/>
                <w:sz w:val="18"/>
                <w:szCs w:val="18"/>
                <w:color w:val="auto"/>
              </w:rPr>
              <w:t>$79.32</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Gross Rents (7)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6.78 %</w:t>
            </w:r>
          </w:p>
        </w:tc>
      </w:tr>
      <w:tr>
        <w:trPr>
          <w:trHeight w:val="239"/>
        </w:trPr>
        <w:tc>
          <w:tcPr>
            <w:tcW w:w="8960" w:type="dxa"/>
            <w:vAlign w:val="bottom"/>
          </w:tcPr>
          <w:p>
            <w:pPr>
              <w:ind w:left="20"/>
              <w:spacing w:after="0"/>
              <w:rPr>
                <w:sz w:val="20"/>
                <w:szCs w:val="20"/>
                <w:color w:val="auto"/>
              </w:rPr>
            </w:pPr>
            <w:r>
              <w:rPr>
                <w:rFonts w:ascii="Arial" w:cs="Arial" w:eastAsia="Arial" w:hAnsi="Arial"/>
                <w:sz w:val="18"/>
                <w:szCs w:val="18"/>
                <w:color w:val="auto"/>
              </w:rPr>
              <w:t>Increase in Net Rents (8)</w:t>
            </w:r>
          </w:p>
        </w:tc>
        <w:tc>
          <w:tcPr>
            <w:tcW w:w="2260" w:type="dxa"/>
            <w:vAlign w:val="bottom"/>
          </w:tcPr>
          <w:p>
            <w:pPr>
              <w:jc w:val="right"/>
              <w:spacing w:after="0"/>
              <w:rPr>
                <w:sz w:val="20"/>
                <w:szCs w:val="20"/>
                <w:color w:val="auto"/>
              </w:rPr>
            </w:pPr>
            <w:r>
              <w:rPr>
                <w:rFonts w:ascii="Arial" w:cs="Arial" w:eastAsia="Arial" w:hAnsi="Arial"/>
                <w:sz w:val="18"/>
                <w:szCs w:val="18"/>
                <w:color w:val="auto"/>
              </w:rPr>
              <w:t>9.62 %</w:t>
            </w:r>
          </w:p>
        </w:tc>
      </w:tr>
    </w:tbl>
    <w:p>
      <w:pPr>
        <w:spacing w:after="0" w:line="5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w:t>
      </w:r>
    </w:p>
    <w:p>
      <w:pPr>
        <w:spacing w:after="0" w:line="35" w:lineRule="exact"/>
        <w:rPr>
          <w:sz w:val="20"/>
          <w:szCs w:val="20"/>
          <w:color w:val="auto"/>
        </w:rPr>
      </w:pPr>
    </w:p>
    <w:p>
      <w:pPr>
        <w:ind w:left="660" w:right="760" w:hanging="328"/>
        <w:spacing w:after="0" w:line="265"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vacant square feet of properties taken out of service during the three months ended March 31, 2024 consists of 162,274 square feet at 1050 Winter Street and 71,420 square feet at 15825 Shady Grove Road.</w:t>
      </w:r>
    </w:p>
    <w:p>
      <w:pPr>
        <w:spacing w:after="0" w:line="50" w:lineRule="exact"/>
        <w:rPr>
          <w:rFonts w:ascii="Arial" w:cs="Arial" w:eastAsia="Arial" w:hAnsi="Arial"/>
          <w:sz w:val="16"/>
          <w:szCs w:val="16"/>
          <w:color w:val="auto"/>
        </w:rPr>
      </w:pPr>
    </w:p>
    <w:p>
      <w:pPr>
        <w:ind w:left="660" w:right="880" w:hanging="328"/>
        <w:spacing w:after="0" w:line="304"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vacant square feet of properties placed (and partially placed) in-service during the three months ended March 31, 2024 consists of 44,652 square feet at 651 Gateway.</w:t>
      </w:r>
    </w:p>
    <w:p>
      <w:pPr>
        <w:spacing w:after="0" w:line="19" w:lineRule="exact"/>
        <w:rPr>
          <w:rFonts w:ascii="Arial" w:cs="Arial" w:eastAsia="Arial" w:hAnsi="Arial"/>
          <w:sz w:val="16"/>
          <w:szCs w:val="16"/>
          <w:color w:val="auto"/>
        </w:rPr>
      </w:pPr>
    </w:p>
    <w:p>
      <w:pPr>
        <w:ind w:left="660" w:right="800" w:hanging="328"/>
        <w:spacing w:after="0" w:line="286"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months ended March 31, 2024.</w:t>
      </w:r>
    </w:p>
    <w:p>
      <w:pPr>
        <w:spacing w:after="0" w:line="34" w:lineRule="exact"/>
        <w:rPr>
          <w:rFonts w:ascii="Arial" w:cs="Arial" w:eastAsia="Arial" w:hAnsi="Arial"/>
          <w:sz w:val="16"/>
          <w:szCs w:val="16"/>
          <w:color w:val="auto"/>
        </w:rPr>
      </w:pPr>
    </w:p>
    <w:p>
      <w:pPr>
        <w:ind w:left="660" w:right="660" w:hanging="328"/>
        <w:spacing w:after="0" w:line="265"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leases executed during the three months ended March 31, 2024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during the three months ended March 31, 2024 is 354,567 square feet.</w:t>
      </w:r>
    </w:p>
    <w:p>
      <w:pPr>
        <w:spacing w:after="0" w:line="51" w:lineRule="exact"/>
        <w:rPr>
          <w:rFonts w:ascii="Arial" w:cs="Arial" w:eastAsia="Arial" w:hAnsi="Arial"/>
          <w:sz w:val="16"/>
          <w:szCs w:val="16"/>
          <w:color w:val="auto"/>
        </w:rPr>
      </w:pPr>
    </w:p>
    <w:p>
      <w:pPr>
        <w:ind w:left="660" w:right="900" w:hanging="328"/>
        <w:spacing w:after="0" w:line="275"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we have previously leased. Of the 1,261,164 square feet of second generation leases that commenced during the three months ended March 31, 2024, leases for 906,597 square feet were signed in prior periods.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700" w:hanging="328"/>
        <w:spacing w:after="0" w:line="286"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spacing w:after="0" w:line="34" w:lineRule="exact"/>
        <w:rPr>
          <w:rFonts w:ascii="Arial" w:cs="Arial" w:eastAsia="Arial" w:hAnsi="Arial"/>
          <w:sz w:val="16"/>
          <w:szCs w:val="16"/>
          <w:color w:val="auto"/>
        </w:rPr>
      </w:pPr>
    </w:p>
    <w:p>
      <w:pPr>
        <w:ind w:left="660" w:right="860" w:hanging="328"/>
        <w:spacing w:after="0" w:line="275"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increase in gross rent (base rent plus expense reimbursements) on the new versus expired leases on the 1,053,391 square feet of second generation leases that had been occupied within the prior 12 months for the three months ended March 31, 2024; excludes leases that management considers temporary because the client is not expected to occupy the space on a long-term basis.</w:t>
      </w:r>
    </w:p>
    <w:p>
      <w:pPr>
        <w:spacing w:after="0" w:line="42" w:lineRule="exact"/>
        <w:rPr>
          <w:rFonts w:ascii="Arial" w:cs="Arial" w:eastAsia="Arial" w:hAnsi="Arial"/>
          <w:sz w:val="16"/>
          <w:szCs w:val="16"/>
          <w:color w:val="auto"/>
        </w:rPr>
      </w:pPr>
    </w:p>
    <w:p>
      <w:pPr>
        <w:ind w:left="660" w:right="660" w:hanging="328"/>
        <w:spacing w:after="0" w:line="286"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increase in net rent (gross rent less operating expenses) on the new versus expired leases on the 1,053,391 square feet of second generation leases that had been occupied within the prior 12 months for the three months ended March 31, 2024.</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during the three months ended March 31, 2024 included the following:</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Acquisition activity</w:t>
      </w:r>
    </w:p>
    <w:p>
      <w:pPr>
        <w:spacing w:after="0" w:line="102" w:lineRule="exact"/>
        <w:rPr>
          <w:sz w:val="20"/>
          <w:szCs w:val="20"/>
          <w:color w:val="auto"/>
        </w:rPr>
      </w:pPr>
    </w:p>
    <w:p>
      <w:pPr>
        <w:ind w:left="1060" w:right="280" w:hanging="323"/>
        <w:spacing w:after="0" w:line="260" w:lineRule="auto"/>
        <w:tabs>
          <w:tab w:leader="none" w:pos="10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January 8, 2024, we completed the acquisition of our joint venture partner’s 50% economic ownership interest in the joint venture that owns 901 New York Avenue, located in Washington, DC. At acquisition, the total net equity acquired was</w:t>
      </w:r>
    </w:p>
    <w:p>
      <w:pPr>
        <w:spacing w:after="0" w:line="1" w:lineRule="exact"/>
        <w:rPr>
          <w:rFonts w:ascii="Arial" w:cs="Arial" w:eastAsia="Arial" w:hAnsi="Arial"/>
          <w:sz w:val="18"/>
          <w:szCs w:val="18"/>
          <w:color w:val="auto"/>
        </w:rPr>
      </w:pPr>
    </w:p>
    <w:p>
      <w:pPr>
        <w:ind w:left="1060" w:right="12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$20.0 million, which includes $10.0 million in cash that we paid for the joint venture partner's 50% economic ownership interest in the joint venture. The property is subject to existing mortgage indebtedness of approximately $207.1 million (See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activit</w:t>
      </w:r>
      <w:r>
        <w:rPr>
          <w:rFonts w:ascii="Arial" w:cs="Arial" w:eastAsia="Arial" w:hAnsi="Arial"/>
          <w:sz w:val="18"/>
          <w:szCs w:val="18"/>
          <w:color w:val="auto"/>
        </w:rPr>
        <w:t>ies below). The acquisition resulted in us recording a gain upon consolidation of approximately $21.8 million, which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fair value of the previously held equity method investment immediately prior to the consolidation of $10.0 million, less our costs basis of approximately $(11.8) million. The gain on consolidation is included within income (loss) from unconsolidated joint ventures in the Consolidated Statement of Operations. 901 New York Avenue is a premier workplace consisting of approximately 524,000 net rentable square feet.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Development activity</w:t>
      </w:r>
    </w:p>
    <w:p>
      <w:pPr>
        <w:spacing w:after="0" w:line="102" w:lineRule="exact"/>
        <w:rPr>
          <w:sz w:val="20"/>
          <w:szCs w:val="20"/>
          <w:color w:val="auto"/>
        </w:rPr>
      </w:pPr>
    </w:p>
    <w:p>
      <w:pPr>
        <w:ind w:left="1060" w:right="380" w:hanging="323"/>
        <w:spacing w:after="0" w:line="268" w:lineRule="auto"/>
        <w:tabs>
          <w:tab w:leader="none" w:pos="10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February 12, 2024, we commenced the development of a residential project at 121 Broadway Street in Cambridge, Massachusetts that is adjacent to our development projects at 290 Binney Street and 300 Binney Street. 121 Broadway will consist of 439 residential units aggregating approximately 492,000 net rentable square feet.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Impairment activity</w:t>
      </w:r>
    </w:p>
    <w:p>
      <w:pPr>
        <w:spacing w:after="0" w:line="88" w:lineRule="exact"/>
        <w:rPr>
          <w:sz w:val="20"/>
          <w:szCs w:val="20"/>
          <w:color w:val="auto"/>
        </w:rPr>
      </w:pPr>
    </w:p>
    <w:p>
      <w:pPr>
        <w:ind w:left="1060" w:right="100" w:hanging="323"/>
        <w:spacing w:after="0" w:line="257" w:lineRule="auto"/>
        <w:tabs>
          <w:tab w:leader="none" w:pos="10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March 31, 2024, we evaluated the expected hold period for a portion of our Shady Grove property located in Rockville, Maryland. Based on a shorter-than-expected hold period, we reduced the carrying value of a portion of the property that we anticipate selling to a third party developer to its estimated fair value at March 31, 2024. As a result, each of BXP and BPLP recognized an impairment loss of approximately $13.6 million. Our estimated fair value was based on Level 3 inputs as defined in Accounting Standards Codification (“ASC”) 820 “Fair Value Measurements and Disclosures” (“ASC 820”) and on a pending offer from a third party.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 activity</w:t>
      </w:r>
    </w:p>
    <w:p>
      <w:pPr>
        <w:spacing w:after="0" w:line="102" w:lineRule="exact"/>
        <w:rPr>
          <w:sz w:val="20"/>
          <w:szCs w:val="20"/>
          <w:color w:val="auto"/>
        </w:rPr>
      </w:pPr>
    </w:p>
    <w:p>
      <w:pPr>
        <w:ind w:left="1060" w:hanging="323"/>
        <w:spacing w:after="0" w:line="253" w:lineRule="auto"/>
        <w:tabs>
          <w:tab w:leader="none" w:pos="10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March 28, 2024, we entered into a 90-year air rights lease with the Massachusetts Department of Transportation for an approximately 61,000 square feet site at the parking garage located at 100 Clarendon Street and the concourse level of the Massachusetts Bay Transportation Authority’s Back Bay Station (the “Station”). The lease requires annual base rental payments of $250,000 until the commencement of construction, as defined in the lease. If we commence construction of a project on the site on or before August 1, 2028 then a final fixed rental payment is due in accordance with the lease at that time. After August 1, 2028, if we commence construction of a project on the site, then a final rental payment based on the then current fair market value will be due at that time. In addition, the lease requires annual payments of $500,000 through 2033 to fund maintenance and improvements to the Station. We have assumed that we will begin construction on the site on or before August 1, 2028. The incremental borrowing rate for this lease is 6.57% per annum. The net present value of the ground lease payments is approximately $23.2 million. We classify this lease as an operating lease. As a result, we recorded a Right of Use Assets – Operating Leases and Lease Liabilities – Operating Leases of approximately $23.9 million and $23.2 million, respectively, on our Consolidated Balance Sheets as of March 31, 2024. There were no lease costs for the period from March 28, 2024 through March 31, 2024.</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Unconsolidated joint venture activities</w:t>
      </w:r>
    </w:p>
    <w:p>
      <w:pPr>
        <w:spacing w:after="0" w:line="102" w:lineRule="exact"/>
        <w:rPr>
          <w:sz w:val="20"/>
          <w:szCs w:val="20"/>
          <w:color w:val="auto"/>
        </w:rPr>
      </w:pPr>
    </w:p>
    <w:p>
      <w:pPr>
        <w:ind w:left="1060" w:right="120" w:hanging="323"/>
        <w:spacing w:after="0" w:line="268" w:lineRule="auto"/>
        <w:tabs>
          <w:tab w:leader="none" w:pos="10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January 2, 2024, a joint venture in which we have a 50% interest partially placed in-service 651 Gateway, an approximately 327,000 net rentable square foot laboratory/life sciences project in South San Francisco, California. The property is approximately 21% pre-leased as of May 2, 2024.</w:t>
      </w:r>
    </w:p>
    <w:p>
      <w:pPr>
        <w:spacing w:after="0" w:line="116" w:lineRule="exact"/>
        <w:rPr>
          <w:rFonts w:ascii="Arial" w:cs="Arial" w:eastAsia="Arial" w:hAnsi="Arial"/>
          <w:sz w:val="18"/>
          <w:szCs w:val="18"/>
          <w:color w:val="auto"/>
        </w:rPr>
      </w:pPr>
    </w:p>
    <w:p>
      <w:pPr>
        <w:ind w:left="1060" w:hanging="323"/>
        <w:spacing w:after="0" w:line="257" w:lineRule="auto"/>
        <w:tabs>
          <w:tab w:leader="none" w:pos="10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On January 8, 2024, we acquired our joint venture partner’s 50% economic ownership interest in the joint venture that owns 901 New York Avenue, located in Washington, DC, for a gross purchase price of $10.0 million in cash (See </w:t>
      </w:r>
      <w:r>
        <w:rPr>
          <w:rFonts w:ascii="Arial" w:cs="Arial" w:eastAsia="Arial" w:hAnsi="Arial"/>
          <w:sz w:val="18"/>
          <w:szCs w:val="18"/>
          <w:i w:val="1"/>
          <w:iCs w:val="1"/>
          <w:color w:val="auto"/>
        </w:rPr>
        <w:t>Acquisition activity</w:t>
      </w:r>
      <w:r>
        <w:rPr>
          <w:rFonts w:ascii="Arial" w:cs="Arial" w:eastAsia="Arial" w:hAnsi="Arial"/>
          <w:sz w:val="18"/>
          <w:szCs w:val="18"/>
          <w:color w:val="auto"/>
        </w:rPr>
        <w:t xml:space="preserve"> above). Prior to the acquisition, we had a 50% economic ownership interest in the joint venture and accounted for it under the equity method of accounting. The acquisition resulted in us having full ownership of the joint venture such that we now account for the assets, liabilities, and operations of it on a consolidated basis in our financial statements instead of under the equity method of accounting and as a result recognized a gain on consolidation of approximately $21.8 million.</w:t>
      </w:r>
    </w:p>
    <w:p>
      <w:pPr>
        <w:spacing w:after="0" w:line="128" w:lineRule="exact"/>
        <w:rPr>
          <w:rFonts w:ascii="Arial" w:cs="Arial" w:eastAsia="Arial" w:hAnsi="Arial"/>
          <w:sz w:val="18"/>
          <w:szCs w:val="18"/>
          <w:color w:val="auto"/>
        </w:rPr>
      </w:pPr>
    </w:p>
    <w:p>
      <w:pPr>
        <w:ind w:left="1060" w:right="100" w:hanging="323"/>
        <w:spacing w:after="0" w:line="259" w:lineRule="auto"/>
        <w:tabs>
          <w:tab w:leader="none" w:pos="10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February 6, 2024, a joint venture in which we own a 25% interest extended the maturity date of the loan collateralized by its 3 Hudson Boulevard property. The extended loan continues to bear interest at a variable rate equal to Term SOFR plus approximately 3.61% per annum and matures on May 9, 2024. At the time of the extension, the loan had an outstanding balance totaling $80.0 million and was scheduled to mature on February 9, 2024. 3 Hudson Boulevard consists of land and improvements held for future development located in New York, New York.</w:t>
      </w:r>
    </w:p>
    <w:p>
      <w:pPr>
        <w:spacing w:after="0" w:line="125" w:lineRule="exact"/>
        <w:rPr>
          <w:rFonts w:ascii="Arial" w:cs="Arial" w:eastAsia="Arial" w:hAnsi="Arial"/>
          <w:sz w:val="18"/>
          <w:szCs w:val="18"/>
          <w:color w:val="auto"/>
        </w:rPr>
      </w:pPr>
    </w:p>
    <w:p>
      <w:pPr>
        <w:ind w:left="1060" w:right="20" w:hanging="323"/>
        <w:spacing w:after="0" w:line="257" w:lineRule="auto"/>
        <w:tabs>
          <w:tab w:leader="none" w:pos="10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February 9, 2024, a joint venture in which we own a 50% interest exercised an option to extend the maturity date of the construction loan collateralized by its 7750 Wisconsin Avenue property. The construction loan had a total commitment amount of approximately $252.6 million. The extended loan continues to bear interest at a variable rate equal to Term SOFR plus 1.35% per annum and matures on April 26, 2025. At the time of the extension, the loan had an outstanding balance totaling approximately $251.6 million and was scheduled to mature on April 26, 2024. 7750 Wisconsin Avenue is a premier workplace with approximately 736,000 net rentable square feet located in Bethesda, Maryland.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Debt activities</w:t>
      </w:r>
    </w:p>
    <w:p>
      <w:pPr>
        <w:spacing w:after="0" w:line="88" w:lineRule="exact"/>
        <w:rPr>
          <w:sz w:val="20"/>
          <w:szCs w:val="20"/>
          <w:color w:val="auto"/>
        </w:rPr>
      </w:pPr>
    </w:p>
    <w:p>
      <w:pPr>
        <w:ind w:left="1060" w:hanging="323"/>
        <w:spacing w:after="0" w:line="257" w:lineRule="auto"/>
        <w:tabs>
          <w:tab w:leader="none" w:pos="10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On January 8, 2024, we acquired our joint venture partner’s 50% economic ownership interest in the joint venture that owns 901 New York Avenue located in Washington, DC (See </w:t>
      </w:r>
      <w:r>
        <w:rPr>
          <w:rFonts w:ascii="Arial" w:cs="Arial" w:eastAsia="Arial" w:hAnsi="Arial"/>
          <w:sz w:val="18"/>
          <w:szCs w:val="18"/>
          <w:i w:val="1"/>
          <w:iCs w:val="1"/>
          <w:color w:val="auto"/>
        </w:rPr>
        <w:t>Acquisition activity</w:t>
      </w:r>
      <w:r>
        <w:rPr>
          <w:rFonts w:ascii="Arial" w:cs="Arial" w:eastAsia="Arial" w:hAnsi="Arial"/>
          <w:sz w:val="18"/>
          <w:szCs w:val="18"/>
          <w:color w:val="auto"/>
        </w:rPr>
        <w:t xml:space="preserve"> and </w:t>
      </w:r>
      <w:r>
        <w:rPr>
          <w:rFonts w:ascii="Arial" w:cs="Arial" w:eastAsia="Arial" w:hAnsi="Arial"/>
          <w:sz w:val="18"/>
          <w:szCs w:val="18"/>
          <w:i w:val="1"/>
          <w:iCs w:val="1"/>
          <w:color w:val="auto"/>
        </w:rPr>
        <w:t>Unconsolidated joint venture activities</w:t>
      </w:r>
      <w:r>
        <w:rPr>
          <w:rFonts w:ascii="Arial" w:cs="Arial" w:eastAsia="Arial" w:hAnsi="Arial"/>
          <w:sz w:val="18"/>
          <w:szCs w:val="18"/>
          <w:color w:val="auto"/>
        </w:rPr>
        <w:t xml:space="preserve"> above). The property is subject to existing mortgage indebtedness. At acquisition, the mortgage loan had an outstanding principal balance of approximately $207.1 million, bore interest at 3.61% per annum and was scheduled to mature on January 5, 2025. The mortgage loan was recorded at a fair value of approximately $198.7 million. On January 11, 2024, we modified the mortgage loan to provide for two extension options totaling five years of additional term, each subject to certain conditions.</w:t>
      </w:r>
    </w:p>
    <w:p>
      <w:pPr>
        <w:spacing w:after="0" w:line="128" w:lineRule="exact"/>
        <w:rPr>
          <w:rFonts w:ascii="Arial" w:cs="Arial" w:eastAsia="Arial" w:hAnsi="Arial"/>
          <w:sz w:val="18"/>
          <w:szCs w:val="18"/>
          <w:color w:val="auto"/>
        </w:rPr>
      </w:pPr>
    </w:p>
    <w:p>
      <w:pPr>
        <w:ind w:left="1060" w:right="40" w:hanging="323"/>
        <w:spacing w:after="0" w:line="259" w:lineRule="auto"/>
        <w:tabs>
          <w:tab w:leader="none" w:pos="10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February 1, 2024, BPLP repaid $700.0 million in aggregate principal amount of its 3.800% senior notes due February 1, 2024. The repayment was completed with available cash and the $600.0 million proceeds from the mortgage loan entered into on October 26, 2023. The repayment price was approximately $713.3 million, which was equal to the stated principal plus approximately $13.3 million of accrued and unpaid interest to, but not including, the repayment date. Excluding the accrued and unpaid interest, the repayment price was equal to the principal amount being repaid.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Noncontrolling interest activity</w:t>
      </w:r>
    </w:p>
    <w:p>
      <w:pPr>
        <w:spacing w:after="0" w:line="102" w:lineRule="exact"/>
        <w:rPr>
          <w:sz w:val="20"/>
          <w:szCs w:val="20"/>
          <w:color w:val="auto"/>
        </w:rPr>
      </w:pPr>
    </w:p>
    <w:p>
      <w:pPr>
        <w:ind w:left="1060" w:hanging="323"/>
        <w:spacing w:after="0" w:line="272" w:lineRule="auto"/>
        <w:tabs>
          <w:tab w:leader="none" w:pos="10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March 21, 2024, we completed the sale of a 45% interest in 290 Binney Street in Cambridge, Massachusetts.  The institutional investor funded approximately $97.2 million in cash at closing, which is less than 45% of the agreed upon carrying value of the property immediately prior to the transaction.  The institutional investor will fund all construction costs until its equity balance is proportionate to its ownership percentage, after which we and the institutional investor will fund the development project based on our respective ownership interests.  We retain a 55% ownership interest in the joint venture.  The transaction did not qualify as a sale of real estate for financial reporting purposes as we continue to effectively control the property and thus will continue to account for the property on a consolidated basis in our financial statements and no gain was recognized in the Consolidated Statements of Operations.  We provide customary development, property management and leasing services to the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60" w:right="440"/>
        <w:spacing w:after="0" w:line="318" w:lineRule="auto"/>
        <w:rPr>
          <w:sz w:val="20"/>
          <w:szCs w:val="20"/>
          <w:color w:val="auto"/>
        </w:rPr>
      </w:pPr>
      <w:r>
        <w:rPr>
          <w:rFonts w:ascii="Arial" w:cs="Arial" w:eastAsia="Arial" w:hAnsi="Arial"/>
          <w:sz w:val="17"/>
          <w:szCs w:val="17"/>
          <w:color w:val="auto"/>
        </w:rPr>
        <w:t>joint venture.  290 Binney Street is an approximately 566,000 net rentable square foot laboratory/life sciences development project located in Cambridge, Massachusetts.  The  development project is 100% pre-leased to a life sciences company.  </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completed subsequent to March 31, 2024 included the following:</w:t>
      </w:r>
    </w:p>
    <w:p>
      <w:pPr>
        <w:spacing w:after="0" w:line="104" w:lineRule="exact"/>
        <w:rPr>
          <w:sz w:val="20"/>
          <w:szCs w:val="20"/>
          <w:color w:val="auto"/>
        </w:rPr>
      </w:pPr>
    </w:p>
    <w:p>
      <w:pPr>
        <w:ind w:left="1060" w:right="180" w:hanging="323"/>
        <w:spacing w:after="0" w:line="287" w:lineRule="auto"/>
        <w:tabs>
          <w:tab w:leader="none" w:pos="10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April 5, 2024, we completed and fully placed in-service 760 Boylston Street, an approximately 118,000 net rentable square feet retail redevelopment located in Boston, Massachusetts.</w:t>
      </w:r>
    </w:p>
    <w:p>
      <w:pPr>
        <w:spacing w:after="0" w:line="98" w:lineRule="exact"/>
        <w:rPr>
          <w:rFonts w:ascii="Arial" w:cs="Arial" w:eastAsia="Arial" w:hAnsi="Arial"/>
          <w:sz w:val="18"/>
          <w:szCs w:val="18"/>
          <w:color w:val="auto"/>
        </w:rPr>
      </w:pPr>
    </w:p>
    <w:p>
      <w:pPr>
        <w:ind w:left="1060" w:right="40" w:hanging="323"/>
        <w:spacing w:after="0" w:line="259" w:lineRule="auto"/>
        <w:tabs>
          <w:tab w:leader="none" w:pos="10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April 16, 2024, BPLP provided notice to exercise its one-year extension option on its $1.2 billion unsecured term loan facility (the “2023 Unsecured Term Loan”). BPLP anticipates effectuating the extension on or prior to the current May 16, 2024 maturity date. Upon effectiveness, the 2023 Unsecured Term Loan will mature on May 16, 2025. After making an approximately $500.0 million optional repayment on April 29, 2024, the 2023 Unsecured Term Loan has an outstanding principal balance of $700.0 million.</w:t>
      </w:r>
    </w:p>
    <w:p>
      <w:pPr>
        <w:spacing w:after="0" w:line="125" w:lineRule="exact"/>
        <w:rPr>
          <w:rFonts w:ascii="Arial" w:cs="Arial" w:eastAsia="Arial" w:hAnsi="Arial"/>
          <w:sz w:val="18"/>
          <w:szCs w:val="18"/>
          <w:color w:val="auto"/>
        </w:rPr>
      </w:pPr>
    </w:p>
    <w:p>
      <w:pPr>
        <w:ind w:left="1060" w:hanging="323"/>
        <w:spacing w:after="0" w:line="255" w:lineRule="auto"/>
        <w:tabs>
          <w:tab w:leader="none" w:pos="10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 million with varying maturities of up to one year. The notes will be sold in private placements and will rank pari passu with all of BPLP’s other unsecured senior indebtedness, including its outstanding senior notes. The commercial paper program is backstopped by available capacity under BPLP's unsecured revolving credit facility (the “2021 Credit Facility”). As of May 2, 2024, BPLP had $500.0 million outstanding under its commercial paper program that bears interest at a weighted-average rate of 5.58% per annum. Proceeds from the commercial paper program were used to reduce BPLP’s 2023 Unsecured Term Loan to $700.0 million.</w:t>
      </w:r>
    </w:p>
    <w:p>
      <w:pPr>
        <w:spacing w:after="0" w:line="130" w:lineRule="exact"/>
        <w:rPr>
          <w:rFonts w:ascii="Arial" w:cs="Arial" w:eastAsia="Arial" w:hAnsi="Arial"/>
          <w:sz w:val="18"/>
          <w:szCs w:val="18"/>
          <w:color w:val="auto"/>
        </w:rPr>
      </w:pPr>
    </w:p>
    <w:p>
      <w:pPr>
        <w:ind w:left="1060" w:right="40" w:hanging="323"/>
        <w:spacing w:after="0" w:line="268" w:lineRule="auto"/>
        <w:tabs>
          <w:tab w:leader="none" w:pos="10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April 29, 2024, BPLP increased the current maximum borrowing amount under the 2021 Credit Facility from $1.815 billion to $2.0 billion. All other terms of the 2021 Credit Facility, including its maturity date of June 15, 2026, remain unchanged. BPLP had no borrowings under the 2021 Credit Facility as of May 2, 2024.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0"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Report on Form 10-K for the year ended December 31, 2023 contains a discussion of our critical accounting estimates.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critical accounting estimates since the year ended December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2024 and 2023</w:t>
      </w:r>
    </w:p>
    <w:p>
      <w:pPr>
        <w:spacing w:after="0" w:line="104"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Net income attributable to Boston Properties, Inc. and net income attributable to Boston Properties Limited Partnership increased approximately $ 2.0 million and $2.3 million, respectively, for the three months ended March 31, 2024 compared to 2023, as detailed in the following tables and for the reasons discussed below under the heading “</w:t>
      </w:r>
      <w:r>
        <w:rPr>
          <w:rFonts w:ascii="Arial" w:cs="Arial" w:eastAsia="Arial" w:hAnsi="Arial"/>
          <w:sz w:val="18"/>
          <w:szCs w:val="18"/>
          <w:i w:val="1"/>
          <w:iCs w:val="1"/>
          <w:color w:val="auto"/>
        </w:rPr>
        <w:t>Comparison of the three months ended March 31, 2024 to the three</w:t>
      </w:r>
      <w:r>
        <w:rPr>
          <w:rFonts w:ascii="Arial" w:cs="Arial" w:eastAsia="Arial" w:hAnsi="Arial"/>
          <w:sz w:val="18"/>
          <w:szCs w:val="18"/>
          <w:color w:val="auto"/>
        </w:rPr>
        <w:t xml:space="preserve"> </w:t>
      </w:r>
      <w:r>
        <w:rPr>
          <w:rFonts w:ascii="Arial" w:cs="Arial" w:eastAsia="Arial" w:hAnsi="Arial"/>
          <w:sz w:val="18"/>
          <w:szCs w:val="18"/>
          <w:i w:val="1"/>
          <w:iCs w:val="1"/>
          <w:color w:val="auto"/>
        </w:rPr>
        <w:t>months ended March 31, 2023” within “Item 2—Management’s Discussion and Analysis of Financial Condition and Results of Operations.</w:t>
      </w:r>
      <w:r>
        <w:rPr>
          <w:rFonts w:ascii="Arial" w:cs="Arial" w:eastAsia="Arial" w:hAnsi="Arial"/>
          <w:sz w:val="18"/>
          <w:szCs w:val="18"/>
          <w:color w:val="auto"/>
        </w:rPr>
        <w:t>”</w:t>
      </w:r>
    </w:p>
    <w:p>
      <w:pPr>
        <w:spacing w:after="0" w:line="122"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The following are reconciliations of Net Income Attributable to Boston Properties, Inc. to Net Operating Income and Net Income Attributable to Boston Properties Limited Partnership to Net Operating Income for the three months ended March 31, 2024 and 2023. For a detailed discussion of Net Operating Income (“NOI”), including the reasons management believes NOI is useful to investors, see page 51.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b w:val="1"/>
                <w:bCs w:val="1"/>
                <w:color w:val="auto"/>
              </w:rPr>
              <w:t>Three months ended March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480"/>
              <w:spacing w:after="0" w:line="155" w:lineRule="exact"/>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53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9"/>
              </w:rPr>
              <w:t>(in thousands)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20.63 %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52.90 %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from investments in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32.79 %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353.48 %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4.78 %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5,235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15"/>
        </w:trPr>
        <w:tc>
          <w:tcPr>
            <w:tcW w:w="6100" w:type="dxa"/>
            <w:vAlign w:val="bottom"/>
          </w:tcPr>
          <w:p>
            <w:pPr>
              <w:ind w:left="52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508,820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491,006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3.63 %</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Increase/</w:t>
            </w:r>
          </w:p>
        </w:tc>
        <w:tc>
          <w:tcPr>
            <w:tcW w:w="1360" w:type="dxa"/>
            <w:vAlign w:val="bottom"/>
          </w:tcPr>
          <w:p>
            <w:pPr>
              <w:jc w:val="right"/>
              <w:ind w:right="51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(Decrease)</w:t>
            </w: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0.75 %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36.46 %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26,755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353.48 %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contracts</w:t>
            </w: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(2,826)</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At March 31, 2024 and 2023, we owned or had joint venture interests in a portfolio of 187 and 192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months ended March 31, 2024 and 2023 show separately the changes attributable to the properties that were owned by us and in-service throughout each period compared (the “Same Property Portfolio”) and the changes attributable to the properties included in the Acquired, Placed In-Service, Development or Redevelopment or Sold Portfolios.</w:t>
      </w:r>
    </w:p>
    <w:p>
      <w:pPr>
        <w:spacing w:after="0" w:line="129"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spacing w:after="0" w:line="128"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impairment loss, depreciation and amortization expense, transaction costs, payroll and related costs from management services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contracts and corporate general and administrative expense less (2) unrealized gain on non-real estate investment, gains from investments in securities, interest and other income (loss),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36"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Boston Properties, Inc. and net income attributable to Boston Properties Limited Partnership as presented in our Consolidated Financial Statements. NOI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when those properties are sold. For additional information see the Explanatory Note that follows the cover page of this Quarterly Report on Form 10-Q.</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three months ended March 31, 2024 to the three months ended March 31, 2023</w:t>
      </w:r>
    </w:p>
    <w:p>
      <w:pPr>
        <w:spacing w:after="0" w:line="8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130 properties totaling approximately 40.8 million net rentable square feet, excluding unconsolidated joint ventures. The Same Property Portfolio includes properties acquired or placed in-service on or prior to January 1, 2023 and owned and in-service through March 31, 2024. The Total Property Portfolio includes the effects of the other properties either acquired, placed in-service, in or held for development or redevelopment after January 1, 2023 or disposed of on or prior to March 31, 2024. This table includes a reconciliation from the Same Property Portfolio to the Total Property Portfolio by also providing information for the three months ended March 31, 2024 and 2023 with respect to the properties that were acquired, placed in-service, in or held for development or redevelopment or sold. We did not sell any properties during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5"/>
          </w:tcPr>
          <w:p>
            <w:pPr>
              <w:ind w:left="40"/>
              <w:spacing w:after="0"/>
              <w:rPr>
                <w:sz w:val="20"/>
                <w:szCs w:val="20"/>
                <w:color w:val="auto"/>
              </w:rPr>
            </w:pPr>
            <w:r>
              <w:rPr>
                <w:rFonts w:ascii="Arial" w:cs="Arial" w:eastAsia="Arial" w:hAnsi="Arial"/>
                <w:sz w:val="13"/>
                <w:szCs w:val="13"/>
                <w:b w:val="1"/>
                <w:bCs w:val="1"/>
                <w:color w:val="auto"/>
              </w:rPr>
              <w:t>Properties in or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vMerge w:val="restart"/>
          </w:tcPr>
          <w:p>
            <w:pPr>
              <w:jc w:val="center"/>
              <w:ind w:right="160"/>
              <w:spacing w:after="0"/>
              <w:rPr>
                <w:sz w:val="20"/>
                <w:szCs w:val="20"/>
                <w:color w:val="auto"/>
              </w:rPr>
            </w:pPr>
            <w:r>
              <w:rPr>
                <w:rFonts w:ascii="Arial" w:cs="Arial" w:eastAsia="Arial" w:hAnsi="Arial"/>
                <w:sz w:val="13"/>
                <w:szCs w:val="13"/>
                <w:b w:val="1"/>
                <w:bCs w:val="1"/>
                <w:color w:val="auto"/>
                <w:w w:val="99"/>
              </w:rPr>
              <w:t>Properties</w:t>
            </w:r>
          </w:p>
        </w:tc>
        <w:tc>
          <w:tcPr>
            <w:tcW w:w="140" w:type="dxa"/>
            <w:vAlign w:val="bottom"/>
          </w:tcPr>
          <w:p>
            <w:pPr>
              <w:spacing w:after="0"/>
              <w:rPr>
                <w:sz w:val="10"/>
                <w:szCs w:val="10"/>
                <w:color w:val="auto"/>
              </w:rPr>
            </w:pPr>
          </w:p>
        </w:tc>
        <w:tc>
          <w:tcPr>
            <w:tcW w:w="1220" w:type="dxa"/>
            <w:vAlign w:val="bottom"/>
            <w:gridSpan w:val="5"/>
          </w:tcPr>
          <w:p>
            <w:pPr>
              <w:ind w:left="260"/>
              <w:spacing w:after="0" w:line="122" w:lineRule="exact"/>
              <w:rPr>
                <w:sz w:val="20"/>
                <w:szCs w:val="20"/>
                <w:color w:val="auto"/>
              </w:rPr>
            </w:pPr>
            <w:r>
              <w:rPr>
                <w:rFonts w:ascii="Arial" w:cs="Arial" w:eastAsia="Arial" w:hAnsi="Arial"/>
                <w:sz w:val="13"/>
                <w:szCs w:val="13"/>
                <w:b w:val="1"/>
                <w:bCs w:val="1"/>
                <w:color w:val="auto"/>
              </w:rPr>
              <w:t>Held for</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w w:val="96"/>
              </w:rPr>
              <w:t>Properties</w:t>
            </w:r>
          </w:p>
        </w:tc>
        <w:tc>
          <w:tcPr>
            <w:tcW w:w="8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Development or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Same Property Portfolio</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Placed In-Service</w:t>
            </w:r>
          </w:p>
        </w:tc>
        <w:tc>
          <w:tcPr>
            <w:tcW w:w="140" w:type="dxa"/>
            <w:vAlign w:val="bottom"/>
          </w:tcPr>
          <w:p>
            <w:pPr>
              <w:spacing w:after="0"/>
              <w:rPr>
                <w:sz w:val="10"/>
                <w:szCs w:val="10"/>
                <w:color w:val="auto"/>
              </w:rPr>
            </w:pPr>
          </w:p>
        </w:tc>
        <w:tc>
          <w:tcPr>
            <w:tcW w:w="1220" w:type="dxa"/>
            <w:vAlign w:val="bottom"/>
            <w:gridSpan w:val="5"/>
          </w:tcPr>
          <w:p>
            <w:pPr>
              <w:ind w:left="40"/>
              <w:spacing w:after="0" w:line="122" w:lineRule="exact"/>
              <w:rPr>
                <w:sz w:val="20"/>
                <w:szCs w:val="20"/>
                <w:color w:val="auto"/>
              </w:rPr>
            </w:pPr>
            <w:r>
              <w:rPr>
                <w:rFonts w:ascii="Arial" w:cs="Arial" w:eastAsia="Arial" w:hAnsi="Arial"/>
                <w:sz w:val="13"/>
                <w:szCs w:val="13"/>
                <w:b w:val="1"/>
                <w:bCs w:val="1"/>
                <w:color w:val="auto"/>
              </w:rPr>
              <w:t>Redevelopment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Total Property Portfolio</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gridSpan w:val="6"/>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6"/>
              </w:rPr>
              <w:t>Acquired Portfolio</w:t>
            </w:r>
          </w:p>
        </w:tc>
        <w:tc>
          <w:tcPr>
            <w:tcW w:w="80" w:type="dxa"/>
            <w:vAlign w:val="bottom"/>
          </w:tcPr>
          <w:p>
            <w:pPr>
              <w:spacing w:after="0"/>
              <w:rPr>
                <w:sz w:val="16"/>
                <w:szCs w:val="16"/>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7"/>
              </w:rPr>
              <w:t>Portfolio</w:t>
            </w:r>
          </w:p>
        </w:tc>
        <w:tc>
          <w:tcPr>
            <w:tcW w:w="140" w:type="dxa"/>
            <w:vAlign w:val="bottom"/>
          </w:tcPr>
          <w:p>
            <w:pPr>
              <w:spacing w:after="0"/>
              <w:rPr>
                <w:sz w:val="16"/>
                <w:szCs w:val="16"/>
                <w:color w:val="auto"/>
              </w:rPr>
            </w:pPr>
          </w:p>
        </w:tc>
        <w:tc>
          <w:tcPr>
            <w:tcW w:w="1220" w:type="dxa"/>
            <w:vAlign w:val="bottom"/>
            <w:gridSpan w:val="5"/>
          </w:tcPr>
          <w:p>
            <w:pPr>
              <w:ind w:left="240"/>
              <w:spacing w:after="0"/>
              <w:rPr>
                <w:sz w:val="20"/>
                <w:szCs w:val="20"/>
                <w:color w:val="auto"/>
              </w:rPr>
            </w:pPr>
            <w:r>
              <w:rPr>
                <w:rFonts w:ascii="Arial" w:cs="Arial" w:eastAsia="Arial" w:hAnsi="Arial"/>
                <w:sz w:val="13"/>
                <w:szCs w:val="13"/>
                <w:b w:val="1"/>
                <w:bCs w:val="1"/>
                <w:color w:val="auto"/>
              </w:rPr>
              <w:t>Portfolio</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720" w:type="dxa"/>
            <w:vAlign w:val="bottom"/>
            <w:tcBorders>
              <w:top w:val="single" w:sz="8" w:color="auto"/>
            </w:tcBorders>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Borders>
              <w:top w:val="single" w:sz="8" w:color="auto"/>
            </w:tcBorders>
          </w:tcPr>
          <w:p>
            <w:pPr>
              <w:jc w:val="right"/>
              <w:ind w:right="177"/>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w w:val="96"/>
              </w:rPr>
              <w:t>2023</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6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99"/>
              </w:rPr>
              <w:t>(Decrease)</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(Decrease)</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3"/>
                <w:szCs w:val="13"/>
                <w:b w:val="1"/>
                <w:bCs w:val="1"/>
                <w:color w:val="auto"/>
                <w:w w:val="95"/>
              </w:rPr>
              <w:t>(dollars in thousands)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Rental Revenue: (1)</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80"/>
              <w:spacing w:after="0" w:line="122" w:lineRule="exact"/>
              <w:rPr>
                <w:sz w:val="20"/>
                <w:szCs w:val="20"/>
                <w:color w:val="auto"/>
              </w:rPr>
            </w:pPr>
            <w:r>
              <w:rPr>
                <w:rFonts w:ascii="Arial" w:cs="Arial" w:eastAsia="Arial" w:hAnsi="Arial"/>
                <w:sz w:val="13"/>
                <w:szCs w:val="13"/>
                <w:color w:val="auto"/>
              </w:rPr>
              <w:t>Lease Revenue</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360"/>
              <w:spacing w:after="0" w:line="122" w:lineRule="exact"/>
              <w:rPr>
                <w:sz w:val="20"/>
                <w:szCs w:val="20"/>
                <w:color w:val="auto"/>
              </w:rPr>
            </w:pPr>
            <w:r>
              <w:rPr>
                <w:rFonts w:ascii="Arial" w:cs="Arial" w:eastAsia="Arial" w:hAnsi="Arial"/>
                <w:sz w:val="13"/>
                <w:szCs w:val="13"/>
                <w:color w:val="auto"/>
              </w:rPr>
              <w:t>(Excluding</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360"/>
              <w:spacing w:after="0" w:line="131" w:lineRule="exact"/>
              <w:rPr>
                <w:sz w:val="20"/>
                <w:szCs w:val="20"/>
                <w:color w:val="auto"/>
              </w:rPr>
            </w:pPr>
            <w:r>
              <w:rPr>
                <w:rFonts w:ascii="Arial" w:cs="Arial" w:eastAsia="Arial" w:hAnsi="Arial"/>
                <w:sz w:val="13"/>
                <w:szCs w:val="13"/>
                <w:color w:val="auto"/>
              </w:rPr>
              <w:t>Termination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00" w:type="dxa"/>
            <w:vAlign w:val="bottom"/>
          </w:tcPr>
          <w:p>
            <w:pPr>
              <w:ind w:left="360"/>
              <w:spacing w:after="0"/>
              <w:rPr>
                <w:sz w:val="20"/>
                <w:szCs w:val="20"/>
                <w:color w:val="auto"/>
              </w:rPr>
            </w:pPr>
            <w:r>
              <w:rPr>
                <w:rFonts w:ascii="Arial" w:cs="Arial" w:eastAsia="Arial" w:hAnsi="Arial"/>
                <w:sz w:val="13"/>
                <w:szCs w:val="13"/>
                <w:color w:val="auto"/>
              </w:rPr>
              <w:t>Income)</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$ 736,512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$ 740,069</w:t>
            </w:r>
          </w:p>
        </w:tc>
        <w:tc>
          <w:tcPr>
            <w:tcW w:w="8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(3,557)</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(0.48)%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25,500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12,436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5,014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$ 774,690</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$ 745,500</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29,190</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3.92 %</w:t>
            </w:r>
          </w:p>
        </w:tc>
        <w:tc>
          <w:tcPr>
            <w:tcW w:w="0" w:type="dxa"/>
            <w:vAlign w:val="bottom"/>
          </w:tcPr>
          <w:p>
            <w:pPr>
              <w:spacing w:after="0"/>
              <w:rPr>
                <w:sz w:val="1"/>
                <w:szCs w:val="1"/>
                <w:color w:val="auto"/>
              </w:rPr>
            </w:pPr>
          </w:p>
        </w:tc>
      </w:tr>
      <w:tr>
        <w:trPr>
          <w:trHeight w:val="183"/>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Termination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828.21 %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925.13 %</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3"/>
                <w:szCs w:val="13"/>
                <w:color w:val="auto"/>
              </w:rPr>
              <w:t>Lease Revenue</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738,322</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740,264</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(1,942)</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(0.26)%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25,689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12,436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5,014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776,689</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745,695</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30,994</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4.16 %</w:t>
            </w: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rPr>
              <w:t>Parking and Other</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23,339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5,095</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31,433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33.97 %</w:t>
            </w:r>
          </w:p>
        </w:tc>
        <w:tc>
          <w:tcPr>
            <w:tcW w:w="0" w:type="dxa"/>
            <w:vAlign w:val="bottom"/>
          </w:tcPr>
          <w:p>
            <w:pPr>
              <w:spacing w:after="0"/>
              <w:rPr>
                <w:sz w:val="1"/>
                <w:szCs w:val="1"/>
                <w:color w:val="auto"/>
              </w:rPr>
            </w:pPr>
          </w:p>
        </w:tc>
      </w:tr>
      <w:tr>
        <w:trPr>
          <w:trHeight w:val="164"/>
        </w:trPr>
        <w:tc>
          <w:tcPr>
            <w:tcW w:w="1500" w:type="dxa"/>
            <w:vAlign w:val="bottom"/>
          </w:tcPr>
          <w:p>
            <w:pPr>
              <w:ind w:left="20"/>
              <w:spacing w:after="0" w:line="146" w:lineRule="exact"/>
              <w:rPr>
                <w:sz w:val="20"/>
                <w:szCs w:val="20"/>
                <w:color w:val="auto"/>
              </w:rPr>
            </w:pPr>
            <w:r>
              <w:rPr>
                <w:rFonts w:ascii="Arial" w:cs="Arial" w:eastAsia="Arial" w:hAnsi="Arial"/>
                <w:sz w:val="13"/>
                <w:szCs w:val="13"/>
                <w:color w:val="auto"/>
              </w:rPr>
              <w:t>Total Rental Revenue (1)</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766,756</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763,603</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3,153</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0.41 %</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28,201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12,923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5,141</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414</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808,122</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769,158</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38,964</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5.07 %</w:t>
            </w: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Real Estate Operating</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292,630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280,084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308,471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285,845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7.92 %</w:t>
            </w:r>
          </w:p>
        </w:tc>
        <w:tc>
          <w:tcPr>
            <w:tcW w:w="0" w:type="dxa"/>
            <w:vAlign w:val="bottom"/>
          </w:tcPr>
          <w:p>
            <w:pPr>
              <w:spacing w:after="0"/>
              <w:rPr>
                <w:sz w:val="1"/>
                <w:szCs w:val="1"/>
                <w:color w:val="auto"/>
              </w:rPr>
            </w:pPr>
          </w:p>
        </w:tc>
      </w:tr>
      <w:tr>
        <w:trPr>
          <w:trHeight w:val="101"/>
        </w:trPr>
        <w:tc>
          <w:tcPr>
            <w:tcW w:w="1500" w:type="dxa"/>
            <w:vAlign w:val="bottom"/>
          </w:tcPr>
          <w:p>
            <w:pPr>
              <w:ind w:left="20"/>
              <w:spacing w:after="0" w:line="102" w:lineRule="exact"/>
              <w:rPr>
                <w:sz w:val="20"/>
                <w:szCs w:val="20"/>
                <w:color w:val="auto"/>
              </w:rPr>
            </w:pPr>
            <w:r>
              <w:rPr>
                <w:rFonts w:ascii="Arial" w:cs="Arial" w:eastAsia="Arial" w:hAnsi="Arial"/>
                <w:sz w:val="10"/>
                <w:szCs w:val="10"/>
                <w:color w:val="auto"/>
              </w:rPr>
              <w:t>Net Operating Income</w:t>
            </w: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80"/>
              <w:spacing w:after="0" w:line="122" w:lineRule="exact"/>
              <w:rPr>
                <w:sz w:val="20"/>
                <w:szCs w:val="20"/>
                <w:color w:val="auto"/>
              </w:rPr>
            </w:pPr>
            <w:r>
              <w:rPr>
                <w:rFonts w:ascii="Arial" w:cs="Arial" w:eastAsia="Arial" w:hAnsi="Arial"/>
                <w:sz w:val="13"/>
                <w:szCs w:val="13"/>
                <w:color w:val="auto"/>
              </w:rPr>
              <w:t>(Loss), Excluding</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3"/>
                <w:szCs w:val="13"/>
                <w:color w:val="auto"/>
              </w:rPr>
              <w:t>Residential and Hotel</w:t>
            </w:r>
          </w:p>
        </w:tc>
        <w:tc>
          <w:tcPr>
            <w:tcW w:w="620" w:type="dxa"/>
            <w:vAlign w:val="bottom"/>
          </w:tcPr>
          <w:p>
            <w:pPr>
              <w:jc w:val="right"/>
              <w:spacing w:after="0"/>
              <w:rPr>
                <w:sz w:val="20"/>
                <w:szCs w:val="20"/>
                <w:color w:val="auto"/>
              </w:rPr>
            </w:pPr>
            <w:r>
              <w:rPr>
                <w:rFonts w:ascii="Arial" w:cs="Arial" w:eastAsia="Arial" w:hAnsi="Arial"/>
                <w:sz w:val="13"/>
                <w:szCs w:val="13"/>
                <w:color w:val="auto"/>
              </w:rPr>
              <w:t>474,126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483,519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(9,393)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18,624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7,960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3"/>
                <w:szCs w:val="13"/>
                <w:color w:val="auto"/>
                <w:w w:val="97"/>
              </w:rPr>
              <w:t>(1,059)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(3,620)</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499,651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483,313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16,338</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3.38 %</w:t>
            </w: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Residential Net Operating</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6,998</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11.74 %</w:t>
            </w:r>
          </w:p>
        </w:tc>
        <w:tc>
          <w:tcPr>
            <w:tcW w:w="0" w:type="dxa"/>
            <w:vAlign w:val="bottom"/>
          </w:tcPr>
          <w:p>
            <w:pPr>
              <w:spacing w:after="0"/>
              <w:rPr>
                <w:sz w:val="1"/>
                <w:szCs w:val="1"/>
                <w:color w:val="auto"/>
              </w:rPr>
            </w:pPr>
          </w:p>
        </w:tc>
      </w:tr>
      <w:tr>
        <w:trPr>
          <w:trHeight w:val="122"/>
        </w:trPr>
        <w:tc>
          <w:tcPr>
            <w:tcW w:w="1500" w:type="dxa"/>
            <w:vAlign w:val="bottom"/>
          </w:tcPr>
          <w:p>
            <w:pPr>
              <w:ind w:left="20"/>
              <w:spacing w:after="0" w:line="122" w:lineRule="exact"/>
              <w:rPr>
                <w:sz w:val="20"/>
                <w:szCs w:val="20"/>
                <w:color w:val="auto"/>
              </w:rPr>
            </w:pPr>
            <w:r>
              <w:rPr>
                <w:rFonts w:ascii="Arial" w:cs="Arial" w:eastAsia="Arial" w:hAnsi="Arial"/>
                <w:sz w:val="13"/>
                <w:szCs w:val="13"/>
                <w:color w:val="auto"/>
              </w:rPr>
              <w:t>Hotel Net Operating</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80"/>
              <w:spacing w:after="0"/>
              <w:rPr>
                <w:sz w:val="20"/>
                <w:szCs w:val="20"/>
                <w:color w:val="auto"/>
              </w:rPr>
            </w:pPr>
            <w:r>
              <w:rPr>
                <w:rFonts w:ascii="Arial" w:cs="Arial" w:eastAsia="Arial" w:hAnsi="Arial"/>
                <w:sz w:val="13"/>
                <w:szCs w:val="13"/>
                <w:color w:val="auto"/>
              </w:rPr>
              <w:t>Income (2)</w:t>
            </w:r>
          </w:p>
        </w:tc>
        <w:tc>
          <w:tcPr>
            <w:tcW w:w="620" w:type="dxa"/>
            <w:vAlign w:val="bottom"/>
          </w:tcPr>
          <w:p>
            <w:pPr>
              <w:jc w:val="right"/>
              <w:spacing w:after="0"/>
              <w:rPr>
                <w:sz w:val="20"/>
                <w:szCs w:val="20"/>
                <w:color w:val="auto"/>
              </w:rPr>
            </w:pPr>
            <w:r>
              <w:rPr>
                <w:rFonts w:ascii="Arial" w:cs="Arial" w:eastAsia="Arial" w:hAnsi="Arial"/>
                <w:sz w:val="13"/>
                <w:szCs w:val="13"/>
                <w:color w:val="auto"/>
              </w:rPr>
              <w:t>2,171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741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51.82 %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2,171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741</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51.82 %</w:t>
            </w:r>
          </w:p>
        </w:tc>
        <w:tc>
          <w:tcPr>
            <w:tcW w:w="0" w:type="dxa"/>
            <w:vAlign w:val="bottom"/>
          </w:tcPr>
          <w:p>
            <w:pPr>
              <w:spacing w:after="0"/>
              <w:rPr>
                <w:sz w:val="1"/>
                <w:szCs w:val="1"/>
                <w:color w:val="auto"/>
              </w:rPr>
            </w:pPr>
          </w:p>
        </w:tc>
      </w:tr>
      <w:tr>
        <w:trPr>
          <w:trHeight w:val="108"/>
        </w:trPr>
        <w:tc>
          <w:tcPr>
            <w:tcW w:w="150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Operating Income</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$ 483,295</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$ 491,212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18,624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97"/>
              </w:rPr>
              <w:t>(1,059)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(3,620)</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$ 508,820</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$ 491,006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17,814</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2" w:lineRule="exact"/>
        <w:rPr>
          <w:sz w:val="20"/>
          <w:szCs w:val="20"/>
          <w:color w:val="auto"/>
        </w:rPr>
      </w:pPr>
    </w:p>
    <w:p>
      <w:pPr>
        <w:ind w:left="660" w:right="100" w:hanging="328"/>
        <w:spacing w:after="0" w:line="263" w:lineRule="auto"/>
        <w:tabs>
          <w:tab w:leader="none" w:pos="6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59" w:lineRule="exact"/>
        <w:rPr>
          <w:rFonts w:ascii="Arial" w:cs="Arial" w:eastAsia="Arial" w:hAnsi="Arial"/>
          <w:sz w:val="14"/>
          <w:szCs w:val="14"/>
          <w:color w:val="auto"/>
        </w:rPr>
      </w:pPr>
    </w:p>
    <w:p>
      <w:pPr>
        <w:ind w:left="660" w:right="80" w:hanging="328"/>
        <w:spacing w:after="0" w:line="269" w:lineRule="auto"/>
        <w:tabs>
          <w:tab w:leader="none" w:pos="6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51. Residential Net Operating Income for the three months ended March 31, 2024 and 2023 is comprised of Residential Revenue of $12,684 and $11,726 less Residential Expenses of $5,686 and $5,463, respectively. Hotel Net Operating Income for the three months ended March 31, 2024 and 2023 is comprised of Hotel Revenue of $8,186 and $8,101 less Hotel Expenses of $6,015 and $6,671, respectively, per the Consolidated Statements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02"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Lease revenue (excluding termination income) from the Same Property Portfolio decreased by approximately $3.6 million for the three months ended March 31, 2024 compared to 2023. The decrease was a result of our average occupancy decreasing from 90.2% to 89.3%, resulting in a decrease of approximately $7.1 million, partially offset by our average revenue per square foot increasing by approximately $0.25, contributing approximately $3.5 million.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increased by approximately $1.6 million for the three months ended March 31, 2024 compared to 2023.</w:t>
      </w:r>
    </w:p>
    <w:p>
      <w:pPr>
        <w:spacing w:after="0" w:line="171"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Termination income for the three months ended March 31, 2024 related to ten clients across the Same Property Portfolio and totaled approximately $1.8 million, which was primarily related to clients that terminated leases early in San Francisco, California.</w:t>
      </w:r>
    </w:p>
    <w:p>
      <w:pPr>
        <w:spacing w:after="0" w:line="99"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Termination income for the three months ended March 31, 2023 related to seven clients across the Same Property Portfolio and totaled approximately $0.2 million, which was primarily related to clients that terminated leases early in New York City.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8" w:lineRule="exact"/>
        <w:rPr>
          <w:sz w:val="20"/>
          <w:szCs w:val="20"/>
          <w:color w:val="auto"/>
        </w:rPr>
      </w:pPr>
    </w:p>
    <w:p>
      <w:pPr>
        <w:ind w:right="440" w:firstLine="405"/>
        <w:spacing w:after="0" w:line="268" w:lineRule="auto"/>
        <w:rPr>
          <w:sz w:val="20"/>
          <w:szCs w:val="20"/>
          <w:color w:val="auto"/>
        </w:rPr>
      </w:pPr>
      <w:r>
        <w:rPr>
          <w:rFonts w:ascii="Arial" w:cs="Arial" w:eastAsia="Arial" w:hAnsi="Arial"/>
          <w:sz w:val="18"/>
          <w:szCs w:val="18"/>
          <w:color w:val="auto"/>
        </w:rPr>
        <w:t>Parking and other revenue increased by approximately $5.1 million for the three months ended March 31, 2024 compared to 2023. Parking and other revenue increased by approximately $0.5 million and $4.6 million, respectively. The increase in other revenue was primarily associated with the View Boston observatory, which was completed and placed in-service on June 1, 2023.</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02"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Real estate operating expenses from the Same Property Portfolio increased by approximately $12.5 million, or 4.5%, for the three months ended March 31, 2024 compared to 2023, due primarily to increases in repairs and maintenance of approximately $3.7 million, or 8.4%, and other real estate operating expenses of approximately $4.9 million, or 2.1%. The increase in repairs and maintenance was primarily in Boston. In addition, there was approximately $3.9 million related to the marketing and operating expenses associated with the View Boston observatory, which was completed and placed in-service on June 1, 2023.</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2" w:lineRule="exact"/>
        <w:rPr>
          <w:sz w:val="20"/>
          <w:szCs w:val="20"/>
          <w:color w:val="auto"/>
        </w:rPr>
      </w:pPr>
    </w:p>
    <w:p>
      <w:pPr>
        <w:jc w:val="both"/>
        <w:ind w:right="180" w:firstLine="445"/>
        <w:spacing w:after="0" w:line="268" w:lineRule="auto"/>
        <w:rPr>
          <w:sz w:val="20"/>
          <w:szCs w:val="20"/>
          <w:color w:val="auto"/>
        </w:rPr>
      </w:pPr>
      <w:r>
        <w:rPr>
          <w:rFonts w:ascii="Arial" w:cs="Arial" w:eastAsia="Arial" w:hAnsi="Arial"/>
          <w:sz w:val="18"/>
          <w:szCs w:val="18"/>
          <w:color w:val="auto"/>
        </w:rPr>
        <w:t>The table below lists the properties acquired between January 1, 2023 and March 31, 2024. Rental revenue and real estate operating expenses increased by approximately $28.2 million and $9.6 million, respectively, for the three months ended March 31, 2024 compared to 2023, as detailed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309"/>
              <w:spacing w:after="0"/>
              <w:rPr>
                <w:sz w:val="20"/>
                <w:szCs w:val="20"/>
                <w:color w:val="auto"/>
              </w:rPr>
            </w:pPr>
            <w:r>
              <w:rPr>
                <w:rFonts w:ascii="Arial" w:cs="Arial" w:eastAsia="Arial" w:hAnsi="Arial"/>
                <w:sz w:val="13"/>
                <w:szCs w:val="13"/>
                <w:b w:val="1"/>
                <w:bCs w:val="1"/>
                <w:color w:val="auto"/>
              </w:rPr>
              <w:t>Real Estate Operating Expenses</w:t>
            </w:r>
          </w:p>
        </w:tc>
      </w:tr>
      <w:tr>
        <w:trPr>
          <w:trHeight w:val="250"/>
        </w:trPr>
        <w:tc>
          <w:tcPr>
            <w:tcW w:w="2620" w:type="dxa"/>
            <w:vAlign w:val="bottom"/>
            <w:gridSpan w:val="2"/>
          </w:tcPr>
          <w:p>
            <w:pPr>
              <w:jc w:val="right"/>
              <w:ind w:right="118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Date acquired</w:t>
            </w: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21"/>
                <w:szCs w:val="21"/>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21"/>
                <w:szCs w:val="21"/>
                <w:color w:val="auto"/>
              </w:rPr>
            </w:pPr>
          </w:p>
        </w:tc>
        <w:tc>
          <w:tcPr>
            <w:tcW w:w="720" w:type="dxa"/>
            <w:vAlign w:val="bottom"/>
          </w:tcPr>
          <w:p>
            <w:pPr>
              <w:jc w:val="right"/>
              <w:ind w:right="23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0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Business Park (1)</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December 14, 2023</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1,182,696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20,401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w:t>
            </w:r>
          </w:p>
        </w:tc>
      </w:tr>
      <w:tr>
        <w:trPr>
          <w:trHeight w:val="199"/>
        </w:trPr>
        <w:tc>
          <w:tcPr>
            <w:tcW w:w="2620" w:type="dxa"/>
            <w:vAlign w:val="bottom"/>
            <w:tcBorders>
              <w:bottom w:val="single" w:sz="8" w:color="CCEEFF"/>
            </w:tcBorders>
            <w:gridSpan w:val="2"/>
          </w:tcPr>
          <w:p>
            <w:pPr>
              <w:jc w:val="right"/>
              <w:ind w:right="1180"/>
              <w:spacing w:after="0"/>
              <w:rPr>
                <w:sz w:val="20"/>
                <w:szCs w:val="20"/>
                <w:color w:val="auto"/>
              </w:rPr>
            </w:pPr>
            <w:r>
              <w:rPr>
                <w:rFonts w:ascii="Arial" w:cs="Arial" w:eastAsia="Arial" w:hAnsi="Arial"/>
                <w:sz w:val="14"/>
                <w:szCs w:val="14"/>
                <w:color w:val="auto"/>
              </w:rPr>
              <w:t>901 New York Avenue</w:t>
            </w: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January 8, 2024</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523,939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1,706,635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9,577</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60" w:hanging="309"/>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6"/>
          <w:szCs w:val="16"/>
          <w:color w:val="auto"/>
        </w:rPr>
        <w:t>Rental revenue for the three months ended March 31, 2024 includes approximately $0.2 million of termination income.</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88" w:lineRule="exact"/>
        <w:rPr>
          <w:sz w:val="20"/>
          <w:szCs w:val="20"/>
          <w:color w:val="auto"/>
        </w:rPr>
      </w:pPr>
    </w:p>
    <w:p>
      <w:pPr>
        <w:jc w:val="both"/>
        <w:ind w:right="260" w:firstLine="445"/>
        <w:spacing w:after="0" w:line="268"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January 1, 2023 and March 31, 2024. Rental revenue and real estate operating expenses from our Properties Placed In-Service Portfolio increased by approximately $7.8 million and $3.2 million, respectively, for the three months ended March 31, 2024 compared to 2023, as detailed below.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1640" w:type="dxa"/>
            <w:vAlign w:val="bottom"/>
            <w:vMerge w:val="restart"/>
          </w:tcPr>
          <w:p>
            <w:pPr>
              <w:ind w:left="64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5"/>
                <w:szCs w:val="15"/>
                <w:color w:val="auto"/>
              </w:rPr>
            </w:pPr>
          </w:p>
        </w:tc>
        <w:tc>
          <w:tcPr>
            <w:tcW w:w="1480" w:type="dxa"/>
            <w:vAlign w:val="bottom"/>
            <w:gridSpan w:val="2"/>
          </w:tcPr>
          <w:p>
            <w:pPr>
              <w:ind w:left="200"/>
              <w:spacing w:after="0"/>
              <w:rPr>
                <w:sz w:val="20"/>
                <w:szCs w:val="20"/>
                <w:color w:val="auto"/>
              </w:rPr>
            </w:pPr>
            <w:r>
              <w:rPr>
                <w:rFonts w:ascii="Arial" w:cs="Arial" w:eastAsia="Arial" w:hAnsi="Arial"/>
                <w:sz w:val="13"/>
                <w:szCs w:val="13"/>
                <w:b w:val="1"/>
                <w:bCs w:val="1"/>
                <w:color w:val="auto"/>
              </w:rPr>
              <w:t>Quarter Initially</w:t>
            </w:r>
          </w:p>
        </w:tc>
        <w:tc>
          <w:tcPr>
            <w:tcW w:w="1440" w:type="dxa"/>
            <w:vAlign w:val="bottom"/>
            <w:gridSpan w:val="2"/>
          </w:tcPr>
          <w:p>
            <w:pPr>
              <w:ind w:left="24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5"/>
                <w:szCs w:val="15"/>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Placed In-Service</w:t>
            </w: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4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2100 Pennsylvania</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144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475,849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7,924</w:t>
            </w:r>
          </w:p>
        </w:tc>
        <w:tc>
          <w:tcPr>
            <w:tcW w:w="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5,141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2,783</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Avenue</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640" w:type="dxa"/>
            <w:vAlign w:val="bottom"/>
          </w:tcPr>
          <w:p>
            <w:pPr>
              <w:ind w:left="20"/>
              <w:spacing w:after="0" w:line="153" w:lineRule="exact"/>
              <w:rPr>
                <w:sz w:val="20"/>
                <w:szCs w:val="20"/>
                <w:color w:val="auto"/>
              </w:rPr>
            </w:pPr>
            <w:r>
              <w:rPr>
                <w:rFonts w:ascii="Arial" w:cs="Arial" w:eastAsia="Arial" w:hAnsi="Arial"/>
                <w:sz w:val="14"/>
                <w:szCs w:val="14"/>
                <w:color w:val="auto"/>
              </w:rPr>
              <w:t>140 Kendrick Street -</w:t>
            </w:r>
          </w:p>
        </w:tc>
        <w:tc>
          <w:tcPr>
            <w:tcW w:w="100" w:type="dxa"/>
            <w:vAlign w:val="bottom"/>
          </w:tcPr>
          <w:p>
            <w:pPr>
              <w:spacing w:after="0"/>
              <w:rPr>
                <w:sz w:val="13"/>
                <w:szCs w:val="13"/>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104,166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85"/>
        </w:trPr>
        <w:tc>
          <w:tcPr>
            <w:tcW w:w="1640" w:type="dxa"/>
            <w:vAlign w:val="bottom"/>
          </w:tcPr>
          <w:p>
            <w:pPr>
              <w:ind w:left="180"/>
              <w:spacing w:after="0"/>
              <w:rPr>
                <w:sz w:val="20"/>
                <w:szCs w:val="20"/>
                <w:color w:val="auto"/>
              </w:rPr>
            </w:pPr>
            <w:r>
              <w:rPr>
                <w:rFonts w:ascii="Arial" w:cs="Arial" w:eastAsia="Arial" w:hAnsi="Arial"/>
                <w:sz w:val="14"/>
                <w:szCs w:val="14"/>
                <w:color w:val="auto"/>
              </w:rPr>
              <w:t>Building A</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180 CityPoint</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Quarter, 2023</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329,000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53"/>
        </w:trPr>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103 CityPoint</w:t>
            </w:r>
          </w:p>
        </w:tc>
        <w:tc>
          <w:tcPr>
            <w:tcW w:w="100" w:type="dxa"/>
            <w:vAlign w:val="bottom"/>
          </w:tcPr>
          <w:p>
            <w:pPr>
              <w:spacing w:after="0"/>
              <w:rPr>
                <w:sz w:val="13"/>
                <w:szCs w:val="13"/>
                <w:color w:val="auto"/>
              </w:rPr>
            </w:pPr>
          </w:p>
        </w:tc>
        <w:tc>
          <w:tcPr>
            <w:tcW w:w="14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Fourth Quarter,</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113,000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5"/>
        </w:trPr>
        <w:tc>
          <w:tcPr>
            <w:tcW w:w="16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1,022,015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12,923</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in or Held for Development or Redevelopment Portfolio</w:t>
      </w:r>
    </w:p>
    <w:p>
      <w:pPr>
        <w:spacing w:after="0" w:line="88" w:lineRule="exact"/>
        <w:rPr>
          <w:sz w:val="20"/>
          <w:szCs w:val="20"/>
          <w:color w:val="auto"/>
        </w:rPr>
      </w:pPr>
    </w:p>
    <w:p>
      <w:pPr>
        <w:ind w:right="320" w:firstLine="445"/>
        <w:spacing w:after="0" w:line="262" w:lineRule="auto"/>
        <w:rPr>
          <w:sz w:val="20"/>
          <w:szCs w:val="20"/>
          <w:color w:val="auto"/>
        </w:rPr>
      </w:pPr>
      <w:r>
        <w:rPr>
          <w:rFonts w:ascii="Arial" w:cs="Arial" w:eastAsia="Arial" w:hAnsi="Arial"/>
          <w:sz w:val="18"/>
          <w:szCs w:val="18"/>
          <w:color w:val="auto"/>
        </w:rPr>
        <w:t>The table below lists the properties that were in or held for development or redevelopment between January 1, 2023 and March 31, 2024. Rental revenue and real estate operating expenses from our Properties in or Held for Development or Redevelopment Portfolio decreased by approximately $0.2 million and $2.7 million, respectively, for the three months ended March 31, 2024 compared to 2023, as detailed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36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Date Commenced or Held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gridSpan w:val="2"/>
            <w:vMerge w:val="restart"/>
          </w:tcPr>
          <w:p>
            <w:pPr>
              <w:ind w:left="96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for 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400" w:type="dxa"/>
            <w:vAlign w:val="bottom"/>
            <w:gridSpan w:val="2"/>
            <w:vMerge w:val="continue"/>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105 Carnegie Center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Kendall Center Blue Parking</w:t>
            </w: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color w:val="auto"/>
              </w:rPr>
              <w:t>January 4, 2023</w:t>
            </w:r>
          </w:p>
        </w:tc>
        <w:tc>
          <w:tcPr>
            <w:tcW w:w="1080" w:type="dxa"/>
            <w:vAlign w:val="bottom"/>
            <w:gridSpan w:val="2"/>
            <w:vMerge w:val="restart"/>
          </w:tcPr>
          <w:p>
            <w:pPr>
              <w:ind w:left="7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2,277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89"/>
        </w:trPr>
        <w:tc>
          <w:tcPr>
            <w:tcW w:w="2400" w:type="dxa"/>
            <w:vAlign w:val="bottom"/>
            <w:gridSpan w:val="2"/>
          </w:tcPr>
          <w:p>
            <w:pPr>
              <w:ind w:left="180"/>
              <w:spacing w:after="0"/>
              <w:rPr>
                <w:sz w:val="20"/>
                <w:szCs w:val="20"/>
                <w:color w:val="auto"/>
              </w:rPr>
            </w:pPr>
            <w:r>
              <w:rPr>
                <w:rFonts w:ascii="Arial" w:cs="Arial" w:eastAsia="Arial" w:hAnsi="Arial"/>
                <w:sz w:val="14"/>
                <w:szCs w:val="14"/>
                <w:color w:val="auto"/>
              </w:rPr>
              <w:t>Garage (2)</w:t>
            </w:r>
          </w:p>
        </w:tc>
        <w:tc>
          <w:tcPr>
            <w:tcW w:w="18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300 Binney Street</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30, 2023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8"/>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Shady Grove Innovation District (3)</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March 31, 2023</w:t>
            </w:r>
          </w:p>
        </w:tc>
        <w:tc>
          <w:tcPr>
            <w:tcW w:w="960" w:type="dxa"/>
            <w:vAlign w:val="bottom"/>
          </w:tcPr>
          <w:p>
            <w:pPr>
              <w:jc w:val="right"/>
              <w:spacing w:after="0"/>
              <w:rPr>
                <w:sz w:val="20"/>
                <w:szCs w:val="20"/>
                <w:color w:val="auto"/>
              </w:rPr>
            </w:pPr>
            <w:r>
              <w:rPr>
                <w:rFonts w:ascii="Arial" w:cs="Arial" w:eastAsia="Arial" w:hAnsi="Arial"/>
                <w:sz w:val="14"/>
                <w:szCs w:val="14"/>
                <w:color w:val="auto"/>
              </w:rPr>
              <w:t>184,000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Office Park (3)</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1050 Winter Street (3)</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March 31,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right="120" w:hanging="329"/>
        <w:spacing w:after="0" w:line="255" w:lineRule="auto"/>
        <w:tabs>
          <w:tab w:leader="none" w:pos="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November 30, 2023, we elected to suspend redevelopment. Although no longer in redevelopment, this property is not considered “in-service” as we are not actively leasing this property in anticipation of restarting redevelopment in the future.</w:t>
      </w:r>
    </w:p>
    <w:p>
      <w:pPr>
        <w:ind w:left="580" w:right="80" w:hanging="329"/>
        <w:spacing w:after="0" w:line="252" w:lineRule="auto"/>
        <w:tabs>
          <w:tab w:leader="none" w:pos="567" w:val="left"/>
        </w:tabs>
        <w:numPr>
          <w:ilvl w:val="0"/>
          <w:numId w:val="43"/>
        </w:numPr>
        <w:rPr>
          <w:rFonts w:ascii="Arial" w:cs="Arial" w:eastAsia="Arial" w:hAnsi="Arial"/>
          <w:sz w:val="14"/>
          <w:szCs w:val="14"/>
          <w:color w:val="auto"/>
        </w:rPr>
      </w:pPr>
      <w:r>
        <w:rPr>
          <w:rFonts w:ascii="Arial" w:cs="Arial" w:eastAsia="Arial" w:hAnsi="Arial"/>
          <w:sz w:val="16"/>
          <w:szCs w:val="16"/>
          <w:color w:val="auto"/>
        </w:rPr>
        <w:t>The Kendall Center Blue Parking Garage was taken out of service on January 4, 2023 to support the development of 290 Binney Street. Real estate operating expenses for the three months ended March 31, 2023 included approximately $2.3 million of demolition costs.</w:t>
      </w:r>
    </w:p>
    <w:p>
      <w:pPr>
        <w:spacing w:after="0" w:line="1" w:lineRule="exact"/>
        <w:rPr>
          <w:rFonts w:ascii="Arial" w:cs="Arial" w:eastAsia="Arial" w:hAnsi="Arial"/>
          <w:sz w:val="14"/>
          <w:szCs w:val="14"/>
          <w:color w:val="auto"/>
        </w:rPr>
      </w:pPr>
    </w:p>
    <w:p>
      <w:pPr>
        <w:ind w:left="580" w:right="440" w:hanging="329"/>
        <w:spacing w:after="0" w:line="260" w:lineRule="auto"/>
        <w:tabs>
          <w:tab w:leader="none" w:pos="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portion of Shady Grove Innovation District, Lexington Office Park and 1050 Winter Street are no longer considered “in-service” because each property’s occupied percentage is less than 50% and we are no longer actively leasing the properties in anticipation of a future development/redevelopment. This portion of Shady Grove Innovation District is comprised of three buildings, 2092 and 2098 Gaither Road and 15825 Shady Grove Road that were taken out of service between March 31, 2023 and March 31, 2024.</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operating income for our residential same properties increased by approximately $0.7 million for the three months ended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compared to 2023.</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reflects our occupancy and rate information for our residential same properties for the three months ended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and 2023.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rPr>
              <w:t>Average Monthly Rental Rate (1)</w:t>
            </w:r>
          </w:p>
        </w:tc>
        <w:tc>
          <w:tcPr>
            <w:tcW w:w="140" w:type="dxa"/>
            <w:vAlign w:val="bottom"/>
          </w:tcPr>
          <w:p>
            <w:pPr>
              <w:spacing w:after="0"/>
              <w:rPr>
                <w:sz w:val="13"/>
                <w:szCs w:val="13"/>
                <w:color w:val="auto"/>
              </w:rPr>
            </w:pPr>
          </w:p>
        </w:tc>
        <w:tc>
          <w:tcPr>
            <w:tcW w:w="216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Average Physical Occupancy (2)</w:t>
            </w:r>
          </w:p>
        </w:tc>
        <w:tc>
          <w:tcPr>
            <w:tcW w:w="2380" w:type="dxa"/>
            <w:vAlign w:val="bottom"/>
            <w:gridSpan w:val="3"/>
            <w:vMerge w:val="restart"/>
          </w:tcPr>
          <w:p>
            <w:pPr>
              <w:jc w:val="right"/>
              <w:ind w:right="2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rPr>
              <w:t>Occupied Square Foot</w:t>
            </w:r>
          </w:p>
        </w:tc>
        <w:tc>
          <w:tcPr>
            <w:tcW w:w="2480" w:type="dxa"/>
            <w:vAlign w:val="bottom"/>
            <w:gridSpan w:val="4"/>
            <w:vMerge w:val="continue"/>
          </w:tcPr>
          <w:p>
            <w:pPr>
              <w:spacing w:after="0"/>
              <w:rPr>
                <w:sz w:val="16"/>
                <w:szCs w:val="16"/>
                <w:color w:val="auto"/>
              </w:rPr>
            </w:pPr>
          </w:p>
        </w:tc>
        <w:tc>
          <w:tcPr>
            <w:tcW w:w="2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3,002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5.52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94.9 %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94.4 %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3"/>
        </w:trPr>
        <w:tc>
          <w:tcPr>
            <w:tcW w:w="17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4,257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4,428</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4.70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ind w:left="49"/>
              <w:spacing w:after="0"/>
              <w:rPr>
                <w:sz w:val="20"/>
                <w:szCs w:val="20"/>
                <w:color w:val="auto"/>
              </w:rPr>
            </w:pPr>
            <w:r>
              <w:rPr>
                <w:rFonts w:ascii="Arial" w:cs="Arial" w:eastAsia="Arial" w:hAnsi="Arial"/>
                <w:sz w:val="14"/>
                <w:szCs w:val="14"/>
                <w:color w:val="auto"/>
              </w:rPr>
              <w:t>4.91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3"/>
                <w:szCs w:val="13"/>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95.0 %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95.4 %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3"/>
                <w:szCs w:val="13"/>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94.5 %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95.4 %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5"/>
        </w:trPr>
        <w:tc>
          <w:tcPr>
            <w:tcW w:w="176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2,677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2.77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95.5 %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95.5 %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9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3,478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3,445</w:t>
            </w:r>
          </w:p>
        </w:tc>
        <w:tc>
          <w:tcPr>
            <w:tcW w:w="860" w:type="dxa"/>
            <w:vAlign w:val="bottom"/>
          </w:tcPr>
          <w:p>
            <w:pPr>
              <w:jc w:val="right"/>
              <w:spacing w:after="0"/>
              <w:rPr>
                <w:sz w:val="20"/>
                <w:szCs w:val="20"/>
                <w:color w:val="auto"/>
              </w:rPr>
            </w:pPr>
            <w:r>
              <w:rPr>
                <w:rFonts w:ascii="Arial" w:cs="Arial" w:eastAsia="Arial" w:hAnsi="Arial"/>
                <w:sz w:val="14"/>
                <w:szCs w:val="14"/>
                <w:color w:val="auto"/>
              </w:rPr>
              <w:t>1.0 %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ind w:left="160"/>
              <w:spacing w:after="0"/>
              <w:rPr>
                <w:sz w:val="20"/>
                <w:szCs w:val="20"/>
                <w:color w:val="auto"/>
              </w:rPr>
            </w:pPr>
            <w:r>
              <w:rPr>
                <w:rFonts w:ascii="Arial" w:cs="Arial" w:eastAsia="Arial" w:hAnsi="Arial"/>
                <w:sz w:val="14"/>
                <w:szCs w:val="14"/>
                <w:color w:val="auto"/>
              </w:rPr>
              <w:t>4.37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ind w:left="49"/>
              <w:spacing w:after="0"/>
              <w:rPr>
                <w:sz w:val="20"/>
                <w:szCs w:val="20"/>
                <w:color w:val="auto"/>
              </w:rPr>
            </w:pPr>
            <w:r>
              <w:rPr>
                <w:rFonts w:ascii="Arial" w:cs="Arial" w:eastAsia="Arial" w:hAnsi="Arial"/>
                <w:sz w:val="14"/>
                <w:szCs w:val="14"/>
                <w:color w:val="auto"/>
              </w:rPr>
              <w:t>4.38</w:t>
            </w: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87.9 %</w:t>
            </w:r>
          </w:p>
        </w:tc>
        <w:tc>
          <w:tcPr>
            <w:tcW w:w="660" w:type="dxa"/>
            <w:vAlign w:val="bottom"/>
          </w:tcPr>
          <w:p>
            <w:pPr>
              <w:jc w:val="right"/>
              <w:spacing w:after="0"/>
              <w:rPr>
                <w:sz w:val="20"/>
                <w:szCs w:val="20"/>
                <w:color w:val="auto"/>
              </w:rPr>
            </w:pPr>
            <w:r>
              <w:rPr>
                <w:rFonts w:ascii="Arial" w:cs="Arial" w:eastAsia="Arial" w:hAnsi="Arial"/>
                <w:sz w:val="14"/>
                <w:szCs w:val="14"/>
                <w:color w:val="auto"/>
              </w:rPr>
              <w:t>91.5 %</w:t>
            </w: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86.7 %</w:t>
            </w:r>
          </w:p>
        </w:tc>
        <w:tc>
          <w:tcPr>
            <w:tcW w:w="680" w:type="dxa"/>
            <w:vAlign w:val="bottom"/>
          </w:tcPr>
          <w:p>
            <w:pPr>
              <w:jc w:val="right"/>
              <w:spacing w:after="0"/>
              <w:rPr>
                <w:sz w:val="20"/>
                <w:szCs w:val="20"/>
                <w:color w:val="auto"/>
              </w:rPr>
            </w:pPr>
            <w:r>
              <w:rPr>
                <w:rFonts w:ascii="Arial" w:cs="Arial" w:eastAsia="Arial" w:hAnsi="Arial"/>
                <w:sz w:val="14"/>
                <w:szCs w:val="14"/>
                <w:color w:val="auto"/>
              </w:rPr>
              <w:t>89.3 %</w:t>
            </w: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right="80" w:hanging="329"/>
        <w:spacing w:after="0" w:line="246"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80" w:right="620" w:hanging="329"/>
        <w:spacing w:after="0" w:line="255"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80" w:right="80" w:hanging="329"/>
        <w:spacing w:after="0" w:line="256"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Average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Hotel Net Operating Income</w:t>
      </w:r>
    </w:p>
    <w:p>
      <w:pPr>
        <w:spacing w:after="0" w:line="102"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The Boston Marriott Cambridge hotel had net operating income of approximately $2.2 million for the three months ended March 31, 2024, representing an increase of approximately $0.7 million compared to the three months ended March 31, 2023.</w:t>
      </w:r>
    </w:p>
    <w:p>
      <w:pPr>
        <w:spacing w:after="0" w:line="99"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three months ended March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 (%)</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254.86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261.52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181.05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160.41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bl>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0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Development and management services revenue decreased by approximately $2.8 million for the three months ended March 31, 2024 compared to 2023. Development services revenue and management services revenue decreased by approximately $1.2 million and $1.6 million, respectively. The decrease in development services revenue was primarily related to a decrease in fees associated with a tenant improvement project in New York City. The decrease in management services revenue was primarily related to a decrease in property and asset management fees earned from an unconsolidated joint venture in the Los Angeles region which we acquired the joint venture partner’s interest in December 2023.</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and administrative expense decreased by approximately $5.8 million for the three months ended March 31, 2024 compared to</w:t>
      </w:r>
    </w:p>
    <w:p>
      <w:pPr>
        <w:spacing w:after="0" w:line="2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2023 primarily due to a decrease in compensation expense of approximately $6.1 million, partially offset by an approximately $0.3 million increase in other general and administrative expenses. The decrease in compensation expense related to an approximately $6.7 million decrease in other compensation expenses partially offset by an approximately $0.6 million increase in the value of our deferred compensation plan.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March 31, 2024 and 2023 were approximately $4.1 million and $4.5 million, respectively. These costs are not included in the general and administrative expenses discussed above.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88"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Transaction costs decreased by approximately $0.4 million for the three months ended March 31, 2024 compared to 2023 due primarily to decreased costs incurred in connection with the pursuit and formation of new joint ventures during the three months ended March 31, 2023, that did not recur in 2024. In general, transaction costs relating to the formation of new joint ventures and the pursuit of other transactions are expensed as incurred.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2"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$10.0 million for the three months ended March 31, 2024 compared to 2023,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7"/>
          </w:tcPr>
          <w:p>
            <w:pPr>
              <w:jc w:val="center"/>
              <w:ind w:right="72"/>
              <w:spacing w:after="0"/>
              <w:rPr>
                <w:sz w:val="20"/>
                <w:szCs w:val="20"/>
                <w:color w:val="auto"/>
              </w:rPr>
            </w:pPr>
            <w:r>
              <w:rPr>
                <w:rFonts w:ascii="Arial" w:cs="Arial" w:eastAsia="Arial" w:hAnsi="Arial"/>
                <w:sz w:val="16"/>
                <w:szCs w:val="16"/>
                <w:b w:val="1"/>
                <w:bCs w:val="1"/>
                <w:color w:val="auto"/>
              </w:rPr>
              <w:t>Depreciation and Amortization for the three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March 31,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14,141</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right="60" w:hanging="329"/>
        <w:spacing w:after="0" w:line="258" w:lineRule="auto"/>
        <w:tabs>
          <w:tab w:leader="none" w:pos="567" w:val="left"/>
        </w:tabs>
        <w:numPr>
          <w:ilvl w:val="0"/>
          <w:numId w:val="45"/>
        </w:numPr>
        <w:rPr>
          <w:rFonts w:ascii="Arial" w:cs="Arial" w:eastAsia="Arial" w:hAnsi="Arial"/>
          <w:sz w:val="14"/>
          <w:szCs w:val="14"/>
          <w:color w:val="auto"/>
        </w:rPr>
      </w:pPr>
      <w:r>
        <w:rPr>
          <w:rFonts w:ascii="Arial" w:cs="Arial" w:eastAsia="Arial" w:hAnsi="Arial"/>
          <w:sz w:val="16"/>
          <w:szCs w:val="16"/>
          <w:color w:val="auto"/>
        </w:rPr>
        <w:t>During the three months ended March 31, 2023, the Kendall Center Blue Parking Garage was taken out of service and demolished to support the development of 290 Binney Street, an approximately 566,000 net rentable square foot laboratory/life sciences project in Cambridge, Massachusetts. As a result, during the three months ended March 31, 2023, we recorded approximately $0.8 million of accelerated depreciation expense for the demolition of the garage, of which approximately $0.2 million related to the step-up of real estate assets.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$10.1 million for the three months ended March 31, 2024 compared to 2023, as detailed below.</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7"/>
          </w:tcPr>
          <w:p>
            <w:pPr>
              <w:jc w:val="center"/>
              <w:ind w:right="72"/>
              <w:spacing w:after="0"/>
              <w:rPr>
                <w:sz w:val="20"/>
                <w:szCs w:val="20"/>
                <w:color w:val="auto"/>
              </w:rPr>
            </w:pPr>
            <w:r>
              <w:rPr>
                <w:rFonts w:ascii="Arial" w:cs="Arial" w:eastAsia="Arial" w:hAnsi="Arial"/>
                <w:sz w:val="16"/>
                <w:szCs w:val="16"/>
                <w:b w:val="1"/>
                <w:bCs w:val="1"/>
                <w:color w:val="auto"/>
              </w:rPr>
              <w:t>Depreciation and Amortization for the three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March 31,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14,141</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206,872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right="60" w:hanging="329"/>
        <w:spacing w:after="0" w:line="258" w:lineRule="auto"/>
        <w:tabs>
          <w:tab w:leader="none" w:pos="567" w:val="left"/>
        </w:tabs>
        <w:numPr>
          <w:ilvl w:val="0"/>
          <w:numId w:val="46"/>
        </w:numPr>
        <w:rPr>
          <w:rFonts w:ascii="Arial" w:cs="Arial" w:eastAsia="Arial" w:hAnsi="Arial"/>
          <w:sz w:val="14"/>
          <w:szCs w:val="14"/>
          <w:color w:val="auto"/>
        </w:rPr>
      </w:pPr>
      <w:r>
        <w:rPr>
          <w:rFonts w:ascii="Arial" w:cs="Arial" w:eastAsia="Arial" w:hAnsi="Arial"/>
          <w:sz w:val="16"/>
          <w:szCs w:val="16"/>
          <w:color w:val="auto"/>
        </w:rPr>
        <w:t>During the three months ended March 31, 2023, the Kendall Center Blue Parking Garage was taken out of service and demolished to support the development of 290 Binney Street, an approximately 566,000 net rentable square foot laboratory/life sciences project in Cambridge, Massachusetts. As a result, during the three months ended March 31, 2023, we recorded approximately $0.6 million of accelerated depreciation expense for the demolition of the garage.</w:t>
      </w:r>
    </w:p>
    <w:p>
      <w:pPr>
        <w:spacing w:after="0" w:line="324" w:lineRule="exact"/>
        <w:rPr>
          <w:sz w:val="20"/>
          <w:szCs w:val="20"/>
          <w:color w:val="auto"/>
        </w:rPr>
      </w:pPr>
    </w:p>
    <w:p>
      <w:pPr>
        <w:ind w:right="60" w:firstLine="202"/>
        <w:spacing w:after="0" w:line="294"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17"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(Loss) from Unconsolidated Joint Ventures</w:t>
      </w:r>
    </w:p>
    <w:p>
      <w:pPr>
        <w:spacing w:after="0" w:line="88"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For the three months ended March 31, 2024 compared to 2023, income (loss) from unconsolidated joint ventures increased by approximately $26.8 million primarily due to an approximately $21.8 million gain on consolidation related to the acquisition of our joint venture partner’s economic interest in the joint venture that owns 901 New York Avenue during the three months ended March 31, 2024 (See Note 5 to the Consolidated Financial Statements).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88"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Interest and other income (loss) increased by approximately $3.6 million for the three months ended March 31, 2024 compared to 2023, due primarily to an increase in interest income from increased interest earned on our deposits.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from Investments in Securities</w:t>
      </w:r>
    </w:p>
    <w:p>
      <w:pPr>
        <w:spacing w:after="0" w:line="1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Gain from investments in securities for the three months ended March 31, 2024 and 2023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from investments in securities. During the three months ended March 31, 2024 and 2023, we recognized gains of approximately $2.3 million and $1.7 million, respectively, on these investments. By comparison, our general and administrative expense increased by approximately $2.3 million and $1.7 million during the three months ended March 31, 2024 and 2023, respectively, as a result of increases in our liability under our deferred compensation plans that was associated with the performance of the specific investments selected by officers and former non-employee directors of BXP participating in the plans.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Unrealized Gain on Non-Real Estate Investment</w:t>
      </w:r>
    </w:p>
    <w:p>
      <w:pPr>
        <w:spacing w:after="0" w:line="88"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We invest in non-real estate investments, which are primarily environmentally-focused investment funds. As a result, for the three months ended March 31, 2024 and 2023, we recognized an unrealized gain of approximately $0.4 million and $0.3 million, respectively, due to the observable changes in the fair value of the investments.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Loss</w:t>
      </w:r>
    </w:p>
    <w:p>
      <w:pPr>
        <w:spacing w:after="0" w:line="102"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At March 31, 2024, we evaluated the expected hold period for a portion of our Shady Grove property located in Rockville, Maryland. Based on a shorter-than-expected hold period, we reduced the carrying value of a portion of the property that we anticipate selling to a third party developer to its estimated fair value at March 31, 2024. As a result, each of BXP and BPLP recognized an impairment loss of approximately $13.6 million. Our estimated fair value was based on Level 3 inputs as defined in ASC 820 and on a pending offer from a third party.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Interest expense increased by approximately $27.7 million for the three months ended March 31, 2024 compared to 2023, as detailed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jc w:val="center"/>
              <w:ind w:right="53"/>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expense for the three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months ended March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w:t>
            </w:r>
          </w:p>
        </w:tc>
        <w:tc>
          <w:tcPr>
            <w:tcW w:w="140" w:type="dxa"/>
            <w:vAlign w:val="bottom"/>
          </w:tcPr>
          <w:p>
            <w:pPr>
              <w:spacing w:after="0"/>
              <w:rPr>
                <w:sz w:val="14"/>
                <w:szCs w:val="14"/>
                <w:color w:val="auto"/>
              </w:rPr>
            </w:pPr>
          </w:p>
        </w:tc>
        <w:tc>
          <w:tcPr>
            <w:tcW w:w="20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9"/>
              </w:rPr>
              <w:t>2024 compared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jc w:val="center"/>
              <w:ind w:right="53"/>
              <w:spacing w:after="0" w:line="175" w:lineRule="exact"/>
              <w:rPr>
                <w:sz w:val="20"/>
                <w:szCs w:val="20"/>
                <w:color w:val="auto"/>
              </w:rPr>
            </w:pPr>
            <w:r>
              <w:rPr>
                <w:rFonts w:ascii="Arial" w:cs="Arial" w:eastAsia="Arial" w:hAnsi="Arial"/>
                <w:sz w:val="16"/>
                <w:szCs w:val="16"/>
                <w:b w:val="1"/>
                <w:bCs w:val="1"/>
                <w:color w:val="auto"/>
              </w:rPr>
              <w:t>March 31, 2023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center"/>
              <w:ind w:right="53"/>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to interest expense due to:</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New mortgage loan financings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$750 million in aggregate principal of 6.500% senior notes due 2034 on May 15, 2023</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Increase in interest due to finance leases</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capitalized interest related to development projects</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expense of financing fees</w:t>
            </w: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increases to interest expense</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Decreases to interest expense due to:</w:t>
            </w: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$700 million in aggregate principal of 3.800% senior notes due 2024 on February 1, 2024</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Repayment of $500 million in aggregate principal of 3.125% senior notes due 2023 on September 1, 2023</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interest associated with unsecured term loans and the unsecured credit facility, net</w:t>
            </w:r>
          </w:p>
        </w:tc>
        <w:tc>
          <w:tcPr>
            <w:tcW w:w="1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interest expense (excluding senior notes)</w:t>
            </w: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decreases to 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Total change in interest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1" w:lineRule="exact"/>
        <w:rPr>
          <w:sz w:val="20"/>
          <w:szCs w:val="20"/>
          <w:color w:val="auto"/>
        </w:rPr>
      </w:pPr>
    </w:p>
    <w:p>
      <w:pPr>
        <w:ind w:left="580" w:right="120" w:hanging="329"/>
        <w:spacing w:after="0" w:line="260" w:lineRule="auto"/>
        <w:tabs>
          <w:tab w:leader="none" w:pos="499"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Consists of the mortgage loan collateralized by the 325 Main Street, 355 Main Street, 90 Broadway and Cambridge East Garage (also known as Kendall Center Green Garage) properties located in Cambridge, Massachusetts, and the mortgage loan and fair value debt and swap adjustments for Santa Monica Business Park located in Santa Monica, California and 901 New York Avenue in Washington, DC (See Note 6 to the Consolidated Financial Statements).</w:t>
      </w:r>
    </w:p>
    <w:p>
      <w:pPr>
        <w:spacing w:after="0" w:line="225"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March 31, 2024 and 2023 was approximately $9.4 million and $10.6 million, respectively. These costs are not included in the interest expense referenced above.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At March 31, 2024, our variable rate debt consisted of (1) BPLP’s $1.815 billion 2021 Credit Facility, (2) BPLP’s $1.2 billion 2023 Unsecured Term Loan and (3) $900 million of mortgage notes collateralized by Santa Monica Business Park and our 325 Main Street, 355 Main Street, 90 Broadway and Kendall Center Green Garage properties. As of March 31, 2024, the 2021 Credit Facility did not have a balance outstanding. The other variable rate debt has all been hedged with interest rates swaps to fix SOFR for all, or a portion of the applicable debt term. For a summary of our consolidated debt as of March 31, 2024 refer to the heading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Financing” </w:t>
      </w:r>
      <w:r>
        <w:rPr>
          <w:rFonts w:ascii="Arial" w:cs="Arial" w:eastAsia="Arial" w:hAnsi="Arial"/>
          <w:sz w:val="18"/>
          <w:szCs w:val="18"/>
          <w:color w:val="auto"/>
        </w:rPr>
        <w:t>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88"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Noncontrolling interests in property partnerships decreased by approximately $1.4 million for the three months ended March 31, 2024 compared to 2023, as detailed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gridSpan w:val="9"/>
          </w:tcPr>
          <w:p>
            <w:pPr>
              <w:jc w:val="center"/>
              <w:spacing w:after="0"/>
              <w:rPr>
                <w:sz w:val="20"/>
                <w:szCs w:val="20"/>
                <w:color w:val="auto"/>
              </w:rPr>
            </w:pPr>
            <w:r>
              <w:rPr>
                <w:rFonts w:ascii="Arial" w:cs="Arial" w:eastAsia="Arial" w:hAnsi="Arial"/>
                <w:sz w:val="16"/>
                <w:szCs w:val="16"/>
                <w:b w:val="1"/>
                <w:bCs w:val="1"/>
                <w:color w:val="auto"/>
              </w:rPr>
              <w:t>Noncontrolling Interests in Property Partnerships for the three</w:t>
            </w: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rPr>
              <w:t>months ended March 31,</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Property</w:t>
            </w:r>
          </w:p>
        </w:tc>
        <w:tc>
          <w:tcPr>
            <w:tcW w:w="340" w:type="dxa"/>
            <w:vAlign w:val="bottom"/>
          </w:tcPr>
          <w:p>
            <w:pPr>
              <w:spacing w:after="0"/>
              <w:rPr>
                <w:sz w:val="20"/>
                <w:szCs w:val="20"/>
                <w:color w:val="auto"/>
              </w:rPr>
            </w:pPr>
          </w:p>
        </w:tc>
        <w:tc>
          <w:tcPr>
            <w:tcW w:w="1180" w:type="dxa"/>
            <w:vAlign w:val="bottom"/>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51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209"/>
        </w:trPr>
        <w:tc>
          <w:tcPr>
            <w:tcW w:w="340" w:type="dxa"/>
            <w:vAlign w:val="bottom"/>
            <w:tcBorders>
              <w:top w:val="single" w:sz="8" w:color="auto"/>
            </w:tcBorders>
          </w:tcPr>
          <w:p>
            <w:pPr>
              <w:spacing w:after="0"/>
              <w:rPr>
                <w:sz w:val="18"/>
                <w:szCs w:val="18"/>
                <w:color w:val="auto"/>
              </w:rPr>
            </w:pPr>
          </w:p>
        </w:tc>
        <w:tc>
          <w:tcPr>
            <w:tcW w:w="5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767</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6200" w:type="dxa"/>
            <w:vAlign w:val="bottom"/>
            <w:gridSpan w:val="3"/>
          </w:tcPr>
          <w:p>
            <w:pPr>
              <w:spacing w:after="0"/>
              <w:rPr>
                <w:sz w:val="20"/>
                <w:szCs w:val="20"/>
                <w:color w:val="auto"/>
              </w:rPr>
            </w:pPr>
            <w:r>
              <w:rPr>
                <w:rFonts w:ascii="Arial" w:cs="Arial" w:eastAsia="Arial" w:hAnsi="Arial"/>
                <w:sz w:val="18"/>
                <w:szCs w:val="18"/>
                <w:color w:val="auto"/>
              </w:rPr>
              <w:t>Times Square Tower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601</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100</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Atlantic Wharf Office Building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343 Madison Avenue (2)</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Binney Street (3)</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290</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Binney Street (4)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decrease was primarily attributable to a decrease in lease revenue from our clients.</w:t>
      </w:r>
    </w:p>
    <w:p>
      <w:pPr>
        <w:spacing w:after="0" w:line="5" w:lineRule="exact"/>
        <w:rPr>
          <w:rFonts w:ascii="Arial" w:cs="Arial" w:eastAsia="Arial" w:hAnsi="Arial"/>
          <w:sz w:val="16"/>
          <w:szCs w:val="16"/>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Property is held for future development.</w:t>
      </w:r>
    </w:p>
    <w:p>
      <w:pPr>
        <w:spacing w:after="0" w:line="5" w:lineRule="exact"/>
        <w:rPr>
          <w:rFonts w:ascii="Arial" w:cs="Arial" w:eastAsia="Arial" w:hAnsi="Arial"/>
          <w:sz w:val="16"/>
          <w:szCs w:val="16"/>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Property is currently under redevelopment.</w:t>
      </w:r>
    </w:p>
    <w:p>
      <w:pPr>
        <w:spacing w:after="0" w:line="14" w:lineRule="exact"/>
        <w:rPr>
          <w:rFonts w:ascii="Arial" w:cs="Arial" w:eastAsia="Arial" w:hAnsi="Arial"/>
          <w:sz w:val="16"/>
          <w:szCs w:val="16"/>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Property is currently in development (See Note </w:t>
      </w:r>
      <w:r>
        <w:rPr>
          <w:rFonts w:ascii="Arial" w:cs="Arial" w:eastAsia="Arial" w:hAnsi="Arial"/>
          <w:sz w:val="17"/>
          <w:szCs w:val="17"/>
          <w:color w:val="auto"/>
        </w:rPr>
        <w:t>9</w:t>
      </w:r>
      <w:r>
        <w:rPr>
          <w:rFonts w:ascii="Arial" w:cs="Arial" w:eastAsia="Arial" w:hAnsi="Arial"/>
          <w:sz w:val="16"/>
          <w:szCs w:val="16"/>
          <w:color w:val="auto"/>
        </w:rPr>
        <w:t xml:space="preserve"> to the Consolidated Financial Statements).</w:t>
      </w: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102"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For BXP, noncontrolling interest—common units of the Operating Partnership increased by approximately $0.4 million for the three months ended March 31, 2024 compared to 2023 due primarily to an increase in allocable income. Due to our ownership structure, there is no corresponding line item on BPLP’s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liquidity needs for the next twelve months and beyond are to:</w:t>
      </w:r>
    </w:p>
    <w:p>
      <w:pPr>
        <w:spacing w:after="0" w:line="158" w:lineRule="exact"/>
        <w:rPr>
          <w:sz w:val="20"/>
          <w:szCs w:val="20"/>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normal recurring expenses;</w:t>
      </w:r>
    </w:p>
    <w:p>
      <w:pPr>
        <w:spacing w:after="0" w:line="103" w:lineRule="exact"/>
        <w:rPr>
          <w:rFonts w:ascii="Arial" w:cs="Arial" w:eastAsia="Arial" w:hAnsi="Arial"/>
          <w:sz w:val="18"/>
          <w:szCs w:val="18"/>
          <w:color w:val="auto"/>
        </w:rPr>
      </w:pPr>
    </w:p>
    <w:p>
      <w:pPr>
        <w:ind w:left="820" w:right="140" w:hanging="326"/>
        <w:spacing w:after="0" w:line="291" w:lineRule="auto"/>
        <w:tabs>
          <w:tab w:leader="none" w:pos="8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meet debt service and principal repayment obligations and balloon payments on maturing debt, including the $700.0 million outstanding on the 2023 Unsecured Term Loan, the maturity date of which we intend to extend to May 16, 2025, $850.0 million of 3.200% unsecured senior notes due January 15, 2025 and amounts that become due under BPLP’s commercial paper program;</w:t>
      </w:r>
    </w:p>
    <w:p>
      <w:pPr>
        <w:spacing w:after="0" w:line="17" w:lineRule="exact"/>
        <w:rPr>
          <w:rFonts w:ascii="Arial" w:cs="Arial" w:eastAsia="Arial" w:hAnsi="Arial"/>
          <w:sz w:val="17"/>
          <w:szCs w:val="17"/>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development and redevelopment costs;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capital expenditures, including major renovations, tenant improvements and leasing costs;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possible acquisitions of properties, either directly or indirectly through the acquisition of equity interests; and</w:t>
      </w:r>
    </w:p>
    <w:p>
      <w:pPr>
        <w:spacing w:after="0" w:line="90" w:lineRule="exact"/>
        <w:rPr>
          <w:rFonts w:ascii="Arial" w:cs="Arial" w:eastAsia="Arial" w:hAnsi="Arial"/>
          <w:sz w:val="18"/>
          <w:szCs w:val="18"/>
          <w:color w:val="auto"/>
        </w:rPr>
      </w:pPr>
    </w:p>
    <w:p>
      <w:pPr>
        <w:ind w:left="820" w:right="20" w:hanging="326"/>
        <w:spacing w:after="0" w:line="287" w:lineRule="auto"/>
        <w:tabs>
          <w:tab w:leader="none" w:pos="8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the minimum distribution required to enable BXP to maintain its REIT qualification under the Internal Revenue Code of 1986, as amended.</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satisfy these needs using one or more of the following:</w:t>
      </w:r>
    </w:p>
    <w:p>
      <w:pPr>
        <w:spacing w:after="0" w:line="158" w:lineRule="exact"/>
        <w:rPr>
          <w:sz w:val="20"/>
          <w:szCs w:val="20"/>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 of cash flows from joint ventures;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and cash equivalent balances;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under BPLP’s 2021 Credit Facility, unsecured term loans, short-term bridge facilities and construction loans;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long-term secured and unsecured indebtedness (including unsecured exchangeable indebtedness);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real estate and interests in joint ventures owning real estate;</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private equity sources, including institutional investors;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issuances of BXP equity securities and/or preferred or common units of partnership interests in BPLP.</w:t>
      </w:r>
    </w:p>
    <w:p>
      <w:pPr>
        <w:spacing w:after="0" w:line="26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draw on multiple financing sources to fund our long-term capital needs. We expect to fund our current development/redevelopment properties primarily with our available cash balances, funding from institutional private equity partners, construction loans, unsecured term loans, and proceeds from possible asset sales, BPLP’s 2021 Credit Facility and BPLP's commercial paper program. We use BPLP’s 2021 Credit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whether the project is owned by a joint venture, the extent of pre-leasing, our available cash and access to cost effective capital at the given time.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properties under construction/redevelopment as of March 31, 2024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ind w:left="540"/>
              <w:spacing w:after="0"/>
              <w:rPr>
                <w:sz w:val="20"/>
                <w:szCs w:val="20"/>
                <w:color w:val="auto"/>
              </w:rPr>
            </w:pPr>
            <w:r>
              <w:rPr>
                <w:rFonts w:ascii="Arial" w:cs="Arial" w:eastAsia="Arial" w:hAnsi="Arial"/>
                <w:sz w:val="13"/>
                <w:szCs w:val="13"/>
                <w:b w:val="1"/>
                <w:bCs w:val="1"/>
                <w:color w:val="auto"/>
              </w:rPr>
              <w:t>Financings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Estimated</w:t>
            </w: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Estimated</w:t>
            </w: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Estimated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Estimated</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Investment</w:t>
            </w:r>
          </w:p>
        </w:tc>
        <w:tc>
          <w:tcPr>
            <w:tcW w:w="880" w:type="dxa"/>
            <w:vAlign w:val="bottom"/>
            <w:gridSpan w:val="3"/>
            <w:vMerge w:val="continue"/>
          </w:tcPr>
          <w:p>
            <w:pPr>
              <w:spacing w:after="0"/>
              <w:rPr>
                <w:sz w:val="11"/>
                <w:szCs w:val="11"/>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Outstanding at</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Future</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gridSpan w:val="6"/>
            <w:vMerge w:val="restart"/>
          </w:tcPr>
          <w:p>
            <w:pPr>
              <w:jc w:val="center"/>
              <w:ind w:right="100"/>
              <w:spacing w:after="0"/>
              <w:rPr>
                <w:sz w:val="20"/>
                <w:szCs w:val="20"/>
                <w:color w:val="auto"/>
              </w:rPr>
            </w:pPr>
            <w:r>
              <w:rPr>
                <w:rFonts w:ascii="Arial" w:cs="Arial" w:eastAsia="Arial" w:hAnsi="Arial"/>
                <w:sz w:val="13"/>
                <w:szCs w:val="13"/>
                <w:b w:val="1"/>
                <w:bCs w:val="1"/>
                <w:color w:val="auto"/>
                <w:w w:val="97"/>
              </w:rPr>
              <w:t>Construction/Redevelopment</w:t>
            </w:r>
          </w:p>
        </w:tc>
        <w:tc>
          <w:tcPr>
            <w:tcW w:w="86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 of</w:t>
            </w:r>
          </w:p>
        </w:tc>
        <w:tc>
          <w:tcPr>
            <w:tcW w:w="76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Total</w:t>
            </w:r>
          </w:p>
        </w:tc>
        <w:tc>
          <w:tcPr>
            <w:tcW w:w="76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Equity</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gridSpan w:val="6"/>
            <w:vMerge w:val="continue"/>
          </w:tcPr>
          <w:p>
            <w:pPr>
              <w:spacing w:after="0"/>
              <w:rPr>
                <w:sz w:val="10"/>
                <w:szCs w:val="10"/>
                <w:color w:val="auto"/>
              </w:rPr>
            </w:pPr>
          </w:p>
        </w:tc>
        <w:tc>
          <w:tcPr>
            <w:tcW w:w="8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Stabilization</w:t>
            </w:r>
          </w:p>
        </w:tc>
        <w:tc>
          <w:tcPr>
            <w:tcW w:w="10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Location</w:t>
            </w:r>
          </w:p>
        </w:tc>
        <w:tc>
          <w:tcPr>
            <w:tcW w:w="700" w:type="dxa"/>
            <w:vAlign w:val="bottom"/>
            <w:gridSpan w:val="2"/>
            <w:vMerge w:val="continue"/>
          </w:tcPr>
          <w:p>
            <w:pPr>
              <w:spacing w:after="0"/>
              <w:rPr>
                <w:sz w:val="10"/>
                <w:szCs w:val="10"/>
                <w:color w:val="auto"/>
              </w:rPr>
            </w:pPr>
          </w:p>
        </w:tc>
        <w:tc>
          <w:tcPr>
            <w:tcW w:w="7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9"/>
              </w:rPr>
              <w:t>Square</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to Date (1)</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9"/>
              </w:rPr>
              <w:t>Investment</w:t>
            </w:r>
          </w:p>
        </w:tc>
        <w:tc>
          <w:tcPr>
            <w:tcW w:w="7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Available</w:t>
            </w:r>
          </w:p>
        </w:tc>
        <w:tc>
          <w:tcPr>
            <w:tcW w:w="108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March 31, 2024</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Requirement</w:t>
            </w:r>
          </w:p>
        </w:tc>
        <w:tc>
          <w:tcPr>
            <w:tcW w:w="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center"/>
              <w:ind w:right="800"/>
              <w:spacing w:after="0"/>
              <w:rPr>
                <w:sz w:val="20"/>
                <w:szCs w:val="20"/>
                <w:color w:val="auto"/>
              </w:rPr>
            </w:pPr>
            <w:r>
              <w:rPr>
                <w:rFonts w:ascii="Arial" w:cs="Arial" w:eastAsia="Arial" w:hAnsi="Arial"/>
                <w:sz w:val="13"/>
                <w:szCs w:val="13"/>
                <w:b w:val="1"/>
                <w:bCs w:val="1"/>
                <w:color w:val="auto"/>
                <w:w w:val="96"/>
              </w:rPr>
              <w:t>Properties</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gridSpan w:val="2"/>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Buildings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6"/>
                <w:szCs w:val="16"/>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53"/>
              <w:spacing w:after="0"/>
              <w:rPr>
                <w:sz w:val="20"/>
                <w:szCs w:val="20"/>
                <w:color w:val="auto"/>
              </w:rPr>
            </w:pPr>
            <w:r>
              <w:rPr>
                <w:rFonts w:ascii="Arial" w:cs="Arial" w:eastAsia="Arial" w:hAnsi="Arial"/>
                <w:sz w:val="13"/>
                <w:szCs w:val="13"/>
                <w:b w:val="1"/>
                <w:bCs w:val="1"/>
                <w:color w:val="auto"/>
              </w:rPr>
              <w:t>(1)(2)</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center"/>
              <w:ind w:right="193"/>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(1)(2)(4)</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Leased (5)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5"/>
          </w:tcPr>
          <w:p>
            <w:pPr>
              <w:spacing w:after="0" w:line="146" w:lineRule="exact"/>
              <w:rPr>
                <w:sz w:val="20"/>
                <w:szCs w:val="20"/>
                <w:color w:val="auto"/>
              </w:rPr>
            </w:pPr>
            <w:r>
              <w:rPr>
                <w:rFonts w:ascii="Arial" w:cs="Arial" w:eastAsia="Arial" w:hAnsi="Arial"/>
                <w:sz w:val="13"/>
                <w:szCs w:val="13"/>
                <w:b w:val="1"/>
                <w:bCs w:val="1"/>
                <w:color w:val="auto"/>
              </w:rPr>
              <w:t>Office</w:t>
            </w: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360</w:t>
            </w:r>
          </w:p>
        </w:tc>
        <w:tc>
          <w:tcPr>
            <w:tcW w:w="2020" w:type="dxa"/>
            <w:vAlign w:val="bottom"/>
            <w:gridSpan w:val="5"/>
            <w:shd w:val="clear" w:color="auto" w:fill="CCEEFF"/>
          </w:tcPr>
          <w:p>
            <w:pPr>
              <w:ind w:left="20"/>
              <w:spacing w:after="0" w:line="136" w:lineRule="exact"/>
              <w:rPr>
                <w:sz w:val="20"/>
                <w:szCs w:val="20"/>
                <w:color w:val="auto"/>
              </w:rPr>
            </w:pPr>
            <w:r>
              <w:rPr>
                <w:rFonts w:ascii="Arial" w:cs="Arial" w:eastAsia="Arial" w:hAnsi="Arial"/>
                <w:sz w:val="13"/>
                <w:szCs w:val="13"/>
                <w:color w:val="auto"/>
              </w:rPr>
              <w:t>Park Avenue South (71%</w:t>
            </w:r>
          </w:p>
        </w:tc>
        <w:tc>
          <w:tcPr>
            <w:tcW w:w="8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rPr>
              <w:t>Q4 2025</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New York, NY</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450,000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332,077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418,300</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$ 156,470</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86,223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ownership) (Redevelopment)</w:t>
            </w:r>
          </w:p>
        </w:tc>
        <w:tc>
          <w:tcPr>
            <w:tcW w:w="86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6"/>
          </w:tcPr>
          <w:p>
            <w:pPr>
              <w:spacing w:after="0"/>
              <w:rPr>
                <w:sz w:val="20"/>
                <w:szCs w:val="20"/>
                <w:color w:val="auto"/>
              </w:rPr>
            </w:pPr>
            <w:r>
              <w:rPr>
                <w:rFonts w:ascii="Arial" w:cs="Arial" w:eastAsia="Arial" w:hAnsi="Arial"/>
                <w:sz w:val="13"/>
                <w:szCs w:val="13"/>
                <w:color w:val="auto"/>
              </w:rPr>
              <w:t>Reston Next Office Phase II</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rPr>
              <w:t>Q4 2025</w:t>
            </w: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40,956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61,000</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20,044</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CCEEFF"/>
            </w:tcBorders>
            <w:gridSpan w:val="10"/>
            <w:shd w:val="clear" w:color="auto" w:fill="CCEEFF"/>
          </w:tcPr>
          <w:p>
            <w:pPr>
              <w:ind w:left="160"/>
              <w:spacing w:after="0"/>
              <w:rPr>
                <w:sz w:val="20"/>
                <w:szCs w:val="20"/>
                <w:color w:val="auto"/>
              </w:rPr>
            </w:pPr>
            <w:r>
              <w:rPr>
                <w:rFonts w:ascii="Arial" w:cs="Arial" w:eastAsia="Arial" w:hAnsi="Arial"/>
                <w:sz w:val="13"/>
                <w:szCs w:val="13"/>
                <w:b w:val="1"/>
                <w:bCs w:val="1"/>
                <w:color w:val="auto"/>
              </w:rPr>
              <w:t>Total Office Properties under Construction/Redevelopment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540,000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373,033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479,300</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106,267</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Laboratory/Life Sciences</w:t>
            </w:r>
          </w:p>
        </w:tc>
        <w:tc>
          <w:tcPr>
            <w:tcW w:w="640" w:type="dxa"/>
            <w:vAlign w:val="bottom"/>
            <w:tcBorders>
              <w:bottom w:val="single" w:sz="8" w:color="CCEEFF"/>
            </w:tcBorders>
            <w:gridSpan w:val="2"/>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103</w:t>
            </w:r>
          </w:p>
        </w:tc>
        <w:tc>
          <w:tcPr>
            <w:tcW w:w="2020" w:type="dxa"/>
            <w:vAlign w:val="bottom"/>
            <w:gridSpan w:val="5"/>
          </w:tcPr>
          <w:p>
            <w:pPr>
              <w:ind w:left="20"/>
              <w:spacing w:after="0"/>
              <w:rPr>
                <w:sz w:val="20"/>
                <w:szCs w:val="20"/>
                <w:color w:val="auto"/>
              </w:rPr>
            </w:pPr>
            <w:r>
              <w:rPr>
                <w:rFonts w:ascii="Arial" w:cs="Arial" w:eastAsia="Arial" w:hAnsi="Arial"/>
                <w:sz w:val="13"/>
                <w:szCs w:val="13"/>
                <w:color w:val="auto"/>
              </w:rPr>
              <w:t>CityPoint</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rPr>
              <w:t>Q4 2025</w:t>
            </w: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89,274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115,100</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25,826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320" w:type="dxa"/>
            <w:vAlign w:val="bottom"/>
          </w:tcPr>
          <w:p>
            <w:pPr>
              <w:ind w:lef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5"/>
        </w:trPr>
        <w:tc>
          <w:tcPr>
            <w:tcW w:w="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180</w:t>
            </w:r>
          </w:p>
        </w:tc>
        <w:tc>
          <w:tcPr>
            <w:tcW w:w="20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CityPoint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Q3 2025</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290,500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66,144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6"/>
        </w:trPr>
        <w:tc>
          <w:tcPr>
            <w:tcW w:w="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300</w:t>
            </w:r>
          </w:p>
        </w:tc>
        <w:tc>
          <w:tcPr>
            <w:tcW w:w="2020" w:type="dxa"/>
            <w:vAlign w:val="bottom"/>
            <w:gridSpan w:val="5"/>
          </w:tcPr>
          <w:p>
            <w:pPr>
              <w:ind w:left="20"/>
              <w:spacing w:after="0" w:line="136" w:lineRule="exact"/>
              <w:rPr>
                <w:sz w:val="20"/>
                <w:szCs w:val="20"/>
                <w:color w:val="auto"/>
              </w:rPr>
            </w:pPr>
            <w:r>
              <w:rPr>
                <w:rFonts w:ascii="Arial" w:cs="Arial" w:eastAsia="Arial" w:hAnsi="Arial"/>
                <w:sz w:val="13"/>
                <w:szCs w:val="13"/>
                <w:color w:val="auto"/>
              </w:rPr>
              <w:t>Binney Street (55% ownership)</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Q1 2025</w:t>
            </w:r>
          </w:p>
        </w:tc>
        <w:tc>
          <w:tcPr>
            <w:tcW w:w="102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Cambridge,</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236,000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5,211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3"/>
                <w:szCs w:val="13"/>
                <w:color w:val="auto"/>
              </w:rPr>
              <w:t>112,900</w:t>
            </w: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107,689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6"/>
          </w:tcPr>
          <w:p>
            <w:pPr>
              <w:ind w:left="160"/>
              <w:spacing w:after="0"/>
              <w:rPr>
                <w:sz w:val="20"/>
                <w:szCs w:val="20"/>
                <w:color w:val="auto"/>
              </w:rPr>
            </w:pPr>
            <w:r>
              <w:rPr>
                <w:rFonts w:ascii="Arial" w:cs="Arial" w:eastAsia="Arial" w:hAnsi="Arial"/>
                <w:sz w:val="13"/>
                <w:szCs w:val="13"/>
                <w:color w:val="auto"/>
              </w:rPr>
              <w:t>(Redevelopment)</w:t>
            </w:r>
          </w:p>
        </w:tc>
        <w:tc>
          <w:tcPr>
            <w:tcW w:w="860" w:type="dxa"/>
            <w:vAlign w:val="bottom"/>
            <w:gridSpan w:val="2"/>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651</w:t>
            </w:r>
          </w:p>
        </w:tc>
        <w:tc>
          <w:tcPr>
            <w:tcW w:w="202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3"/>
                <w:szCs w:val="13"/>
                <w:color w:val="auto"/>
              </w:rPr>
              <w:t>Gateway (50% ownership)</w:t>
            </w:r>
          </w:p>
        </w:tc>
        <w:tc>
          <w:tcPr>
            <w:tcW w:w="8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rPr>
              <w:t>Q4 2025</w:t>
            </w:r>
          </w:p>
        </w:tc>
        <w:tc>
          <w:tcPr>
            <w:tcW w:w="10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South San</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327,000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116,103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167,100</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50,997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860" w:type="dxa"/>
            <w:vAlign w:val="bottom"/>
            <w:gridSpan w:val="2"/>
            <w:vMerge w:val="continue"/>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auto"/>
              </w:rPr>
              <w:t>290</w:t>
            </w:r>
          </w:p>
        </w:tc>
        <w:tc>
          <w:tcPr>
            <w:tcW w:w="2020" w:type="dxa"/>
            <w:vAlign w:val="bottom"/>
            <w:gridSpan w:val="5"/>
            <w:vMerge w:val="restart"/>
          </w:tcPr>
          <w:p>
            <w:pPr>
              <w:ind w:left="20"/>
              <w:spacing w:after="0"/>
              <w:rPr>
                <w:sz w:val="20"/>
                <w:szCs w:val="20"/>
                <w:color w:val="auto"/>
              </w:rPr>
            </w:pPr>
            <w:r>
              <w:rPr>
                <w:rFonts w:ascii="Arial" w:cs="Arial" w:eastAsia="Arial" w:hAnsi="Arial"/>
                <w:sz w:val="13"/>
                <w:szCs w:val="13"/>
                <w:color w:val="auto"/>
              </w:rPr>
              <w:t>Binney Street (55% ownership)</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Q2 2026</w:t>
            </w:r>
          </w:p>
        </w:tc>
        <w:tc>
          <w:tcPr>
            <w:tcW w:w="102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Cambridge,</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566,000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205,977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3"/>
                <w:szCs w:val="13"/>
                <w:color w:val="auto"/>
              </w:rPr>
              <w:t>508,000</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302,023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2"/>
        </w:trPr>
        <w:tc>
          <w:tcPr>
            <w:tcW w:w="260" w:type="dxa"/>
            <w:vAlign w:val="bottom"/>
            <w:tcBorders>
              <w:bottom w:val="single" w:sz="8" w:color="CCEEFF"/>
            </w:tcBorders>
            <w:gridSpan w:val="2"/>
            <w:vMerge w:val="continue"/>
          </w:tcPr>
          <w:p>
            <w:pPr>
              <w:spacing w:after="0"/>
              <w:rPr>
                <w:sz w:val="15"/>
                <w:szCs w:val="15"/>
                <w:color w:val="auto"/>
              </w:rPr>
            </w:pPr>
          </w:p>
        </w:tc>
        <w:tc>
          <w:tcPr>
            <w:tcW w:w="2020" w:type="dxa"/>
            <w:vAlign w:val="bottom"/>
            <w:tcBorders>
              <w:bottom w:val="single" w:sz="8" w:color="CCEEFF"/>
            </w:tcBorders>
            <w:gridSpan w:val="5"/>
            <w:vMerge w:val="continue"/>
          </w:tcPr>
          <w:p>
            <w:pPr>
              <w:spacing w:after="0"/>
              <w:rPr>
                <w:sz w:val="15"/>
                <w:szCs w:val="15"/>
                <w:color w:val="auto"/>
              </w:rPr>
            </w:pPr>
          </w:p>
        </w:tc>
        <w:tc>
          <w:tcPr>
            <w:tcW w:w="860" w:type="dxa"/>
            <w:vAlign w:val="bottom"/>
            <w:tcBorders>
              <w:bottom w:val="single" w:sz="8" w:color="CCEEFF"/>
            </w:tcBorders>
            <w:gridSpan w:val="2"/>
            <w:vMerge w:val="continue"/>
          </w:tcPr>
          <w:p>
            <w:pPr>
              <w:spacing w:after="0"/>
              <w:rPr>
                <w:sz w:val="15"/>
                <w:szCs w:val="15"/>
                <w:color w:val="auto"/>
              </w:rPr>
            </w:pPr>
          </w:p>
        </w:tc>
        <w:tc>
          <w:tcPr>
            <w:tcW w:w="1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MA</w:t>
            </w: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4140" w:type="dxa"/>
            <w:vAlign w:val="bottom"/>
            <w:gridSpan w:val="10"/>
            <w:shd w:val="clear" w:color="auto" w:fill="CCEEFF"/>
          </w:tcPr>
          <w:p>
            <w:pPr>
              <w:ind w:left="160"/>
              <w:spacing w:after="0" w:line="121" w:lineRule="exact"/>
              <w:rPr>
                <w:sz w:val="20"/>
                <w:szCs w:val="20"/>
                <w:color w:val="auto"/>
              </w:rPr>
            </w:pPr>
            <w:r>
              <w:rPr>
                <w:rFonts w:ascii="Arial" w:cs="Arial" w:eastAsia="Arial" w:hAnsi="Arial"/>
                <w:sz w:val="13"/>
                <w:szCs w:val="13"/>
                <w:b w:val="1"/>
                <w:bCs w:val="1"/>
                <w:color w:val="auto"/>
              </w:rPr>
              <w:t>Total Laboratory/Life Sciences Properties under</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640,921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1,193,600</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552,679</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20" w:type="dxa"/>
            <w:vAlign w:val="bottom"/>
            <w:gridSpan w:val="5"/>
            <w:shd w:val="clear" w:color="auto" w:fill="CCEEFF"/>
          </w:tcPr>
          <w:p>
            <w:pPr>
              <w:ind w:left="100"/>
              <w:spacing w:after="0"/>
              <w:rPr>
                <w:sz w:val="20"/>
                <w:szCs w:val="20"/>
                <w:color w:val="auto"/>
              </w:rPr>
            </w:pPr>
            <w:r>
              <w:rPr>
                <w:rFonts w:ascii="Arial" w:cs="Arial" w:eastAsia="Arial" w:hAnsi="Arial"/>
                <w:sz w:val="13"/>
                <w:szCs w:val="13"/>
                <w:b w:val="1"/>
                <w:bCs w:val="1"/>
                <w:color w:val="auto"/>
              </w:rPr>
              <w:t>Construction/Redevelopment</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26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Residential</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6"/>
          </w:tcPr>
          <w:p>
            <w:pPr>
              <w:spacing w:after="0" w:line="136" w:lineRule="exact"/>
              <w:rPr>
                <w:sz w:val="20"/>
                <w:szCs w:val="20"/>
                <w:color w:val="auto"/>
              </w:rPr>
            </w:pPr>
            <w:r>
              <w:rPr>
                <w:rFonts w:ascii="Arial" w:cs="Arial" w:eastAsia="Arial" w:hAnsi="Arial"/>
                <w:sz w:val="13"/>
                <w:szCs w:val="13"/>
                <w:color w:val="auto"/>
              </w:rPr>
              <w:t>Skymark - Reston Next Residential</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Q2 2026</w:t>
            </w: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417,000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36,744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3"/>
                <w:szCs w:val="13"/>
                <w:color w:val="auto"/>
              </w:rPr>
              <w:t>47,700</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18,153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1,109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3 %</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6"/>
          </w:tcPr>
          <w:p>
            <w:pPr>
              <w:ind w:left="160"/>
              <w:spacing w:after="0"/>
              <w:rPr>
                <w:sz w:val="20"/>
                <w:szCs w:val="20"/>
                <w:color w:val="auto"/>
              </w:rPr>
            </w:pPr>
            <w:r>
              <w:rPr>
                <w:rFonts w:ascii="Arial" w:cs="Arial" w:eastAsia="Arial" w:hAnsi="Arial"/>
                <w:sz w:val="13"/>
                <w:szCs w:val="13"/>
                <w:color w:val="auto"/>
              </w:rPr>
              <w:t>(508 units) (20% ownership)</w:t>
            </w:r>
          </w:p>
        </w:tc>
        <w:tc>
          <w:tcPr>
            <w:tcW w:w="8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121</w:t>
            </w:r>
          </w:p>
        </w:tc>
        <w:tc>
          <w:tcPr>
            <w:tcW w:w="2020" w:type="dxa"/>
            <w:vAlign w:val="bottom"/>
            <w:gridSpan w:val="5"/>
            <w:vMerge w:val="restart"/>
            <w:shd w:val="clear" w:color="auto" w:fill="CCEEFF"/>
          </w:tcPr>
          <w:p>
            <w:pPr>
              <w:ind w:left="20"/>
              <w:spacing w:after="0"/>
              <w:rPr>
                <w:sz w:val="20"/>
                <w:szCs w:val="20"/>
                <w:color w:val="auto"/>
              </w:rPr>
            </w:pPr>
            <w:r>
              <w:rPr>
                <w:rFonts w:ascii="Arial" w:cs="Arial" w:eastAsia="Arial" w:hAnsi="Arial"/>
                <w:sz w:val="13"/>
                <w:szCs w:val="13"/>
                <w:color w:val="auto"/>
              </w:rPr>
              <w:t>Broadway Street (439 units)</w:t>
            </w:r>
          </w:p>
        </w:tc>
        <w:tc>
          <w:tcPr>
            <w:tcW w:w="8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rPr>
              <w:t>Q2 2029</w:t>
            </w:r>
          </w:p>
        </w:tc>
        <w:tc>
          <w:tcPr>
            <w:tcW w:w="10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Cambridge,</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492,000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45,891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597,800</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551,909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gridSpan w:val="2"/>
            <w:vMerge w:val="continue"/>
            <w:shd w:val="clear" w:color="auto" w:fill="CCEEFF"/>
          </w:tcPr>
          <w:p>
            <w:pPr>
              <w:spacing w:after="0"/>
              <w:rPr>
                <w:sz w:val="16"/>
                <w:szCs w:val="16"/>
                <w:color w:val="auto"/>
              </w:rPr>
            </w:pPr>
          </w:p>
        </w:tc>
        <w:tc>
          <w:tcPr>
            <w:tcW w:w="2020" w:type="dxa"/>
            <w:vAlign w:val="bottom"/>
            <w:gridSpan w:val="5"/>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60" w:type="dxa"/>
            <w:vAlign w:val="bottom"/>
            <w:gridSpan w:val="6"/>
          </w:tcPr>
          <w:p>
            <w:pPr>
              <w:ind w:left="160"/>
              <w:spacing w:after="0" w:line="115" w:lineRule="exact"/>
              <w:rPr>
                <w:sz w:val="20"/>
                <w:szCs w:val="20"/>
                <w:color w:val="auto"/>
              </w:rPr>
            </w:pPr>
            <w:r>
              <w:rPr>
                <w:rFonts w:ascii="Arial" w:cs="Arial" w:eastAsia="Arial" w:hAnsi="Arial"/>
                <w:sz w:val="13"/>
                <w:szCs w:val="13"/>
                <w:b w:val="1"/>
                <w:bCs w:val="1"/>
                <w:color w:val="auto"/>
              </w:rPr>
              <w:t>Total Residential Property under</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909,000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82,635</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645,500</w:t>
            </w:r>
          </w:p>
        </w:tc>
        <w:tc>
          <w:tcPr>
            <w:tcW w:w="80" w:type="dxa"/>
            <w:vAlign w:val="bottom"/>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18,153</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3"/>
                <w:szCs w:val="13"/>
                <w:color w:val="auto"/>
              </w:rPr>
              <w:t>553,018</w:t>
            </w:r>
          </w:p>
        </w:tc>
        <w:tc>
          <w:tcPr>
            <w:tcW w:w="80" w:type="dxa"/>
            <w:vAlign w:val="bottom"/>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1 %</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gridSpan w:val="6"/>
          </w:tcPr>
          <w:p>
            <w:pPr>
              <w:ind w:left="160"/>
              <w:spacing w:after="0"/>
              <w:rPr>
                <w:sz w:val="20"/>
                <w:szCs w:val="20"/>
                <w:color w:val="auto"/>
              </w:rPr>
            </w:pPr>
            <w:r>
              <w:rPr>
                <w:rFonts w:ascii="Arial" w:cs="Arial" w:eastAsia="Arial" w:hAnsi="Arial"/>
                <w:sz w:val="13"/>
                <w:szCs w:val="13"/>
                <w:b w:val="1"/>
                <w:bCs w:val="1"/>
                <w:color w:val="auto"/>
              </w:rPr>
              <w:t>Construction</w:t>
            </w:r>
          </w:p>
        </w:tc>
        <w:tc>
          <w:tcPr>
            <w:tcW w:w="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6"/>
          </w:tcPr>
          <w:p>
            <w:pPr>
              <w:spacing w:after="0"/>
              <w:rPr>
                <w:sz w:val="20"/>
                <w:szCs w:val="20"/>
                <w:color w:val="auto"/>
              </w:rPr>
            </w:pPr>
            <w:r>
              <w:rPr>
                <w:rFonts w:ascii="Arial" w:cs="Arial" w:eastAsia="Arial" w:hAnsi="Arial"/>
                <w:sz w:val="13"/>
                <w:szCs w:val="13"/>
                <w:b w:val="1"/>
                <w:bCs w:val="1"/>
                <w:color w:val="auto"/>
              </w:rPr>
              <w:t>Retail</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760</w:t>
            </w:r>
          </w:p>
        </w:tc>
        <w:tc>
          <w:tcPr>
            <w:tcW w:w="2020" w:type="dxa"/>
            <w:vAlign w:val="bottom"/>
            <w:gridSpan w:val="5"/>
            <w:shd w:val="clear" w:color="auto" w:fill="CCEEFF"/>
          </w:tcPr>
          <w:p>
            <w:pPr>
              <w:ind w:left="20"/>
              <w:spacing w:after="0" w:line="136" w:lineRule="exact"/>
              <w:rPr>
                <w:sz w:val="20"/>
                <w:szCs w:val="20"/>
                <w:color w:val="auto"/>
              </w:rPr>
            </w:pPr>
            <w:r>
              <w:rPr>
                <w:rFonts w:ascii="Arial" w:cs="Arial" w:eastAsia="Arial" w:hAnsi="Arial"/>
                <w:sz w:val="13"/>
                <w:szCs w:val="13"/>
                <w:color w:val="auto"/>
              </w:rPr>
              <w:t>Boylston Street</w:t>
            </w:r>
          </w:p>
        </w:tc>
        <w:tc>
          <w:tcPr>
            <w:tcW w:w="8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rPr>
              <w:t>Q2 2024</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Boston, MA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33,051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43,800</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10,749</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86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gridSpan w:val="6"/>
          </w:tcPr>
          <w:p>
            <w:pPr>
              <w:spacing w:after="0"/>
              <w:rPr>
                <w:sz w:val="20"/>
                <w:szCs w:val="20"/>
                <w:color w:val="auto"/>
              </w:rPr>
            </w:pPr>
            <w:r>
              <w:rPr>
                <w:rFonts w:ascii="Arial" w:cs="Arial" w:eastAsia="Arial" w:hAnsi="Arial"/>
                <w:sz w:val="13"/>
                <w:szCs w:val="13"/>
                <w:color w:val="auto"/>
              </w:rPr>
              <w:t>Reston Next Retail</w:t>
            </w:r>
          </w:p>
        </w:tc>
        <w:tc>
          <w:tcPr>
            <w:tcW w:w="8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rPr>
              <w:t>Q4 2025</w:t>
            </w:r>
          </w:p>
        </w:tc>
        <w:tc>
          <w:tcPr>
            <w:tcW w:w="1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22,809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26,600</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3,791</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140" w:type="dxa"/>
            <w:vAlign w:val="bottom"/>
            <w:gridSpan w:val="10"/>
            <w:shd w:val="clear" w:color="auto" w:fill="CCEEFF"/>
          </w:tcPr>
          <w:p>
            <w:pPr>
              <w:ind w:left="160"/>
              <w:spacing w:after="0"/>
              <w:rPr>
                <w:sz w:val="20"/>
                <w:szCs w:val="20"/>
                <w:color w:val="auto"/>
              </w:rPr>
            </w:pPr>
            <w:r>
              <w:rPr>
                <w:rFonts w:ascii="Arial" w:cs="Arial" w:eastAsia="Arial" w:hAnsi="Arial"/>
                <w:sz w:val="13"/>
                <w:szCs w:val="13"/>
                <w:b w:val="1"/>
                <w:bCs w:val="1"/>
                <w:color w:val="auto"/>
              </w:rPr>
              <w:t>Total Retail Properties under Construction/Redevelopment</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70,400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14,540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10"/>
            <w:shd w:val="clear" w:color="auto" w:fill="CCEEFF"/>
          </w:tcPr>
          <w:p>
            <w:pPr>
              <w:ind w:left="160"/>
              <w:spacing w:after="0"/>
              <w:rPr>
                <w:sz w:val="20"/>
                <w:szCs w:val="20"/>
                <w:color w:val="auto"/>
              </w:rPr>
            </w:pPr>
            <w:r>
              <w:rPr>
                <w:rFonts w:ascii="Arial" w:cs="Arial" w:eastAsia="Arial" w:hAnsi="Arial"/>
                <w:sz w:val="13"/>
                <w:szCs w:val="13"/>
                <w:b w:val="1"/>
                <w:bCs w:val="1"/>
                <w:color w:val="auto"/>
              </w:rPr>
              <w:t>Total Properties under Construction/Redevelopment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11</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3,171,000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1,152,449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2,388,800</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$ 184,470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174,623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1,226,504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68"/>
        </w:trPr>
        <w:tc>
          <w:tcPr>
            <w:tcW w:w="164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___________</w:t>
            </w: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our share.</w:t>
      </w:r>
    </w:p>
    <w:p>
      <w:pPr>
        <w:spacing w:after="0" w:line="13" w:lineRule="exact"/>
        <w:rPr>
          <w:rFonts w:ascii="Arial" w:cs="Arial" w:eastAsia="Arial" w:hAnsi="Arial"/>
          <w:sz w:val="15"/>
          <w:szCs w:val="15"/>
          <w:color w:val="auto"/>
        </w:rPr>
      </w:pPr>
    </w:p>
    <w:p>
      <w:pPr>
        <w:ind w:left="580" w:right="340" w:hanging="329"/>
        <w:spacing w:after="0" w:line="256" w:lineRule="auto"/>
        <w:tabs>
          <w:tab w:leader="none" w:pos="578" w:val="left"/>
        </w:tabs>
        <w:numPr>
          <w:ilvl w:val="0"/>
          <w:numId w:val="51"/>
        </w:numPr>
        <w:rPr>
          <w:rFonts w:ascii="Arial" w:cs="Arial" w:eastAsia="Arial" w:hAnsi="Arial"/>
          <w:sz w:val="15"/>
          <w:szCs w:val="15"/>
          <w:color w:val="auto"/>
        </w:rPr>
      </w:pPr>
      <w:r>
        <w:rPr>
          <w:rFonts w:ascii="Arial" w:cs="Arial" w:eastAsia="Arial" w:hAnsi="Arial"/>
          <w:sz w:val="15"/>
          <w:szCs w:val="15"/>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March 31, 2024.</w:t>
      </w:r>
    </w:p>
    <w:p>
      <w:pPr>
        <w:spacing w:after="0" w:line="1" w:lineRule="exact"/>
        <w:rPr>
          <w:rFonts w:ascii="Arial" w:cs="Arial" w:eastAsia="Arial" w:hAnsi="Arial"/>
          <w:sz w:val="15"/>
          <w:szCs w:val="15"/>
          <w:color w:val="auto"/>
        </w:rPr>
      </w:pPr>
    </w:p>
    <w:p>
      <w:pPr>
        <w:ind w:left="580" w:hanging="329"/>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approximately $73.6 million of unpaid but accrued construction costs and leasing commissions.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Excludes approximately $73.6 million of unpaid but accrued construction costs and leasing commissions.</w:t>
      </w:r>
    </w:p>
    <w:p>
      <w:pPr>
        <w:spacing w:after="0" w:line="13" w:lineRule="exact"/>
        <w:rPr>
          <w:rFonts w:ascii="Arial" w:cs="Arial" w:eastAsia="Arial" w:hAnsi="Arial"/>
          <w:sz w:val="15"/>
          <w:szCs w:val="15"/>
          <w:color w:val="auto"/>
        </w:rPr>
      </w:pPr>
    </w:p>
    <w:p>
      <w:pPr>
        <w:ind w:left="580" w:hanging="329"/>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percentage leased as of May 2, 2024, including leases with future commencement dates.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As of March 31, 2024, this property was 4% placed in-service.</w:t>
      </w:r>
    </w:p>
    <w:p>
      <w:pPr>
        <w:spacing w:after="0" w:line="13" w:lineRule="exact"/>
        <w:rPr>
          <w:rFonts w:ascii="Arial" w:cs="Arial" w:eastAsia="Arial" w:hAnsi="Arial"/>
          <w:sz w:val="15"/>
          <w:szCs w:val="15"/>
          <w:color w:val="auto"/>
        </w:rPr>
      </w:pPr>
    </w:p>
    <w:p>
      <w:pPr>
        <w:ind w:left="580" w:hanging="329"/>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As of March 31, 2024, this property was 46% placed in-service.</w:t>
      </w:r>
    </w:p>
    <w:p>
      <w:pPr>
        <w:spacing w:after="0" w:line="16" w:lineRule="exact"/>
        <w:rPr>
          <w:rFonts w:ascii="Arial" w:cs="Arial" w:eastAsia="Arial" w:hAnsi="Arial"/>
          <w:sz w:val="15"/>
          <w:szCs w:val="15"/>
          <w:color w:val="auto"/>
        </w:rPr>
      </w:pPr>
    </w:p>
    <w:p>
      <w:pPr>
        <w:ind w:left="580" w:right="120" w:hanging="329"/>
        <w:spacing w:after="0" w:line="267" w:lineRule="auto"/>
        <w:tabs>
          <w:tab w:leader="none" w:pos="578"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institutional investor funded approximately $212.9 million at closing for its investment in 300 Binney Street. We withdrew approximately $212.9 million at closing and will fund all future costs of the project.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0" w:hanging="329"/>
        <w:spacing w:after="0"/>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As of March 31, 2024, this property was 14% placed in-service.</w:t>
      </w:r>
    </w:p>
    <w:p>
      <w:pPr>
        <w:spacing w:after="0" w:line="27" w:lineRule="exact"/>
        <w:rPr>
          <w:rFonts w:ascii="Arial" w:cs="Arial" w:eastAsia="Arial" w:hAnsi="Arial"/>
          <w:sz w:val="15"/>
          <w:szCs w:val="15"/>
          <w:color w:val="auto"/>
        </w:rPr>
      </w:pPr>
    </w:p>
    <w:p>
      <w:pPr>
        <w:ind w:left="580" w:hanging="329"/>
        <w:spacing w:after="0" w:line="255" w:lineRule="auto"/>
        <w:tabs>
          <w:tab w:leader="none" w:pos="568" w:val="left"/>
        </w:tabs>
        <w:numPr>
          <w:ilvl w:val="0"/>
          <w:numId w:val="52"/>
        </w:numPr>
        <w:rPr>
          <w:rFonts w:ascii="Arial" w:cs="Arial" w:eastAsia="Arial" w:hAnsi="Arial"/>
          <w:sz w:val="15"/>
          <w:szCs w:val="15"/>
          <w:color w:val="auto"/>
        </w:rPr>
      </w:pPr>
      <w:r>
        <w:rPr>
          <w:rFonts w:ascii="Arial" w:cs="Arial" w:eastAsia="Arial" w:hAnsi="Arial"/>
          <w:sz w:val="15"/>
          <w:szCs w:val="15"/>
          <w:color w:val="auto"/>
        </w:rPr>
        <w:t>On March 21, 2024, we completed the sale of a 45% interest in 290 Binney Street (See Note 9 to the Consolidated Financial Statements). The project budget reflects our 55% share of joint venture costs related to 290 Binney Street. We have the sole obligation to construct an underground electrical vault for an estimated gross cost of $183.9 million. We have entered into a contract to sell the electrical vault to a third party for a fixed price of $84.1 million upon completion. The net investment of $99.8 million will be included in our outside basis in 290 Binney Street. We have invested $40.5 million for the vault as of March 31, 2024.</w:t>
      </w:r>
    </w:p>
    <w:p>
      <w:pPr>
        <w:spacing w:after="0" w:line="1" w:lineRule="exact"/>
        <w:rPr>
          <w:rFonts w:ascii="Arial" w:cs="Arial" w:eastAsia="Arial" w:hAnsi="Arial"/>
          <w:sz w:val="15"/>
          <w:szCs w:val="15"/>
          <w:color w:val="auto"/>
        </w:rPr>
      </w:pPr>
    </w:p>
    <w:p>
      <w:pPr>
        <w:ind w:left="560" w:hanging="309"/>
        <w:spacing w:after="0"/>
        <w:tabs>
          <w:tab w:leader="none" w:pos="5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Percentage leased excludes the residential properties.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Lease revenue (which includes reimbursement of operating expenses from clients, if any), other income from operations, available cash balances, proceeds from mortgage financings, offerings of unsecured indebtedness and BPLP's commercial paper program, draws on BPLP’s 2021 Credit Facility, and funding from institutional private equity partners are the principal sources of capital that we use to fund operating expenses, debt service, development and redevelopment activities,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interest earned on cash deposits and, from time to time, the sale of assets. We believe these sources of capital will continue to provide the funds necessary for our short-term liquidity needs. Material adverse changes in one or more sources of capital may adversely affect our net cash flows.</w:t>
      </w:r>
    </w:p>
    <w:p>
      <w:pPr>
        <w:spacing w:after="0" w:line="131"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We expect our primary uses of capital over the next twelve months will be to fund our current and committed development and redevelopment projects, repay debt maturities (as discussed below), make interest payments on our outstanding indebtedness, and satisfy our REIT distribution requirements.</w:t>
      </w:r>
    </w:p>
    <w:p>
      <w:pPr>
        <w:spacing w:after="0" w:line="117"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As of March 31, 2024, we had 11 properties under development or redevelopment. Our share of the estimated total investment for these projects is approximately $ 2.6 billion, of which approximately $1.4 billion remains to be funded primarily with equity through 2027. On April 5, 2024, we completed and fully placed into service 760 Boylston Street, an approximately 118,000 net rentable square foot retail redevelopment located in Boston, Massachusetts.</w:t>
      </w:r>
    </w:p>
    <w:p>
      <w:pPr>
        <w:spacing w:after="0" w:line="122"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During the first quarter of 2024, we further strengthened our balance sheet through sourcing additional liquidity and reducing our debt obligations. Notable transactions include:</w:t>
      </w:r>
    </w:p>
    <w:p>
      <w:pPr>
        <w:spacing w:after="0" w:line="99" w:lineRule="exact"/>
        <w:rPr>
          <w:sz w:val="20"/>
          <w:szCs w:val="20"/>
          <w:color w:val="auto"/>
        </w:rPr>
      </w:pPr>
    </w:p>
    <w:p>
      <w:pPr>
        <w:jc w:val="both"/>
        <w:ind w:left="660" w:right="140" w:hanging="328"/>
        <w:spacing w:after="0" w:line="268"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February 1, 2024, BPLP repaid at maturity its 3.800% unsecured senior notes at par utilizing the proceeds from a $600.0 million mortgage loan entered into on October 26, 2023 and available cash. The repayment price was approximately $713.3 million, which included the stated principal of $700 million plus approximately $13.3 million of accrued and unpaid interest.</w:t>
      </w:r>
    </w:p>
    <w:p>
      <w:pPr>
        <w:spacing w:after="0" w:line="116"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April 16, 2024, BPLP provided notice to exercise its one-year extension option on its 2023 Unsecured Term Loan. BPLP anticipates effectuating the extension on or prior to the current May 16, 2024 maturity date. Upon effectiveness, the 2023 Unsecured Term Loan will mature on May 16, 2025. After making an approximately $500.0 million optional repayment on April 29, 2024 with the proceeds from BPLP's commercial paper program, the 2023 Unsecured Term Loan has an outstanding principal balance of $700.0 million.</w:t>
      </w:r>
    </w:p>
    <w:p>
      <w:pPr>
        <w:spacing w:after="0" w:line="125"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$500.0 million with varying maturities of up to one year. The notes will be sold in private placements and will rank pari passu with all of BPLP’s other unsecured senior indebtedness, including its outstanding senior notes. The commercial paper program is backstopped by available capacity under the 2021 Credit Facility. As of May 2, 2024, BPLP had $500.0 million outstanding under the commercial paper program that bears interest at a weighted-average rate of 5.58% per annum.</w:t>
      </w:r>
    </w:p>
    <w:p>
      <w:pPr>
        <w:spacing w:after="0" w:line="128"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April 29, 2024, BPLP increased the current maximum borrowing amount under the 2021 Credit Facility from $1.815 billion to $2.0 billion. All other terms of the 2021 Credit Facility, including its maturity date of June 15, 2026, remain unchanged. BPLP had no borrowings under the 2021 Credit Facility as of May 2, 2024.</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consolidated debt maturities through May 2025 include (1) $850.0 million aggregate principal amount of BPLP’s 3.200% unsecured senior notes due January 15, 2025, (2) $700.0 million 2023 Unsecured Term Loan that matures on May 16, 2025 upon effectiveness of our extension option, (3) approximately $202.2 million of mortgage debt secured by our 901 New York Avenue property located in Washington, DC maturing on January 5, 2025 (unless we exercise a four-year extension option, subject to certain conditions) and (4) amounts that become due under BPLP’s commercial paper program.</w:t>
      </w:r>
    </w:p>
    <w:p>
      <w:pPr>
        <w:spacing w:after="0" w:line="12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As of March 31, 2024, our unconsolidated joint venture portfolio have approximately $469.0 million (our share) of debt maturing through May 2, 2025. We expect to fund the foregoing debt maturities using available cash</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balances, proceeds from asset sales, draws on BPLP’s 2021 Credit Facility, proceeds from BPLP’s commercial paper program, secured debt or unsecured debt, or both. We expect our net interest expense will increase in 2024 compared to 2023 primarily due to higher interest rates on outstanding debt and debt that we refinance, the impact of non-cash interest charges related to recent acquisitions, which included the assumption of below market debt, and lower interest income as we use cash balances to repay debt and fund our development pipeline.</w:t>
      </w:r>
    </w:p>
    <w:p>
      <w:pPr>
        <w:spacing w:after="0" w:line="12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As of May 2, 2024, we had available cash of approximately $502.5 million (of which approximately $125.9 million is attributable to our consolidated joint venture partners). Our liquidity and capital resources depend on a wide range of factors, and we believe that our access to capital and our strong liquidity, including the approximately $2.0 billion available under BPLP’s 2021 Credit Facility, of which $ 500.0 million is being used as a backstop for the commercial paper program, and our available cash, as of May 2, 2024, are sufficient to fund our remaining capital needs on existing development and redevelopment projects, fund acquisitions, repay our maturing indebtedness when due (if not refinanced or extended), satisfy our REIT distribution requirements and still allow us to act opportunistically on attractive investment opportunities.</w:t>
      </w:r>
    </w:p>
    <w:p>
      <w:pPr>
        <w:spacing w:after="0" w:line="129" w:lineRule="exact"/>
        <w:rPr>
          <w:sz w:val="20"/>
          <w:szCs w:val="20"/>
          <w:color w:val="auto"/>
        </w:rPr>
      </w:pPr>
    </w:p>
    <w:p>
      <w:pPr>
        <w:ind w:right="380" w:firstLine="445"/>
        <w:spacing w:after="0" w:line="262" w:lineRule="auto"/>
        <w:rPr>
          <w:sz w:val="20"/>
          <w:szCs w:val="20"/>
          <w:color w:val="auto"/>
        </w:rPr>
      </w:pPr>
      <w:r>
        <w:rPr>
          <w:rFonts w:ascii="Arial" w:cs="Arial" w:eastAsia="Arial" w:hAnsi="Arial"/>
          <w:sz w:val="18"/>
          <w:szCs w:val="18"/>
          <w:color w:val="auto"/>
        </w:rPr>
        <w:t>We may seek to enhance our liquidity to fund our current and future development activity, pursue additional attractive investment opportunities and refinance or repay indebtedness. Depending on interest rates, the overall conditions in the public and private debt and equity markets, and our leverage at the time, we may decide to access one or more of these capital sources. Doing so may result in us carrying additional cash and cash equivalents pending our use of the proceeds, which would increase our net interest expense.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sold any shares under BXP’s $600.0 million “at the market” equity offering program.</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REIT Tax Distribution Considerations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w:t>
      </w:r>
    </w:p>
    <w:p>
      <w:pPr>
        <w:spacing w:after="0" w:line="10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distribution per unit that is paid per share of BXP common stock.</w:t>
      </w:r>
    </w:p>
    <w:p>
      <w:pPr>
        <w:spacing w:after="0" w:line="125"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w:t>
      </w:r>
    </w:p>
    <w:p>
      <w:pPr>
        <w:spacing w:after="0" w:line="8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29"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02"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99" w:lineRule="exact"/>
        <w:rPr>
          <w:sz w:val="20"/>
          <w:szCs w:val="20"/>
          <w:color w:val="auto"/>
        </w:rPr>
      </w:pPr>
    </w:p>
    <w:p>
      <w:pPr>
        <w:ind w:right="220" w:firstLine="445"/>
        <w:spacing w:after="0" w:line="318" w:lineRule="auto"/>
        <w:rPr>
          <w:sz w:val="20"/>
          <w:szCs w:val="20"/>
          <w:color w:val="auto"/>
        </w:rPr>
      </w:pPr>
      <w:r>
        <w:rPr>
          <w:rFonts w:ascii="Arial" w:cs="Arial" w:eastAsia="Arial" w:hAnsi="Arial"/>
          <w:sz w:val="17"/>
          <w:szCs w:val="17"/>
          <w:color w:val="auto"/>
        </w:rPr>
        <w:t>Cash and cash equivalents and cash held in escrows aggregated approximately $766.6 million and $964.3 million at March 31, 2024 and 2023, respectively, representing a decrease of approximately $197.6 million. The following table sets forth changes in cash flows: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center"/>
              <w:ind w:left="714"/>
              <w:spacing w:after="0"/>
              <w:rPr>
                <w:sz w:val="20"/>
                <w:szCs w:val="20"/>
                <w:color w:val="auto"/>
              </w:rPr>
            </w:pPr>
            <w:r>
              <w:rPr>
                <w:rFonts w:ascii="Arial" w:cs="Arial" w:eastAsia="Arial" w:hAnsi="Arial"/>
                <w:sz w:val="16"/>
                <w:szCs w:val="16"/>
                <w:b w:val="1"/>
                <w:bCs w:val="1"/>
                <w:color w:val="auto"/>
              </w:rPr>
              <w:t>Three months ended March 31,</w:t>
            </w:r>
          </w:p>
        </w:tc>
        <w:tc>
          <w:tcPr>
            <w:tcW w:w="1140" w:type="dxa"/>
            <w:vAlign w:val="bottom"/>
            <w:tcBorders>
              <w:bottom w:val="single" w:sz="8" w:color="auto"/>
            </w:tcBorders>
          </w:tcPr>
          <w:p>
            <w:pPr>
              <w:spacing w:after="0"/>
              <w:rPr>
                <w:sz w:val="18"/>
                <w:szCs w:val="18"/>
                <w:color w:val="auto"/>
              </w:rPr>
            </w:pPr>
          </w:p>
        </w:tc>
      </w:tr>
      <w:tr>
        <w:trPr>
          <w:trHeight w:val="236"/>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Change</w:t>
            </w:r>
          </w:p>
        </w:tc>
      </w:tr>
      <w:tr>
        <w:trPr>
          <w:trHeight w:val="195"/>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rPr>
              <w:t>197,595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234,010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40" w:type="dxa"/>
            <w:vAlign w:val="bottom"/>
          </w:tcPr>
          <w:p>
            <w:pPr>
              <w:jc w:val="center"/>
              <w:ind w:left="234"/>
              <w:spacing w:after="0"/>
              <w:rPr>
                <w:sz w:val="20"/>
                <w:szCs w:val="20"/>
                <w:color w:val="auto"/>
              </w:rPr>
            </w:pPr>
            <w:r>
              <w:rPr>
                <w:rFonts w:ascii="Arial" w:cs="Arial" w:eastAsia="Arial" w:hAnsi="Arial"/>
                <w:sz w:val="18"/>
                <w:szCs w:val="18"/>
                <w:color w:val="auto"/>
                <w:w w:val="98"/>
              </w:rPr>
              <w:t>(286,619)</w:t>
            </w:r>
          </w:p>
        </w:tc>
        <w:tc>
          <w:tcPr>
            <w:tcW w:w="260" w:type="dxa"/>
            <w:vAlign w:val="bottom"/>
          </w:tcPr>
          <w:p>
            <w:pPr>
              <w:spacing w:after="0"/>
              <w:rPr>
                <w:sz w:val="19"/>
                <w:szCs w:val="19"/>
                <w:color w:val="auto"/>
              </w:rPr>
            </w:pPr>
          </w:p>
        </w:tc>
        <w:tc>
          <w:tcPr>
            <w:tcW w:w="1380" w:type="dxa"/>
            <w:vAlign w:val="bottom"/>
          </w:tcPr>
          <w:p>
            <w:pPr>
              <w:jc w:val="center"/>
              <w:ind w:left="395"/>
              <w:spacing w:after="0"/>
              <w:rPr>
                <w:sz w:val="20"/>
                <w:szCs w:val="20"/>
                <w:color w:val="auto"/>
              </w:rPr>
            </w:pPr>
            <w:r>
              <w:rPr>
                <w:rFonts w:ascii="Arial" w:cs="Arial" w:eastAsia="Arial" w:hAnsi="Arial"/>
                <w:sz w:val="18"/>
                <w:szCs w:val="18"/>
                <w:color w:val="auto"/>
              </w:rPr>
              <w:t>(285,592)</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8"/>
              </w:rPr>
              <w:t>(756,909)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279,052</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(1,035,961)</w:t>
            </w:r>
          </w:p>
        </w:tc>
      </w:tr>
    </w:tbl>
    <w:p>
      <w:pPr>
        <w:spacing w:after="0" w:line="319"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Our principal source of cash flow is related to the operation of our properties. The weighted-average term of our in-place leases, including leases signed by our unconsolidated joint ventures, excluding residential units, was approximately 7.6 years as of March 31, 2024, with occupancy rates historically in the range of 88% to 92%.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28"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three months ended March 31, 2024 and March 31, 2023 is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0"/>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(181,636)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(119,682)</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(32,087)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(39,100)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(67,175)</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Acquisition of real estate (net of cash received upon consolidation) (2)</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6,086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to unconsolidated joint ventures (3)</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(60,745)</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Investment in non-real estate investments</w:t>
            </w: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note receivables (including related party)</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securities, net</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r>
      <w:tr>
        <w:trPr>
          <w:trHeight w:val="23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(286,619)</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(285,592)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used in investing activities changed primarily due to the following:</w:t>
      </w:r>
    </w:p>
    <w:p>
      <w:pPr>
        <w:spacing w:after="0" w:line="171" w:lineRule="exact"/>
        <w:rPr>
          <w:sz w:val="20"/>
          <w:szCs w:val="20"/>
          <w:color w:val="auto"/>
        </w:rPr>
      </w:pPr>
    </w:p>
    <w:p>
      <w:pPr>
        <w:ind w:left="660" w:right="240" w:hanging="328"/>
        <w:spacing w:after="0" w:line="262"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Construction in progress for the three months ended March 31, 2024 included ongoing expenditures associated with 180 CityPoint and 103 CityPoint that were partially placed in-service during 2023. In addition, we incurred costs associated with our continued development/redevelopment of Reston Next Office Phase II, 760 Boylston Street, 290 Binney Street, 300 Binney Street and 121 Broadway.</w:t>
      </w:r>
    </w:p>
    <w:p>
      <w:pPr>
        <w:spacing w:after="0" w:line="122" w:lineRule="exact"/>
        <w:rPr>
          <w:rFonts w:ascii="Arial" w:cs="Arial" w:eastAsia="Arial" w:hAnsi="Arial"/>
          <w:sz w:val="18"/>
          <w:szCs w:val="18"/>
          <w:color w:val="auto"/>
        </w:rPr>
      </w:pPr>
    </w:p>
    <w:p>
      <w:pPr>
        <w:ind w:left="660" w:right="100"/>
        <w:spacing w:after="0" w:line="259" w:lineRule="auto"/>
        <w:rPr>
          <w:rFonts w:ascii="Arial" w:cs="Arial" w:eastAsia="Arial" w:hAnsi="Arial"/>
          <w:sz w:val="18"/>
          <w:szCs w:val="18"/>
          <w:color w:val="auto"/>
        </w:rPr>
      </w:pPr>
      <w:r>
        <w:rPr>
          <w:rFonts w:ascii="Arial" w:cs="Arial" w:eastAsia="Arial" w:hAnsi="Arial"/>
          <w:sz w:val="18"/>
          <w:szCs w:val="18"/>
          <w:color w:val="auto"/>
        </w:rPr>
        <w:t>Construction in progress for the three months ended March 31, 2023 included ongoing expenditures associated with 2100 Pennsylvania Avenue, which was partially placed in-service during the three months ended March 31, 2023. In addition, we incurred costs associated with our continued development/redevelopment of 180 CityPoint, View Boston observatory at The Prudential Center, 103 CityPoint, Reston Next Office Phase II, 140 Kendrick Street Building A, 760 Boylston Street, 105 Carnegie Center, 290 Binney Street and 300 Binney Street.</w:t>
      </w:r>
    </w:p>
    <w:p>
      <w:pPr>
        <w:spacing w:after="0" w:line="125" w:lineRule="exact"/>
        <w:rPr>
          <w:rFonts w:ascii="Arial" w:cs="Arial" w:eastAsia="Arial" w:hAnsi="Arial"/>
          <w:sz w:val="18"/>
          <w:szCs w:val="18"/>
          <w:color w:val="auto"/>
        </w:rPr>
      </w:pPr>
    </w:p>
    <w:p>
      <w:pPr>
        <w:ind w:left="660" w:right="40" w:hanging="328"/>
        <w:spacing w:after="0" w:line="268"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January 8, 2024, we completed the acquisition of our joint venture partner’s 50% economic ownership interest in the joint venture that owns 901 New York Avenue, located in Washington, DC, for a gross purchase price of $10.0 million and we acquired net working capital, including cash and cash equivalents of approximately $16.1 million.</w:t>
      </w:r>
    </w:p>
    <w:p>
      <w:pPr>
        <w:spacing w:after="0" w:line="116" w:lineRule="exact"/>
        <w:rPr>
          <w:rFonts w:ascii="Arial" w:cs="Arial" w:eastAsia="Arial" w:hAnsi="Arial"/>
          <w:sz w:val="18"/>
          <w:szCs w:val="18"/>
          <w:color w:val="auto"/>
        </w:rPr>
      </w:pPr>
    </w:p>
    <w:p>
      <w:pPr>
        <w:ind w:left="660" w:right="420" w:hanging="328"/>
        <w:spacing w:after="0" w:line="268"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three months ended March 31, 2024 consisted primarily of cash contributions of approximately $9.9 million, $6.7 million and $5.7 million to our Gateway Commons, 360 Park Avenue South and Platform 16 joint ventures,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300"/>
        <w:spacing w:after="0" w:line="262" w:lineRule="auto"/>
        <w:rPr>
          <w:sz w:val="20"/>
          <w:szCs w:val="20"/>
          <w:color w:val="auto"/>
        </w:rPr>
      </w:pPr>
      <w:r>
        <w:rPr>
          <w:rFonts w:ascii="Arial" w:cs="Arial" w:eastAsia="Arial" w:hAnsi="Arial"/>
          <w:sz w:val="18"/>
          <w:szCs w:val="18"/>
          <w:color w:val="auto"/>
        </w:rPr>
        <w:t>Capital contributions to unconsolidated joint ventures for the three months ended March 31, 2023 consisted primarily of cash contributions of approximately $17.3 million, $15.6 million, $11.6 million, $6.5 million and $4.0 million to our Worldgate Drive, Gateway Commons, Platform 16, Dock 72 and 751 Gateway joint ventures, respectively. On January 31, 2023, we entered into a new joint venture for 13100 and 13150 Worldgate Drive located in Herndon, Virginia.</w:t>
      </w:r>
    </w:p>
    <w:p>
      <w:pPr>
        <w:spacing w:after="0" w:line="217"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 xml:space="preserve">Cash used by financing activities for the three months ended March 31, 2024 totaled approximately $756.9 million. This amount consisted primarily of the repayment of BPLP’s $700 million in aggregate principal amount of its 3.800% unsecured senior notes due February 1, 2024 and payment of our regular dividends and distributions to our shareholders and unitholders and distributions to noncontrolling interests in property partnerships, partially offset by the approximately $97.2 million from the sale of a 45% interest in 290 Binney Street in Cambridge, Massachusetts. Future debt payments are discussed below under the heading </w:t>
      </w:r>
      <w:r>
        <w:rPr>
          <w:rFonts w:ascii="Arial" w:cs="Arial" w:eastAsia="Arial" w:hAnsi="Arial"/>
          <w:sz w:val="18"/>
          <w:szCs w:val="18"/>
          <w:i w:val="1"/>
          <w:iCs w:val="1"/>
          <w:color w:val="auto"/>
        </w:rPr>
        <w:t>“Debt Financing</w:t>
      </w:r>
      <w:r>
        <w:rPr>
          <w:rFonts w:ascii="Arial" w:cs="Arial" w:eastAsia="Arial" w:hAnsi="Arial"/>
          <w:sz w:val="18"/>
          <w:szCs w:val="18"/>
          <w:color w:val="auto"/>
        </w:rPr>
        <w: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102" w:lineRule="exact"/>
        <w:rPr>
          <w:sz w:val="20"/>
          <w:szCs w:val="20"/>
          <w:color w:val="auto"/>
        </w:rPr>
      </w:pPr>
    </w:p>
    <w:p>
      <w:pPr>
        <w:ind w:right="680" w:firstLine="445"/>
        <w:spacing w:after="0" w:line="268" w:lineRule="auto"/>
        <w:rPr>
          <w:sz w:val="20"/>
          <w:szCs w:val="20"/>
          <w:color w:val="auto"/>
        </w:rPr>
      </w:pPr>
      <w:r>
        <w:rPr>
          <w:rFonts w:ascii="Arial" w:cs="Arial" w:eastAsia="Arial" w:hAnsi="Arial"/>
          <w:sz w:val="18"/>
          <w:szCs w:val="18"/>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March 31, 2024</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16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 / Units</w:t>
            </w:r>
          </w:p>
        </w:tc>
        <w:tc>
          <w:tcPr>
            <w:tcW w:w="16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Common Stock</w:t>
            </w:r>
          </w:p>
        </w:tc>
        <w:tc>
          <w:tcPr>
            <w:tcW w:w="16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Equivalent Value (1)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Outstanding</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Equivalent</w:t>
            </w:r>
          </w:p>
        </w:tc>
        <w:tc>
          <w:tcPr>
            <w:tcW w:w="1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157,049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157,049</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10,256,870</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Common Operating Partnership Units</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19,159</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1,251,274</w:t>
            </w:r>
          </w:p>
        </w:tc>
        <w:tc>
          <w:tcPr>
            <w:tcW w:w="4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Equity</w:t>
            </w:r>
          </w:p>
        </w:tc>
        <w:tc>
          <w:tcPr>
            <w:tcW w:w="1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176,208</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11,508,144</w:t>
            </w: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Debt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15,362,324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Add: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unconsolidated joint venture debt (3)</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1,373,986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Subtract: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Partners’ share of Consolidated Debt (4)</w:t>
            </w: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1,360,873</w:t>
            </w: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BXP’s Share of Debt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15,375,437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Consolidated Market Capitalization</w:t>
            </w: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26,870,468</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26,883,581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color w:val="auto"/>
              </w:rPr>
              <w:t>Consolidated Debt/Consolidated Market Capitalization</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57.17 %</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Debt/BXP’s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57.19 %</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March 28, 2024 of $65.31.</w:t>
      </w:r>
    </w:p>
    <w:p>
      <w:pPr>
        <w:spacing w:after="0" w:line="5" w:lineRule="exact"/>
        <w:rPr>
          <w:rFonts w:ascii="Arial" w:cs="Arial" w:eastAsia="Arial" w:hAnsi="Arial"/>
          <w:sz w:val="16"/>
          <w:szCs w:val="16"/>
          <w:color w:val="auto"/>
        </w:rPr>
      </w:pPr>
    </w:p>
    <w:p>
      <w:pPr>
        <w:ind w:left="660" w:right="380" w:hanging="328"/>
        <w:spacing w:after="0" w:line="255"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2013 - 2021 MYLTIP Units) but excludes the 2022 - 2024 MYLTIP Units because the three-year performance periods had not ended as of March 31, 2024.</w:t>
      </w: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page 73 for additional information.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page 71 for additional information.</w:t>
      </w:r>
    </w:p>
    <w:p>
      <w:pPr>
        <w:spacing w:after="0" w:line="32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49" w:lineRule="exact"/>
        <w:rPr>
          <w:sz w:val="20"/>
          <w:szCs w:val="20"/>
          <w:color w:val="auto"/>
        </w:rPr>
      </w:pPr>
    </w:p>
    <w:p>
      <w:pPr>
        <w:ind w:left="1120" w:hanging="464"/>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consolidated debt; plus</w:t>
      </w:r>
    </w:p>
    <w:p>
      <w:pPr>
        <w:spacing w:after="0" w:line="184" w:lineRule="exact"/>
        <w:rPr>
          <w:rFonts w:ascii="Arial" w:cs="Arial" w:eastAsia="Arial" w:hAnsi="Arial"/>
          <w:sz w:val="18"/>
          <w:szCs w:val="18"/>
          <w:color w:val="auto"/>
        </w:rPr>
      </w:pPr>
    </w:p>
    <w:p>
      <w:pPr>
        <w:ind w:right="320" w:firstLine="656"/>
        <w:spacing w:after="0" w:line="287" w:lineRule="auto"/>
        <w:tabs>
          <w:tab w:leader="none" w:pos="11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product of (x) the closing price per share of BXP common stock on March 28, 2024, as reported by the New York Stock Exchange, multiplied by (y) the sum of:</w:t>
      </w:r>
    </w:p>
    <w:p>
      <w:pPr>
        <w:spacing w:after="0" w:line="112" w:lineRule="exact"/>
        <w:rPr>
          <w:rFonts w:ascii="Arial" w:cs="Arial" w:eastAsia="Arial" w:hAnsi="Arial"/>
          <w:sz w:val="18"/>
          <w:szCs w:val="18"/>
          <w:color w:val="auto"/>
        </w:rPr>
      </w:pPr>
    </w:p>
    <w:p>
      <w:pPr>
        <w:ind w:left="1720" w:hanging="416"/>
        <w:spacing w:after="0"/>
        <w:tabs>
          <w:tab w:leader="none" w:pos="1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number of outstanding shares of common stock of BXP,</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760" w:hanging="456"/>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outstanding OP Units in BPLP (excluding OP Units held by BXP),</w:t>
      </w:r>
    </w:p>
    <w:p>
      <w:pPr>
        <w:spacing w:after="0" w:line="184" w:lineRule="exact"/>
        <w:rPr>
          <w:rFonts w:ascii="Arial" w:cs="Arial" w:eastAsia="Arial" w:hAnsi="Arial"/>
          <w:sz w:val="18"/>
          <w:szCs w:val="18"/>
          <w:color w:val="auto"/>
        </w:rPr>
      </w:pPr>
    </w:p>
    <w:p>
      <w:pPr>
        <w:ind w:left="1960" w:right="320" w:hanging="656"/>
        <w:spacing w:after="0" w:line="287" w:lineRule="auto"/>
        <w:tabs>
          <w:tab w:leader="none" w:pos="18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all outstanding LTIP Units, assuming all conditions have been met for the conversion of the LTIP Units, and</w:t>
      </w:r>
    </w:p>
    <w:p>
      <w:pPr>
        <w:spacing w:after="0" w:line="125" w:lineRule="exact"/>
        <w:rPr>
          <w:rFonts w:ascii="Arial" w:cs="Arial" w:eastAsia="Arial" w:hAnsi="Arial"/>
          <w:sz w:val="18"/>
          <w:szCs w:val="18"/>
          <w:color w:val="auto"/>
        </w:rPr>
      </w:pPr>
    </w:p>
    <w:p>
      <w:pPr>
        <w:ind w:left="1960" w:hanging="656"/>
        <w:spacing w:after="0" w:line="287" w:lineRule="auto"/>
        <w:tabs>
          <w:tab w:leader="none" w:pos="18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2012 OPP Units, and 2013 - 2021 MYLTIP Units that were issued in the form of LTIP Units.</w:t>
      </w:r>
    </w:p>
    <w:p>
      <w:pPr>
        <w:spacing w:after="0" w:line="112"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2022 - 2024 MYLTIP Units are not included in this calculation as of March 31, 2024.</w:t>
      </w:r>
    </w:p>
    <w:p>
      <w:pPr>
        <w:spacing w:after="0" w:line="13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3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For a discussion of our unconsolidated joint venture indebtedness, see “</w:t>
      </w:r>
      <w:r>
        <w:rPr>
          <w:rFonts w:ascii="Arial" w:cs="Arial" w:eastAsia="Arial" w:hAnsi="Arial"/>
          <w:sz w:val="18"/>
          <w:szCs w:val="18"/>
          <w:i w:val="1"/>
          <w:iCs w:val="1"/>
          <w:color w:val="auto"/>
        </w:rPr>
        <w:t>Liquidity and Capital Resources—Investment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Joint Ventures - Secured Debt” w</w:t>
      </w:r>
      <w:r>
        <w:rPr>
          <w:rFonts w:ascii="Arial" w:cs="Arial" w:eastAsia="Arial" w:hAnsi="Arial"/>
          <w:sz w:val="18"/>
          <w:szCs w:val="18"/>
          <w:color w:val="auto"/>
        </w:rPr>
        <w:t>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for a discussion of our consolidated joint venture indebtedness see </w:t>
      </w:r>
      <w:r>
        <w:rPr>
          <w:rFonts w:ascii="Arial" w:cs="Arial" w:eastAsia="Arial" w:hAnsi="Arial"/>
          <w:sz w:val="18"/>
          <w:szCs w:val="18"/>
          <w:i w:val="1"/>
          <w:iCs w:val="1"/>
          <w:color w:val="auto"/>
        </w:rPr>
        <w:t>“Liquidity and Capital Resources—Mortgage Notes Payable</w:t>
      </w:r>
      <w:r>
        <w:rPr>
          <w:rFonts w:ascii="Arial" w:cs="Arial" w:eastAsia="Arial" w:hAnsi="Arial"/>
          <w:sz w:val="18"/>
          <w:szCs w:val="18"/>
          <w:color w:val="auto"/>
        </w:rPr>
        <w:t>” 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Financing</w:t>
      </w:r>
    </w:p>
    <w:p>
      <w:pPr>
        <w:spacing w:after="0" w:line="88"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As of March 31, 2024, we had approximately $15.4 billion of outstanding consolidated indebtedness, representing approximately 57.17% of our Consolidated Market Capitalization as calculated above consisting of approximately (1) $9.8 billion (net of discount and deferred financing fees) in publicly traded unsecured senior notes having a GAAP weighted-average interest rate of 3.91% per annum and maturities in 2025 through 2034, (2) $4.4 billion (net of deferred financing fees and fair value interest adjustments) of property-specific mortgage debt having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 GAAP weighted-average interest rate of 4.22% per annum and a weighted-average term of 4.2 years and (3) $1.2 billion outstanding under BPLP’s 2023 Unsecured Term Loan that matures on May 16, 2024 (See Note 14 to the Consolidated Financial Statements).</w:t>
      </w:r>
    </w:p>
    <w:p>
      <w:pPr>
        <w:spacing w:after="0" w:line="99"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color w:val="auto"/>
        </w:rPr>
        <w:t>The table below summarizes the aggregate carrying value of our outstanding indebtedness, as well as Consolidated Debt Financing Statistics at March 31, 2024 and March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(dollars in thousands)</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Balance</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notes payable,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4,368,367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3,273,553</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Unsecured senior notes, net</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9,794,527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10,240,967</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 line of credit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Unsecured term loan, net</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1,199,430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1,194,916</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Debt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15,362,324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14,709,436</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BXP’s share of unconsolidated joint venture debt, net (1)</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1,373,986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1,604,852</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Subtract: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 share of consolidated mortgage notes payable, net (2)</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1,360,873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1,358,881</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BXP’s Share of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15,375,437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14,955,407</w:t>
            </w: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60" w:type="dxa"/>
            <w:vAlign w:val="bottom"/>
          </w:tcPr>
          <w:p>
            <w:pPr>
              <w:spacing w:after="0"/>
              <w:rPr>
                <w:sz w:val="20"/>
                <w:szCs w:val="20"/>
                <w:color w:val="auto"/>
              </w:rPr>
            </w:pPr>
          </w:p>
        </w:tc>
        <w:tc>
          <w:tcPr>
            <w:tcW w:w="230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Debt Financing Statistics: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Percent of total debt:</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 (3)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91.88 %</w:t>
            </w:r>
          </w:p>
        </w:tc>
        <w:tc>
          <w:tcPr>
            <w:tcW w:w="0" w:type="dxa"/>
            <w:vAlign w:val="bottom"/>
          </w:tcPr>
          <w:p>
            <w:pPr>
              <w:spacing w:after="0"/>
              <w:rPr>
                <w:sz w:val="1"/>
                <w:szCs w:val="1"/>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Variable rate</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8.12 %</w:t>
            </w:r>
          </w:p>
        </w:tc>
        <w:tc>
          <w:tcPr>
            <w:tcW w:w="0" w:type="dxa"/>
            <w:vAlign w:val="bottom"/>
          </w:tcPr>
          <w:p>
            <w:pPr>
              <w:spacing w:after="0"/>
              <w:rPr>
                <w:sz w:val="1"/>
                <w:szCs w:val="1"/>
                <w:color w:val="auto"/>
              </w:rPr>
            </w:pPr>
          </w:p>
        </w:tc>
      </w:tr>
      <w:tr>
        <w:trPr>
          <w:trHeight w:val="248"/>
        </w:trPr>
        <w:tc>
          <w:tcPr>
            <w:tcW w:w="7760" w:type="dxa"/>
            <w:vAlign w:val="bottom"/>
            <w:tcBorders>
              <w:top w:val="single" w:sz="8" w:color="CCEEFF"/>
              <w:bottom w:val="single" w:sz="8" w:color="CCEEFF"/>
            </w:tcBorders>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Weighted-average interest rate at end of period:</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6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8"/>
              </w:rPr>
              <w:t>Fixed rate (3)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30"/>
        </w:trPr>
        <w:tc>
          <w:tcPr>
            <w:tcW w:w="7760" w:type="dxa"/>
            <w:vAlign w:val="bottom"/>
          </w:tcPr>
          <w:p>
            <w:pPr>
              <w:jc w:val="center"/>
              <w:ind w:right="5950"/>
              <w:spacing w:after="0"/>
              <w:rPr>
                <w:sz w:val="20"/>
                <w:szCs w:val="20"/>
                <w:color w:val="auto"/>
              </w:rPr>
            </w:pPr>
            <w:r>
              <w:rPr>
                <w:rFonts w:ascii="Arial" w:cs="Arial" w:eastAsia="Arial" w:hAnsi="Arial"/>
                <w:sz w:val="18"/>
                <w:szCs w:val="18"/>
                <w:color w:val="auto"/>
                <w:w w:val="97"/>
              </w:rPr>
              <w:t>Variable rate</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23"/>
        </w:trPr>
        <w:tc>
          <w:tcPr>
            <w:tcW w:w="7760" w:type="dxa"/>
            <w:vAlign w:val="bottom"/>
            <w:tcBorders>
              <w:top w:val="single" w:sz="8" w:color="CCEEFF"/>
            </w:tcBorders>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Coupon/Stated Weighted-average interest rate at end of period: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8"/>
              </w:rPr>
              <w:t>Fixed rate (3)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30"/>
        </w:trPr>
        <w:tc>
          <w:tcPr>
            <w:tcW w:w="7760" w:type="dxa"/>
            <w:vAlign w:val="bottom"/>
          </w:tcPr>
          <w:p>
            <w:pPr>
              <w:jc w:val="center"/>
              <w:ind w:right="5950"/>
              <w:spacing w:after="0"/>
              <w:rPr>
                <w:sz w:val="20"/>
                <w:szCs w:val="20"/>
                <w:color w:val="auto"/>
              </w:rPr>
            </w:pPr>
            <w:r>
              <w:rPr>
                <w:rFonts w:ascii="Arial" w:cs="Arial" w:eastAsia="Arial" w:hAnsi="Arial"/>
                <w:sz w:val="18"/>
                <w:szCs w:val="18"/>
                <w:color w:val="auto"/>
                <w:w w:val="97"/>
              </w:rPr>
              <w:t>Variable rate</w:t>
            </w:r>
          </w:p>
        </w:tc>
        <w:tc>
          <w:tcPr>
            <w:tcW w:w="2300" w:type="dxa"/>
            <w:vAlign w:val="bottom"/>
            <w:gridSpan w:val="3"/>
          </w:tcPr>
          <w:p>
            <w:pPr>
              <w:jc w:val="right"/>
              <w:ind w:right="64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5.49 %</w:t>
            </w:r>
          </w:p>
        </w:tc>
        <w:tc>
          <w:tcPr>
            <w:tcW w:w="0" w:type="dxa"/>
            <w:vAlign w:val="bottom"/>
          </w:tcPr>
          <w:p>
            <w:pPr>
              <w:spacing w:after="0"/>
              <w:rPr>
                <w:sz w:val="1"/>
                <w:szCs w:val="1"/>
                <w:color w:val="auto"/>
              </w:rPr>
            </w:pPr>
          </w:p>
        </w:tc>
      </w:tr>
      <w:tr>
        <w:trPr>
          <w:trHeight w:val="223"/>
        </w:trPr>
        <w:tc>
          <w:tcPr>
            <w:tcW w:w="7760" w:type="dxa"/>
            <w:vAlign w:val="bottom"/>
            <w:tcBorders>
              <w:top w:val="single" w:sz="8" w:color="CCEEFF"/>
            </w:tcBorders>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maturity at end of period (in years):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8"/>
              </w:rPr>
              <w:t>Fixed rate (3)</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760" w:type="dxa"/>
            <w:vAlign w:val="bottom"/>
          </w:tcPr>
          <w:p>
            <w:pPr>
              <w:jc w:val="center"/>
              <w:ind w:right="5950"/>
              <w:spacing w:after="0"/>
              <w:rPr>
                <w:sz w:val="20"/>
                <w:szCs w:val="20"/>
                <w:color w:val="auto"/>
              </w:rPr>
            </w:pPr>
            <w:r>
              <w:rPr>
                <w:rFonts w:ascii="Arial" w:cs="Arial" w:eastAsia="Arial" w:hAnsi="Arial"/>
                <w:sz w:val="18"/>
                <w:szCs w:val="18"/>
                <w:color w:val="auto"/>
                <w:w w:val="97"/>
              </w:rPr>
              <w:t>Variable rate</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760" w:type="dxa"/>
            <w:vAlign w:val="bottom"/>
            <w:tcBorders>
              <w:top w:val="single" w:sz="8" w:color="CCEEFF"/>
            </w:tcBorders>
            <w:shd w:val="clear" w:color="auto" w:fill="CCEEFF"/>
          </w:tcPr>
          <w:p>
            <w:pPr>
              <w:jc w:val="center"/>
              <w:ind w:right="5930"/>
              <w:spacing w:after="0"/>
              <w:rPr>
                <w:sz w:val="20"/>
                <w:szCs w:val="20"/>
                <w:color w:val="auto"/>
              </w:rPr>
            </w:pPr>
            <w:r>
              <w:rPr>
                <w:rFonts w:ascii="Arial" w:cs="Arial" w:eastAsia="Arial" w:hAnsi="Arial"/>
                <w:sz w:val="18"/>
                <w:szCs w:val="18"/>
                <w:color w:val="auto"/>
                <w:w w:val="94"/>
              </w:rPr>
              <w:t>Total</w:t>
            </w:r>
          </w:p>
        </w:tc>
        <w:tc>
          <w:tcPr>
            <w:tcW w:w="16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See page 73 for additional information.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See page 71 for additional information.</w:t>
      </w:r>
    </w:p>
    <w:p>
      <w:pPr>
        <w:spacing w:after="0" w:line="5" w:lineRule="exact"/>
        <w:rPr>
          <w:rFonts w:ascii="Arial" w:cs="Arial" w:eastAsia="Arial" w:hAnsi="Arial"/>
          <w:sz w:val="16"/>
          <w:szCs w:val="16"/>
          <w:color w:val="auto"/>
        </w:rPr>
      </w:pPr>
    </w:p>
    <w:p>
      <w:pPr>
        <w:ind w:left="660" w:right="340" w:hanging="328"/>
        <w:spacing w:after="0" w:line="264"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At March 31, 2024, the $1.2 billion 2023 Unsecured Term Loan and two of our mortgage loans aggregating approximately $900.0 million bore interest at variable rates. We entered into interest rate swap contracts that effectively fixed the variability of these loans for all or a portion of the applicable debt term and as such, they are reflected in our Fixed rate statistics.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8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2021 Credit Facility provides for borrowings of up to $2.0 billion, as described below, subject to customary conditions. The 2021 Credit Facility matures on June 15, 2026 and includes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(the “Accordion”). On September 28, 2023, BPLP exercised a portion of the Accordion which increased the maximum borrowing amount under the 2021 Credit Facility from $ 1.5 billion to $1.815 billion. On April 29, 2024, BPLP exercised the remainder of the Accordian and increased the maximum borrowing amount under the 2021 Credit Facility from $1.815 billion to $2.0 billion. All other terms of the 2021 Credit Facility remain unchanged.</w:t>
      </w:r>
    </w:p>
    <w:p>
      <w:pPr>
        <w:spacing w:after="0" w:line="129" w:lineRule="exact"/>
        <w:rPr>
          <w:sz w:val="20"/>
          <w:szCs w:val="20"/>
          <w:color w:val="auto"/>
        </w:rPr>
      </w:pPr>
    </w:p>
    <w:p>
      <w:pPr>
        <w:ind w:right="2120" w:firstLine="445"/>
        <w:spacing w:after="0" w:line="253" w:lineRule="auto"/>
        <w:rPr>
          <w:sz w:val="20"/>
          <w:szCs w:val="20"/>
          <w:color w:val="auto"/>
        </w:rPr>
      </w:pPr>
      <w:r>
        <w:rPr>
          <w:rFonts w:ascii="Arial" w:cs="Arial" w:eastAsia="Arial" w:hAnsi="Arial"/>
          <w:sz w:val="18"/>
          <w:szCs w:val="18"/>
          <w:color w:val="auto"/>
        </w:rPr>
        <w:t>At BPLP’s option, loans under the 2021 Credit Facility will bear interest at a rate per annum equal to (1) (a) in the case of loans denominated in Dollars, Term SOFR and SOFR, (b) in the case of loans denominated in Euro, EURIBOR, (c) in the case of loans denominated in Canadian Dollars, CDOR, and (d) in the case of loans denominated in Sterling, SONIA, in each case, plus a margin ranging from 70.0 to 140.0 basis points based on BPLP’s credit rating or (2) an alternate base rate equal to the greatest of (a) the Federal Funds rate plus 0.5%, (b) the administrative agent’s prime rate, (c) Term SOFR plus 1.00%, and (d) 1.00%, in each case, plus a margin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ranging from 0 to 40 basis points based on BPLP’s credit rating. In addition, there is a SOFR credit spread adjustment of 0.10%.</w:t>
      </w:r>
    </w:p>
    <w:p>
      <w:pPr>
        <w:spacing w:after="0" w:line="153"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Based on BPLP’s March 31, 2024 credit rating, (1) the applicable Daily SOFR, Term SOFR, alternative currency daily rate, and alternative currency term rate margins are 0.850%, (2) the alternate base rate margin is zero basis points and (3) the facility fee is 0.20% per annum.</w:t>
      </w:r>
    </w:p>
    <w:p>
      <w:pPr>
        <w:spacing w:after="0" w:line="117"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At March 31, 2024, BPLP had no borrowings under its 2021 Credit Facility and outstanding letters of credit totaling approximately $6.7 million, with the ability to borrow approximately $1.8 billion. At May 2, 2024, BPLP had no borrowings under its 2021 Credit Facility and outstanding letters of credit totaling approximately $ 6.6 million, with the ability to borrow approximately $2.0 billion, of which $500.0 million is being used as a backstop for the commercial paper program.</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Term Loan</w:t>
      </w:r>
    </w:p>
    <w:p>
      <w:pPr>
        <w:spacing w:after="0" w:line="10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2023 Unsecured Term Loan provided for a single borrowing of up to $1.2 billion. Upon entry into the credit agreement in January 2023, BPLP exercised its option to draw $1.2 billion under the 2023 Unsecured Term Loan, a portion of which was used to repay in full BPLP’s $730.0 million unsecured term loan (the “2022 Unsecured Term Loan”), which was scheduled to mature on May 16, 2023. Under the credit agreement governing the 2023 Unsecured Term Loan,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w:t>
      </w:r>
    </w:p>
    <w:p>
      <w:pPr>
        <w:spacing w:after="0" w:line="129"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On April 16, 2024, BPLP provided notice to exercise its one-year extension option on the 2023 Unsecured Term Loan. BPLP anticipates effectuating the extension on or prior to the current May 16, 2024 maturity date. Upon effectiveness, the 2023 Unsecured Term Loan will mature on May 16, 2025.</w:t>
      </w:r>
    </w:p>
    <w:p>
      <w:pPr>
        <w:spacing w:after="0" w:line="117" w:lineRule="exact"/>
        <w:rPr>
          <w:sz w:val="20"/>
          <w:szCs w:val="20"/>
          <w:color w:val="auto"/>
        </w:rPr>
      </w:pPr>
    </w:p>
    <w:p>
      <w:pPr>
        <w:ind w:right="260" w:firstLine="445"/>
        <w:spacing w:after="0" w:line="262" w:lineRule="auto"/>
        <w:rPr>
          <w:sz w:val="20"/>
          <w:szCs w:val="20"/>
          <w:color w:val="auto"/>
        </w:rPr>
      </w:pPr>
      <w:r>
        <w:rPr>
          <w:rFonts w:ascii="Arial" w:cs="Arial" w:eastAsia="Arial" w:hAnsi="Arial"/>
          <w:sz w:val="18"/>
          <w:szCs w:val="18"/>
          <w:color w:val="auto"/>
        </w:rPr>
        <w:t>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w:t>
      </w:r>
    </w:p>
    <w:p>
      <w:pPr>
        <w:spacing w:after="0" w:line="122"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On May 2, 2023, BPLP executed interest rate swaps in notional amounts aggregating $1.2 billion. These interest rate swaps were entered into to fix Term SOFR, at a weighted-average rate of 4.6420% for the period commencing on May 4, 2023 and ending on May 16, 2024 (See Note 7 to the Consolidated Financial Statements).</w:t>
      </w:r>
    </w:p>
    <w:p>
      <w:pPr>
        <w:spacing w:after="0" w:line="117"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Based on BPLP’s March 31, 2024 credit rating, the 2023 Unsecured Term Loan bears interest at a rate equal to adjusted Term SOFR plus 0.95% per annum. At March 31, 2024, BPLP had $1.2 billion outstanding under the 2023 Unsecured Term Loan. After making an approximately $500.0 million optional repayment on April 29, 2024, the 2023 Unsecured Term Loan has an outstanding principal balance of $700.0 million as of May 2, 2024.</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88"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For a description of BPLP’s outstanding unsecured senior notes as of March 31, 2024, see Note 6 to the Consolidated Financial Statements.</w:t>
      </w:r>
    </w:p>
    <w:p>
      <w:pPr>
        <w:spacing w:after="0" w:line="9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February 1, 2024, BPLP repaid $700.0 million in aggregate principal amount of its 3.800% senior notes due February 1, 2024. The repayment was completed with available cash and the $600.0 million proceeds from the mortgage loan entered into on October 26, 2023. The repayment price was approximately $713.3 million, which was equal to the stated principal plus approximately $13.3 million of accrued and unpaid interest to, but not including, the repayment date. Excluding the accrued and unpaid interest, the repayment price was equal to the principal amount being repaid.</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10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 million with varying maturities of up to one year. The notes will be sold in private placements and will rank pari passu with all of BPLP’s other unsecured senior indebtedness, including its outstanding senior notes. The commercial paper program is backstopped by available capacity under BPLP's 2021 Credit Facility. As of May 2, 2024, BPLP had $500.0 million outstanding under its commercial paper program that bears interest at a weighted-average rate of 5.58% per annum. Proceeds from the commercial paper program were used to reduce BPLP’s 2023 Unsecured Term Loan to $700.0 million.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Mortgage Notes Payable</w:t>
      </w:r>
    </w:p>
    <w:p>
      <w:pPr>
        <w:spacing w:after="0" w:line="10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January 8, 2024, we completed the acquisition of our joint venture partner’s 50% economic ownership interest in the joint venture that owns 901 New York Avenue located in Washington, DC (See Note 3 to the Consolidated Financial Statements). The property is subject to existing mortgage indebtedness. At acquisition, the mortgage loan had an outstanding balance of approximately $207.1 million, bore interest at 3.61% per annum and was scheduled to mature on January 5, 2025. The mortgage loan was recorded at fair value of approximately $ 198.7 million. On January 11, 2024, we modified the mortgage loan to provide for two extension options totaling five years of additional term, each subject to certain conditions.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outstanding mortgage notes payable, net at March 31,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97"/>
              </w:rPr>
              <w:t>Carrying</w:t>
            </w: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95"/>
              </w:rPr>
              <w:t>GAAP</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Adjustment and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3"/>
                <w:szCs w:val="13"/>
                <w:b w:val="1"/>
                <w:bCs w:val="1"/>
                <w:color w:val="auto"/>
              </w:rPr>
              <w:t>Stated</w:t>
            </w:r>
          </w:p>
        </w:tc>
        <w:tc>
          <w:tcPr>
            <w:tcW w:w="1060" w:type="dxa"/>
            <w:vAlign w:val="bottom"/>
            <w:vMerge w:val="continue"/>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Stated Principal</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Deferred</w:t>
            </w:r>
          </w:p>
        </w:tc>
        <w:tc>
          <w:tcPr>
            <w:tcW w:w="18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86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97"/>
              </w:rPr>
              <w:t>Amount</w:t>
            </w: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Properties</w:t>
            </w:r>
          </w:p>
        </w:tc>
        <w:tc>
          <w:tcPr>
            <w:tcW w:w="1020" w:type="dxa"/>
            <w:vAlign w:val="bottom"/>
            <w:vMerge w:val="continue"/>
          </w:tcPr>
          <w:p>
            <w:pPr>
              <w:spacing w:after="0"/>
              <w:rPr>
                <w:sz w:val="10"/>
                <w:szCs w:val="10"/>
                <w:color w:val="auto"/>
              </w:rPr>
            </w:pPr>
          </w:p>
        </w:tc>
        <w:tc>
          <w:tcPr>
            <w:tcW w:w="1060" w:type="dxa"/>
            <w:vAlign w:val="bottom"/>
          </w:tcPr>
          <w:p>
            <w:pPr>
              <w:jc w:val="center"/>
              <w:ind w:right="31"/>
              <w:spacing w:after="0" w:line="122" w:lineRule="exact"/>
              <w:rPr>
                <w:sz w:val="20"/>
                <w:szCs w:val="20"/>
                <w:color w:val="auto"/>
              </w:rPr>
            </w:pPr>
            <w:r>
              <w:rPr>
                <w:rFonts w:ascii="Arial" w:cs="Arial" w:eastAsia="Arial" w:hAnsi="Arial"/>
                <w:sz w:val="13"/>
                <w:szCs w:val="13"/>
                <w:b w:val="1"/>
                <w:bCs w:val="1"/>
                <w:color w:val="auto"/>
                <w:w w:val="96"/>
              </w:rPr>
              <w:t>Interest Rate</w:t>
            </w: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96"/>
              </w:rPr>
              <w:t>(Partners</w:t>
            </w:r>
            <w:r>
              <w:rPr>
                <w:rFonts w:ascii="Arial" w:cs="Arial" w:eastAsia="Arial" w:hAnsi="Arial"/>
                <w:sz w:val="13"/>
                <w:szCs w:val="13"/>
                <w:color w:val="auto"/>
                <w:w w:val="96"/>
              </w:rPr>
              <w:t>’</w:t>
            </w:r>
          </w:p>
        </w:tc>
        <w:tc>
          <w:tcPr>
            <w:tcW w:w="660" w:type="dxa"/>
            <w:vAlign w:val="bottom"/>
          </w:tcPr>
          <w:p>
            <w:pPr>
              <w:spacing w:after="0"/>
              <w:rPr>
                <w:sz w:val="10"/>
                <w:szCs w:val="10"/>
                <w:color w:val="auto"/>
              </w:rPr>
            </w:pPr>
          </w:p>
        </w:tc>
        <w:tc>
          <w:tcPr>
            <w:tcW w:w="15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3"/>
                <w:szCs w:val="13"/>
                <w:b w:val="1"/>
                <w:bCs w:val="1"/>
                <w:color w:val="auto"/>
              </w:rPr>
              <w:t>Interest Rate</w:t>
            </w:r>
          </w:p>
        </w:tc>
        <w:tc>
          <w:tcPr>
            <w:tcW w:w="1060" w:type="dxa"/>
            <w:vAlign w:val="bottom"/>
          </w:tcPr>
          <w:p>
            <w:pPr>
              <w:jc w:val="center"/>
              <w:ind w:right="31"/>
              <w:spacing w:after="0"/>
              <w:rPr>
                <w:sz w:val="20"/>
                <w:szCs w:val="20"/>
                <w:color w:val="auto"/>
              </w:rPr>
            </w:pPr>
            <w:r>
              <w:rPr>
                <w:rFonts w:ascii="Arial" w:cs="Arial" w:eastAsia="Arial" w:hAnsi="Arial"/>
                <w:sz w:val="13"/>
                <w:szCs w:val="13"/>
                <w:b w:val="1"/>
                <w:bCs w:val="1"/>
                <w:color w:val="auto"/>
              </w:rPr>
              <w:t>(1)</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Costs, Net</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6"/>
                <w:szCs w:val="16"/>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b w:val="1"/>
                <w:bCs w:val="1"/>
                <w:color w:val="auto"/>
                <w:w w:val="93"/>
              </w:rPr>
              <w:t>Share)</w:t>
            </w:r>
          </w:p>
        </w:tc>
        <w:tc>
          <w:tcPr>
            <w:tcW w:w="6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Wholly-owned</w:t>
            </w:r>
          </w:p>
        </w:tc>
        <w:tc>
          <w:tcPr>
            <w:tcW w:w="1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901 New York Avenue</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3.61 %</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7.69 %</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206,289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(6,530)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199,759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660" w:type="dxa"/>
            <w:vAlign w:val="bottom"/>
          </w:tcPr>
          <w:p>
            <w:pPr>
              <w:ind w:left="160"/>
              <w:spacing w:after="0"/>
              <w:rPr>
                <w:sz w:val="20"/>
                <w:szCs w:val="20"/>
                <w:color w:val="auto"/>
              </w:rPr>
            </w:pPr>
            <w:r>
              <w:rPr>
                <w:rFonts w:ascii="Arial" w:cs="Arial" w:eastAsia="Arial" w:hAnsi="Arial"/>
                <w:sz w:val="14"/>
                <w:szCs w:val="14"/>
                <w:color w:val="auto"/>
              </w:rPr>
              <w:t>(2)</w:t>
            </w:r>
          </w:p>
        </w:tc>
        <w:tc>
          <w:tcPr>
            <w:tcW w:w="1560" w:type="dxa"/>
            <w:vAlign w:val="bottom"/>
          </w:tcPr>
          <w:p>
            <w:pPr>
              <w:ind w:left="16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Santa Monica Business Park</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4.06 %</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6.53 %</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(3)(4)</w:t>
            </w:r>
          </w:p>
        </w:tc>
        <w:tc>
          <w:tcPr>
            <w:tcW w:w="1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90 Broadway, 325 Main Street, 355</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40" w:type="dxa"/>
            <w:vAlign w:val="bottom"/>
            <w:gridSpan w:val="4"/>
          </w:tcPr>
          <w:p>
            <w:pPr>
              <w:ind w:left="160"/>
              <w:spacing w:after="0" w:line="139" w:lineRule="exact"/>
              <w:rPr>
                <w:sz w:val="20"/>
                <w:szCs w:val="20"/>
                <w:color w:val="auto"/>
              </w:rPr>
            </w:pPr>
            <w:r>
              <w:rPr>
                <w:rFonts w:ascii="Arial" w:cs="Arial" w:eastAsia="Arial" w:hAnsi="Arial"/>
                <w:sz w:val="14"/>
                <w:szCs w:val="14"/>
                <w:color w:val="auto"/>
              </w:rPr>
              <w:t>Main Street, and Cambridge East</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Garage (also known as Kendall</w:t>
            </w:r>
          </w:p>
        </w:tc>
        <w:tc>
          <w:tcPr>
            <w:tcW w:w="1020" w:type="dxa"/>
            <w:vAlign w:val="bottom"/>
            <w:vMerge w:val="restart"/>
          </w:tcPr>
          <w:p>
            <w:pPr>
              <w:jc w:val="right"/>
              <w:ind w:right="31"/>
              <w:spacing w:after="0"/>
              <w:rPr>
                <w:sz w:val="20"/>
                <w:szCs w:val="20"/>
                <w:color w:val="auto"/>
              </w:rPr>
            </w:pPr>
            <w:r>
              <w:rPr>
                <w:rFonts w:ascii="Arial" w:cs="Arial" w:eastAsia="Arial" w:hAnsi="Arial"/>
                <w:sz w:val="14"/>
                <w:szCs w:val="14"/>
                <w:color w:val="auto"/>
              </w:rPr>
              <w:t>6.04 %</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6.26 %</w:t>
            </w:r>
          </w:p>
        </w:tc>
        <w:tc>
          <w:tcPr>
            <w:tcW w:w="18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593,861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(3)(5)</w:t>
            </w:r>
          </w:p>
        </w:tc>
        <w:tc>
          <w:tcPr>
            <w:tcW w:w="1560" w:type="dxa"/>
            <w:vAlign w:val="bottom"/>
            <w:vMerge w:val="restart"/>
          </w:tcPr>
          <w:p>
            <w:pPr>
              <w:ind w:left="160"/>
              <w:spacing w:after="0"/>
              <w:rPr>
                <w:sz w:val="20"/>
                <w:szCs w:val="20"/>
                <w:color w:val="auto"/>
              </w:rPr>
            </w:pPr>
            <w:r>
              <w:rPr>
                <w:rFonts w:ascii="Arial" w:cs="Arial" w:eastAsia="Arial" w:hAnsi="Arial"/>
                <w:sz w:val="14"/>
                <w:szCs w:val="14"/>
                <w:color w:val="auto"/>
              </w:rPr>
              <w:t>October 26, 2028</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gridSpan w:val="4"/>
          </w:tcPr>
          <w:p>
            <w:pPr>
              <w:ind w:left="160"/>
              <w:spacing w:after="0"/>
              <w:rPr>
                <w:sz w:val="20"/>
                <w:szCs w:val="20"/>
                <w:color w:val="auto"/>
              </w:rPr>
            </w:pPr>
            <w:r>
              <w:rPr>
                <w:rFonts w:ascii="Arial" w:cs="Arial" w:eastAsia="Arial" w:hAnsi="Arial"/>
                <w:sz w:val="14"/>
                <w:szCs w:val="14"/>
                <w:color w:val="auto"/>
              </w:rPr>
              <w:t>Center Green Garage)</w:t>
            </w:r>
          </w:p>
        </w:tc>
        <w:tc>
          <w:tcPr>
            <w:tcW w:w="1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Subtotal</w:t>
            </w: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1,106,289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1,089,971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Consolidated Joint Ventures</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767 Fifth Avenue (the General</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3.43 %</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3.64 %</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2,288,878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915,590</w:t>
            </w:r>
          </w:p>
        </w:tc>
        <w:tc>
          <w:tcPr>
            <w:tcW w:w="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(3)(6)</w:t>
            </w:r>
          </w:p>
        </w:tc>
        <w:tc>
          <w:tcPr>
            <w:tcW w:w="15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4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Motors Building)</w:t>
            </w:r>
          </w:p>
        </w:tc>
        <w:tc>
          <w:tcPr>
            <w:tcW w:w="10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w:t>
            </w: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601 Lexington Avenue</w:t>
            </w:r>
          </w:p>
        </w:tc>
        <w:tc>
          <w:tcPr>
            <w:tcW w:w="102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2.79 %</w:t>
            </w:r>
          </w:p>
        </w:tc>
        <w:tc>
          <w:tcPr>
            <w:tcW w:w="106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2.93 %</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989,518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445,283</w:t>
            </w:r>
          </w:p>
        </w:tc>
        <w:tc>
          <w:tcPr>
            <w:tcW w:w="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(3)(8)</w:t>
            </w:r>
          </w:p>
        </w:tc>
        <w:tc>
          <w:tcPr>
            <w:tcW w:w="15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January 9, 2032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Subtotal</w:t>
            </w: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3,300,000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3,278,396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1,360,873</w:t>
            </w: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4,406,289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4,368,367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1,360,873</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40" w:hanging="328"/>
        <w:spacing w:after="0" w:line="264"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GAAP interest rate differs from the stated interest rate due to the inclusion of the amortization of financing charges, the effects of hedging transactions (if any) and adjustments required under Accounting Standards Codification 805 “Business Combinations” to reflect loans and swaps at their fair values (if any).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line="263"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Deferred financing costs, net includes an approximately $6.5 million fair value interest adjustment. The loan includes two extension options, subject to certain conditions.</w:t>
      </w: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spacing w:after="0" w:line="8" w:lineRule="exact"/>
        <w:rPr>
          <w:rFonts w:ascii="Arial" w:cs="Arial" w:eastAsia="Arial" w:hAnsi="Arial"/>
          <w:sz w:val="16"/>
          <w:szCs w:val="16"/>
          <w:color w:val="auto"/>
        </w:rPr>
      </w:pPr>
    </w:p>
    <w:p>
      <w:pPr>
        <w:ind w:left="660" w:right="180" w:hanging="328"/>
        <w:spacing w:after="0" w:line="253"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mortgage loan bears interest at a variable rate of SOFR plus 1.38% per annum. The borrower under the loan entered into three interest rate swap contracts with notional amounts aggregating $300.0 million to fix SOFR at a weighted-average fixed interest rate of 2.679% for the period commencing on February 1, 2023 and ending on April 1, 2025. Stated interest rate reflects the weighted average fixed interest rate based on the interest rate swap contracts plus 1.38% per annum. Deferred financing costs, net includes an approximately $3.6 million fair value interest adjustment and excludes the adjustment required to reflect the interest rate swap at fair value upon acquisition of approximately $5.7 million.</w:t>
      </w:r>
    </w:p>
    <w:p>
      <w:pPr>
        <w:spacing w:after="0" w:line="2" w:lineRule="exact"/>
        <w:rPr>
          <w:rFonts w:ascii="Arial" w:cs="Arial" w:eastAsia="Arial" w:hAnsi="Arial"/>
          <w:sz w:val="16"/>
          <w:szCs w:val="16"/>
          <w:color w:val="auto"/>
        </w:rPr>
      </w:pPr>
    </w:p>
    <w:p>
      <w:pPr>
        <w:ind w:left="660" w:right="40" w:hanging="328"/>
        <w:spacing w:after="0" w:line="254"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mortgage loan bears interest at a variable rate of Daily Compounded SOFR plus 2.25% per annum. On December 7, 2023, BPLP entered into three interest rate swap contracts with notional amounts aggregating $600.0 million to fix Daily Compounded SOFR at a weighted-average fixed interest rate of 3.7925% for the period commencing on December 15, 2023 and ending on October 26, 2028. Stated interest rate reflects the weighted average fixed interest rate based on the interest rate swap contracts plus 2.25% per annum.</w:t>
      </w:r>
    </w:p>
    <w:p>
      <w:pPr>
        <w:ind w:left="660" w:right="40" w:hanging="328"/>
        <w:spacing w:after="0" w:line="249"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ind w:left="660" w:right="160" w:hanging="328"/>
        <w:spacing w:after="0" w:line="253"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connection with the refinancing of the loan, we guaranteed the consolidated entity’s obligation to fund various reserves for tenant improvement costs and allowances, leasing commissions and free rent obligations in lieu of cash deposits. As of March 31, 2024, the maximum funding obligation under the guarantee was approximately $8.5 million. We earn a fee from the joint venture for providing the guarantee and have an agreement with our partners to reimburse the joint venture for their share of any payments made under the guarantee (See Note 8 to the Consolidated Financial Statements).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02"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As of March 31, 2024, we had $2.1 billion of interest rate swaps outstanding, where hedge accounting was elected, with a fair value of approximately $12.3 million. For a description of these interest rate swaps, see Note 7 to the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 Unconsolidated Joint Ventures - Secured Debt</w:t>
      </w:r>
    </w:p>
    <w:p>
      <w:pPr>
        <w:spacing w:after="0" w:line="88"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We have investments in unconsolidated joint ventures with our effective ownership interests ranging from 20% to approximately 71%. Fourteen of these ventures have mortgage indebtedness. We exercise significant influence over, but do not control, these entities. As a result, we account for them using the equity method of accounting. See also Note 5 to the Consolidated Financial Statements. At March 31, 2024, the aggregate carrying amount of debt, including both our and our partners’ share, incurred by these ventures was approximately $3.2 billion (of which our proportionate share is approximately $1.4 billion). The table below summarizes the outstanding debt of these joint venture properties at March 31, 2024.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Nominal %</w:t>
            </w: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rPr>
              <w:t>Stated</w:t>
            </w:r>
          </w:p>
        </w:tc>
        <w:tc>
          <w:tcPr>
            <w:tcW w:w="860" w:type="dxa"/>
            <w:vAlign w:val="bottom"/>
          </w:tcPr>
          <w:p>
            <w:pPr>
              <w:jc w:val="right"/>
              <w:ind w:right="181"/>
              <w:spacing w:after="0"/>
              <w:rPr>
                <w:sz w:val="20"/>
                <w:szCs w:val="20"/>
                <w:color w:val="auto"/>
              </w:rPr>
            </w:pPr>
            <w:r>
              <w:rPr>
                <w:rFonts w:ascii="Arial" w:cs="Arial" w:eastAsia="Arial" w:hAnsi="Arial"/>
                <w:sz w:val="14"/>
                <w:szCs w:val="14"/>
                <w:b w:val="1"/>
                <w:bCs w:val="1"/>
                <w:color w:val="auto"/>
              </w:rPr>
              <w:t>GAAP</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Term of</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Stated</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Properties</w:t>
            </w:r>
          </w:p>
        </w:tc>
        <w:tc>
          <w:tcPr>
            <w:tcW w:w="1020" w:type="dxa"/>
            <w:vAlign w:val="bottom"/>
            <w:vMerge w:val="continue"/>
          </w:tcPr>
          <w:p>
            <w:pPr>
              <w:spacing w:after="0"/>
              <w:rPr>
                <w:sz w:val="12"/>
                <w:szCs w:val="12"/>
                <w:color w:val="auto"/>
              </w:rPr>
            </w:pPr>
          </w:p>
        </w:tc>
        <w:tc>
          <w:tcPr>
            <w:tcW w:w="9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Interest</w:t>
            </w:r>
          </w:p>
        </w:tc>
        <w:tc>
          <w:tcPr>
            <w:tcW w:w="860" w:type="dxa"/>
            <w:vAlign w:val="bottom"/>
          </w:tcPr>
          <w:p>
            <w:pPr>
              <w:jc w:val="right"/>
              <w:ind w:right="121"/>
              <w:spacing w:after="0" w:line="145" w:lineRule="exact"/>
              <w:rPr>
                <w:sz w:val="20"/>
                <w:szCs w:val="20"/>
                <w:color w:val="auto"/>
              </w:rPr>
            </w:pPr>
            <w:r>
              <w:rPr>
                <w:rFonts w:ascii="Arial" w:cs="Arial" w:eastAsia="Arial" w:hAnsi="Arial"/>
                <w:sz w:val="14"/>
                <w:szCs w:val="14"/>
                <w:b w:val="1"/>
                <w:bCs w:val="1"/>
                <w:color w:val="auto"/>
              </w:rPr>
              <w:t>Interest</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Variable Rate</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0"/>
              <w:spacing w:after="0" w:line="145"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1660" w:type="dxa"/>
            <w:vAlign w:val="bottom"/>
            <w:gridSpan w:val="2"/>
            <w:vMerge w:val="continue"/>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Arial" w:cs="Arial" w:eastAsia="Arial" w:hAnsi="Arial"/>
                <w:sz w:val="14"/>
                <w:szCs w:val="14"/>
                <w:b w:val="1"/>
                <w:bCs w:val="1"/>
                <w:color w:val="auto"/>
              </w:rPr>
              <w:t>Ownership</w:t>
            </w: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Rate</w:t>
            </w: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rPr>
              <w:t>Rate (1)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Spread</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(Our share)</w:t>
            </w:r>
          </w:p>
        </w:tc>
        <w:tc>
          <w:tcPr>
            <w:tcW w:w="6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360 Park Avenue</w:t>
            </w: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Adjusted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(2)(3)</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December 14,</w:t>
            </w:r>
          </w:p>
        </w:tc>
        <w:tc>
          <w:tcPr>
            <w:tcW w:w="0" w:type="dxa"/>
            <w:vAlign w:val="bottom"/>
          </w:tcPr>
          <w:p>
            <w:pPr>
              <w:spacing w:after="0"/>
              <w:rPr>
                <w:sz w:val="1"/>
                <w:szCs w:val="1"/>
                <w:color w:val="auto"/>
              </w:rPr>
            </w:pPr>
          </w:p>
        </w:tc>
      </w:tr>
      <w:tr>
        <w:trPr>
          <w:trHeight w:val="162"/>
        </w:trPr>
        <w:tc>
          <w:tcPr>
            <w:tcW w:w="1660" w:type="dxa"/>
            <w:vAlign w:val="bottom"/>
            <w:gridSpan w:val="2"/>
            <w:vMerge w:val="continue"/>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71.11 %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7.83 %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8.28 %</w:t>
            </w:r>
          </w:p>
        </w:tc>
        <w:tc>
          <w:tcPr>
            <w:tcW w:w="110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220,000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219,295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155,940</w:t>
            </w:r>
          </w:p>
        </w:tc>
        <w:tc>
          <w:tcPr>
            <w:tcW w:w="66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South</w:t>
            </w: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+ 2.40%</w:t>
            </w: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w:t>
            </w:r>
          </w:p>
        </w:tc>
        <w:tc>
          <w:tcPr>
            <w:tcW w:w="1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62"/>
        </w:trPr>
        <w:tc>
          <w:tcPr>
            <w:tcW w:w="1660" w:type="dxa"/>
            <w:vAlign w:val="bottom"/>
            <w:gridSpan w:val="2"/>
            <w:vMerge w:val="restart"/>
          </w:tcPr>
          <w:p>
            <w:pPr>
              <w:ind w:left="20"/>
              <w:spacing w:after="0"/>
              <w:rPr>
                <w:sz w:val="20"/>
                <w:szCs w:val="20"/>
                <w:color w:val="auto"/>
              </w:rPr>
            </w:pPr>
            <w:r>
              <w:rPr>
                <w:rFonts w:ascii="Arial" w:cs="Arial" w:eastAsia="Arial" w:hAnsi="Arial"/>
                <w:sz w:val="16"/>
                <w:szCs w:val="16"/>
                <w:color w:val="auto"/>
              </w:rPr>
              <w:t>Market Square North</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7.73 %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7.91 %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124,632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62,316</w:t>
            </w:r>
          </w:p>
        </w:tc>
        <w:tc>
          <w:tcPr>
            <w:tcW w:w="660" w:type="dxa"/>
            <w:vAlign w:val="bottom"/>
          </w:tcPr>
          <w:p>
            <w:pPr>
              <w:ind w:left="100"/>
              <w:spacing w:after="0" w:line="162" w:lineRule="exact"/>
              <w:rPr>
                <w:sz w:val="20"/>
                <w:szCs w:val="20"/>
                <w:color w:val="auto"/>
              </w:rPr>
            </w:pPr>
            <w:r>
              <w:rPr>
                <w:rFonts w:ascii="Arial" w:cs="Arial" w:eastAsia="Arial" w:hAnsi="Arial"/>
                <w:sz w:val="16"/>
                <w:szCs w:val="16"/>
                <w:color w:val="auto"/>
              </w:rPr>
              <w:t>(2)(3)</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November 10,</w:t>
            </w:r>
          </w:p>
        </w:tc>
        <w:tc>
          <w:tcPr>
            <w:tcW w:w="0" w:type="dxa"/>
            <w:vAlign w:val="bottom"/>
          </w:tcPr>
          <w:p>
            <w:pPr>
              <w:spacing w:after="0"/>
              <w:rPr>
                <w:sz w:val="1"/>
                <w:szCs w:val="1"/>
                <w:color w:val="auto"/>
              </w:rPr>
            </w:pPr>
          </w:p>
        </w:tc>
      </w:tr>
      <w:tr>
        <w:trPr>
          <w:trHeight w:val="215"/>
        </w:trPr>
        <w:tc>
          <w:tcPr>
            <w:tcW w:w="16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(5)</w:t>
            </w:r>
          </w:p>
        </w:tc>
        <w:tc>
          <w:tcPr>
            <w:tcW w:w="1220" w:type="dxa"/>
            <w:vAlign w:val="bottom"/>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3.77 %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3.84 %</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34,424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34,208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17,104</w:t>
            </w: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January 1,</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5"/>
        </w:trPr>
        <w:tc>
          <w:tcPr>
            <w:tcW w:w="166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3.56 %</w:t>
            </w:r>
          </w:p>
        </w:tc>
        <w:tc>
          <w:tcPr>
            <w:tcW w:w="860" w:type="dxa"/>
            <w:vAlign w:val="bottom"/>
          </w:tcPr>
          <w:p>
            <w:pPr>
              <w:jc w:val="right"/>
              <w:spacing w:after="0"/>
              <w:rPr>
                <w:sz w:val="20"/>
                <w:szCs w:val="20"/>
                <w:color w:val="auto"/>
              </w:rPr>
            </w:pPr>
            <w:r>
              <w:rPr>
                <w:rFonts w:ascii="Arial" w:cs="Arial" w:eastAsia="Arial" w:hAnsi="Arial"/>
                <w:sz w:val="16"/>
                <w:szCs w:val="16"/>
                <w:color w:val="auto"/>
              </w:rPr>
              <w:t>3.59 %</w:t>
            </w:r>
          </w:p>
        </w:tc>
        <w:tc>
          <w:tcPr>
            <w:tcW w:w="1100" w:type="dxa"/>
            <w:vAlign w:val="bottom"/>
          </w:tcPr>
          <w:p>
            <w:pPr>
              <w:jc w:val="center"/>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549,399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274,700</w:t>
            </w:r>
          </w:p>
        </w:tc>
        <w:tc>
          <w:tcPr>
            <w:tcW w:w="660" w:type="dxa"/>
            <w:vAlign w:val="bottom"/>
          </w:tcPr>
          <w:p>
            <w:pPr>
              <w:ind w:left="100"/>
              <w:spacing w:after="0"/>
              <w:rPr>
                <w:sz w:val="20"/>
                <w:szCs w:val="20"/>
                <w:color w:val="auto"/>
              </w:rPr>
            </w:pPr>
            <w:r>
              <w:rPr>
                <w:rFonts w:ascii="Arial" w:cs="Arial" w:eastAsia="Arial" w:hAnsi="Arial"/>
                <w:sz w:val="16"/>
                <w:szCs w:val="16"/>
                <w:color w:val="auto"/>
              </w:rPr>
              <w:t>(2)</w:t>
            </w:r>
          </w:p>
        </w:tc>
        <w:tc>
          <w:tcPr>
            <w:tcW w:w="1220" w:type="dxa"/>
            <w:vAlign w:val="bottom"/>
          </w:tcPr>
          <w:p>
            <w:pPr>
              <w:ind w:left="80"/>
              <w:spacing w:after="0"/>
              <w:rPr>
                <w:sz w:val="20"/>
                <w:szCs w:val="20"/>
                <w:color w:val="auto"/>
              </w:rPr>
            </w:pPr>
            <w:r>
              <w:rPr>
                <w:rFonts w:ascii="Arial" w:cs="Arial" w:eastAsia="Arial" w:hAnsi="Arial"/>
                <w:sz w:val="16"/>
                <w:szCs w:val="16"/>
                <w:color w:val="auto"/>
              </w:rPr>
              <w:t>August 9, 2027</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7.83 %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8.09 %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8"/>
              </w:rPr>
              <w:t>SOFR</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198,383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197,558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98,779</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(2)(6)</w:t>
            </w:r>
          </w:p>
        </w:tc>
        <w:tc>
          <w:tcPr>
            <w:tcW w:w="12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December 18,</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The Hub on</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Daily Simple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(2)(3)</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September 8,</w:t>
            </w:r>
          </w:p>
        </w:tc>
        <w:tc>
          <w:tcPr>
            <w:tcW w:w="0" w:type="dxa"/>
            <w:vAlign w:val="bottom"/>
          </w:tcPr>
          <w:p>
            <w:pPr>
              <w:spacing w:after="0"/>
              <w:rPr>
                <w:sz w:val="1"/>
                <w:szCs w:val="1"/>
                <w:color w:val="auto"/>
              </w:rPr>
            </w:pPr>
          </w:p>
        </w:tc>
      </w:tr>
      <w:tr>
        <w:trPr>
          <w:trHeight w:val="162"/>
        </w:trPr>
        <w:tc>
          <w:tcPr>
            <w:tcW w:w="1660" w:type="dxa"/>
            <w:vAlign w:val="bottom"/>
            <w:gridSpan w:val="2"/>
          </w:tcPr>
          <w:p>
            <w:pPr>
              <w:ind w:left="100"/>
              <w:spacing w:after="0" w:line="162" w:lineRule="exact"/>
              <w:rPr>
                <w:sz w:val="20"/>
                <w:szCs w:val="20"/>
                <w:color w:val="auto"/>
              </w:rPr>
            </w:pPr>
            <w:r>
              <w:rPr>
                <w:rFonts w:ascii="Arial" w:cs="Arial" w:eastAsia="Arial" w:hAnsi="Arial"/>
                <w:sz w:val="16"/>
                <w:szCs w:val="16"/>
                <w:color w:val="auto"/>
              </w:rPr>
              <w:t>Causeway -</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7.35 %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7.75 %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154,329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153,442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76,721</w:t>
            </w: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60" w:type="dxa"/>
            <w:vAlign w:val="bottom"/>
            <w:gridSpan w:val="2"/>
          </w:tcPr>
          <w:p>
            <w:pPr>
              <w:ind w:left="100"/>
              <w:spacing w:after="0"/>
              <w:rPr>
                <w:sz w:val="20"/>
                <w:szCs w:val="20"/>
                <w:color w:val="auto"/>
              </w:rPr>
            </w:pPr>
            <w:r>
              <w:rPr>
                <w:rFonts w:ascii="Arial" w:cs="Arial" w:eastAsia="Arial" w:hAnsi="Arial"/>
                <w:sz w:val="16"/>
                <w:szCs w:val="16"/>
                <w:color w:val="auto"/>
              </w:rPr>
              <w:t>Podium</w:t>
            </w: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(7)</w:t>
            </w:r>
          </w:p>
        </w:tc>
        <w:tc>
          <w:tcPr>
            <w:tcW w:w="1220" w:type="dxa"/>
            <w:vAlign w:val="bottom"/>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Hub50House</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4.43 %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SOFR +</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183,880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91,940</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(2)(8)</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June 17, 2032</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100 Causeway</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6.80 %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6.94 %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333,579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333,376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166,688</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(2)(3)</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September 5,</w:t>
            </w:r>
          </w:p>
        </w:tc>
        <w:tc>
          <w:tcPr>
            <w:tcW w:w="0" w:type="dxa"/>
            <w:vAlign w:val="bottom"/>
          </w:tcPr>
          <w:p>
            <w:pPr>
              <w:spacing w:after="0"/>
              <w:rPr>
                <w:sz w:val="1"/>
                <w:szCs w:val="1"/>
                <w:color w:val="auto"/>
              </w:rPr>
            </w:pPr>
          </w:p>
        </w:tc>
      </w:tr>
      <w:tr>
        <w:trPr>
          <w:trHeight w:val="215"/>
        </w:trPr>
        <w:tc>
          <w:tcPr>
            <w:tcW w:w="1660" w:type="dxa"/>
            <w:vAlign w:val="bottom"/>
            <w:gridSpan w:val="2"/>
          </w:tcPr>
          <w:p>
            <w:pPr>
              <w:ind w:left="100"/>
              <w:spacing w:after="0"/>
              <w:rPr>
                <w:sz w:val="20"/>
                <w:szCs w:val="20"/>
                <w:color w:val="auto"/>
              </w:rPr>
            </w:pPr>
            <w:r>
              <w:rPr>
                <w:rFonts w:ascii="Arial" w:cs="Arial" w:eastAsia="Arial" w:hAnsi="Arial"/>
                <w:sz w:val="16"/>
                <w:szCs w:val="16"/>
                <w:color w:val="auto"/>
              </w:rPr>
              <w:t>Street</w:t>
            </w: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63"/>
        </w:trPr>
        <w:tc>
          <w:tcPr>
            <w:tcW w:w="16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7750 Wisconsin</w:t>
            </w: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6"/>
                <w:szCs w:val="16"/>
                <w:color w:val="auto"/>
              </w:rPr>
              <w:t>Avenue (Marriott</w:t>
            </w: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SOFR +</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6"/>
                <w:szCs w:val="16"/>
                <w:color w:val="auto"/>
              </w:rPr>
              <w:t>International</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6.67 %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251,542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251,136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125,568</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April 26, 2025</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Headquarters)</w:t>
            </w: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vMerge w:val="restart"/>
          </w:tcPr>
          <w:p>
            <w:pPr>
              <w:ind w:left="20"/>
              <w:spacing w:after="0"/>
              <w:rPr>
                <w:sz w:val="20"/>
                <w:szCs w:val="20"/>
                <w:color w:val="auto"/>
              </w:rPr>
            </w:pPr>
            <w:r>
              <w:rPr>
                <w:rFonts w:ascii="Arial" w:cs="Arial" w:eastAsia="Arial" w:hAnsi="Arial"/>
                <w:sz w:val="16"/>
                <w:szCs w:val="16"/>
                <w:color w:val="auto"/>
              </w:rPr>
              <w:t>Safeco Plaza</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33.67 %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4.82 %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7.73 %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249,178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83,898</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(2)(9)</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September 1,</w:t>
            </w:r>
          </w:p>
        </w:tc>
        <w:tc>
          <w:tcPr>
            <w:tcW w:w="0" w:type="dxa"/>
            <w:vAlign w:val="bottom"/>
          </w:tcPr>
          <w:p>
            <w:pPr>
              <w:spacing w:after="0"/>
              <w:rPr>
                <w:sz w:val="1"/>
                <w:szCs w:val="1"/>
                <w:color w:val="auto"/>
              </w:rPr>
            </w:pPr>
          </w:p>
        </w:tc>
      </w:tr>
      <w:tr>
        <w:trPr>
          <w:trHeight w:val="215"/>
        </w:trPr>
        <w:tc>
          <w:tcPr>
            <w:tcW w:w="16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63"/>
        </w:trPr>
        <w:tc>
          <w:tcPr>
            <w:tcW w:w="16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500 North Capitol</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6.83 %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7.16 %</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104,386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31,178</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(2)(10)</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June 5, 2026</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Street, NW</w:t>
            </w: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vMerge w:val="restart"/>
          </w:tcPr>
          <w:p>
            <w:pPr>
              <w:ind w:left="20"/>
              <w:spacing w:after="0"/>
              <w:rPr>
                <w:sz w:val="20"/>
                <w:szCs w:val="20"/>
                <w:color w:val="auto"/>
              </w:rPr>
            </w:pPr>
            <w:r>
              <w:rPr>
                <w:rFonts w:ascii="Arial" w:cs="Arial" w:eastAsia="Arial" w:hAnsi="Arial"/>
                <w:sz w:val="16"/>
                <w:szCs w:val="16"/>
                <w:color w:val="auto"/>
              </w:rPr>
              <w:t>200 Fifth Avenue</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26.69 %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4.34 %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5.60 %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600,000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(7,764)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592,236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151,190</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(2)(11)</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November 24,</w:t>
            </w:r>
          </w:p>
        </w:tc>
        <w:tc>
          <w:tcPr>
            <w:tcW w:w="0" w:type="dxa"/>
            <w:vAlign w:val="bottom"/>
          </w:tcPr>
          <w:p>
            <w:pPr>
              <w:spacing w:after="0"/>
              <w:rPr>
                <w:sz w:val="1"/>
                <w:szCs w:val="1"/>
                <w:color w:val="auto"/>
              </w:rPr>
            </w:pPr>
          </w:p>
        </w:tc>
      </w:tr>
      <w:tr>
        <w:trPr>
          <w:trHeight w:val="215"/>
        </w:trPr>
        <w:tc>
          <w:tcPr>
            <w:tcW w:w="16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+ 1.41%</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3 Hudson Boulevard</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25.00 %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9.04 %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9.04 %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9"/>
              </w:rPr>
              <w:t>Term SOFR</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(2)(12)</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May 9, 2024</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+ 3.61%</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Skymark - Reston</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20.00 %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7.33 %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7.65 %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90,767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(948)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89,819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17,964</w:t>
            </w:r>
          </w:p>
        </w:tc>
        <w:tc>
          <w:tcPr>
            <w:tcW w:w="660" w:type="dxa"/>
            <w:vAlign w:val="bottom"/>
          </w:tcPr>
          <w:p>
            <w:pPr>
              <w:ind w:left="100"/>
              <w:spacing w:after="0" w:line="162" w:lineRule="exact"/>
              <w:rPr>
                <w:sz w:val="20"/>
                <w:szCs w:val="20"/>
                <w:color w:val="auto"/>
              </w:rPr>
            </w:pPr>
            <w:r>
              <w:rPr>
                <w:rFonts w:ascii="Arial" w:cs="Arial" w:eastAsia="Arial" w:hAnsi="Arial"/>
                <w:sz w:val="16"/>
                <w:szCs w:val="16"/>
                <w:color w:val="auto"/>
              </w:rPr>
              <w:t>(2)(3)</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May 13, 2026</w:t>
            </w:r>
          </w:p>
        </w:tc>
        <w:tc>
          <w:tcPr>
            <w:tcW w:w="0" w:type="dxa"/>
            <w:vAlign w:val="bottom"/>
          </w:tcPr>
          <w:p>
            <w:pPr>
              <w:spacing w:after="0"/>
              <w:rPr>
                <w:sz w:val="1"/>
                <w:szCs w:val="1"/>
                <w:color w:val="auto"/>
              </w:rPr>
            </w:pPr>
          </w:p>
        </w:tc>
      </w:tr>
      <w:tr>
        <w:trPr>
          <w:trHeight w:val="215"/>
        </w:trPr>
        <w:tc>
          <w:tcPr>
            <w:tcW w:w="16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Next Residential</w:t>
            </w:r>
          </w:p>
        </w:tc>
        <w:tc>
          <w:tcPr>
            <w:tcW w:w="102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(13)</w:t>
            </w:r>
          </w:p>
        </w:tc>
        <w:tc>
          <w:tcPr>
            <w:tcW w:w="12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3,178,024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3,162,545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1,373,986</w:t>
            </w:r>
          </w:p>
        </w:tc>
        <w:tc>
          <w:tcPr>
            <w:tcW w:w="6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880" w:hanging="328"/>
        <w:spacing w:after="0" w:line="250"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GAAP interest rate differs from the stated interest rate due to the inclusion of the amortization of financing costs, which includes mortgage recording fees, the effects of hedging transactions (if any) and adjustments required under Accounting Standards Codification 805 “Business Combinations” to reflect loans at their fair values (if any).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includes certain extension options, subject to certain conditions.</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spread on the variable rate may be reduced, subject to certain conditions.</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(1) the sum of (x) SOFR and (y) 2.41% or (2) 2.80% per annum.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SOFR or (y) 0.25%, plus (2) 2.50% per annum.</w:t>
      </w:r>
    </w:p>
    <w:p>
      <w:pPr>
        <w:spacing w:after="0" w:line="21" w:lineRule="exact"/>
        <w:rPr>
          <w:rFonts w:ascii="Arial" w:cs="Arial" w:eastAsia="Arial" w:hAnsi="Arial"/>
          <w:sz w:val="16"/>
          <w:szCs w:val="16"/>
          <w:color w:val="auto"/>
        </w:rPr>
      </w:pPr>
    </w:p>
    <w:p>
      <w:pPr>
        <w:ind w:left="660" w:right="160" w:hanging="328"/>
        <w:spacing w:after="0" w:line="255"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$154.3 million through September 2, 2025, resulting in a fixed rate of approximately 7.35% per annum through the expiration of the interest rate swap contracts.</w:t>
      </w:r>
    </w:p>
    <w:p>
      <w:pPr>
        <w:ind w:left="660" w:right="540" w:hanging="328"/>
        <w:spacing w:after="0" w:line="255"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$185.0 million through April 10, 2032, resulting in a fixed rate of approximately 4.432% per annum through the expiration of the interest rate swap contracts.</w:t>
      </w:r>
    </w:p>
    <w:p>
      <w:pPr>
        <w:ind w:left="660" w:right="160" w:hanging="328"/>
        <w:spacing w:after="0" w:line="252"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(x) 2.35% or (y) SOFR plus 2.32% per annum. The joint venture entered into an interest rate cap agreement with a financial institution to limit its exposure to increases in the SOFR rate at a cap of 2.50% per annum on a notional amount of $250.0 million through September 1, 2024.</w:t>
      </w:r>
    </w:p>
    <w:p>
      <w:pPr>
        <w:ind w:left="660" w:hanging="328"/>
        <w:spacing w:after="0" w:line="254" w:lineRule="auto"/>
        <w:tabs>
          <w:tab w:leader="none" w:pos="65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indebtedness consists of (x) a $70.0 million mortgage loan payable (Note A) which bears interest at a fixed rate of 6.23% per annum, and (y) a $35.0 million mortgage loan payable (Note B) which bears interest at a fixed rate of 8.03% per annum. We provided $10.5 million of the Note B mortgage financing to the joint venture. Our portion of the loan is reflected as Related Party Note Receivables, Net on our Consolidated Balance Sheets.</w:t>
      </w:r>
    </w:p>
    <w:p>
      <w:pPr>
        <w:jc w:val="both"/>
        <w:ind w:left="660" w:right="100" w:hanging="328"/>
        <w:spacing w:after="0" w:line="252" w:lineRule="auto"/>
        <w:tabs>
          <w:tab w:leader="none" w:pos="63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$600.0 million through June 2028, resulting in a fixed rate of approximately 4.34% per annum through the expiration of the interest rate swap contracts. The deferred financing costs, net include the adjustment required to reflect the loan and interest rate swap at fair value upon acquisition.</w:t>
      </w:r>
    </w:p>
    <w:p>
      <w:pPr>
        <w:ind w:left="660" w:hanging="328"/>
        <w:spacing w:after="0" w:line="255" w:lineRule="auto"/>
        <w:tabs>
          <w:tab w:leader="none" w:pos="651"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provided $80.0 million of mortgage financing to the joint venture. The loan is reflected as Related Party Note Receivables, Net on our Consolidated Balance Sheets. As of March 31, 2024, the loan has approximately $30.4 million of accrued interest due at the maturity date.</w:t>
      </w:r>
    </w:p>
    <w:p>
      <w:pPr>
        <w:ind w:left="640" w:hanging="308"/>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$140.0 million.</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283" w:right="101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State and Local Tax Matters</w:t>
      </w:r>
    </w:p>
    <w:p>
      <w:pPr>
        <w:spacing w:after="0" w:line="88"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concerning our insurance program, see Note 8 to the Consolidated Financial Statements.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Funds from Operations</w:t>
      </w:r>
    </w:p>
    <w:p>
      <w:pPr>
        <w:spacing w:after="0" w:line="1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Pursuant to the revised definition of Funds from Operations adopted by the Board of Governors of the National Association of Real Estate Investment Trusts (“Nareit”), we calculate Funds from Operations, or “FFO,” for each of BXP and BPLP by adjusting net income attributable to Boston Properties, Inc. and net income attributable to Boston Properties Limited Partnership (computed in accordance with GAAP), respectively,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a useful measure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33"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Boston Properties, Inc. and net income attributable to Boston Properties Limited Partnership as presented in our Consolidated Financial Statements. FFO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800" w:firstLine="445"/>
        <w:spacing w:after="0" w:line="287" w:lineRule="auto"/>
        <w:rPr>
          <w:sz w:val="20"/>
          <w:szCs w:val="20"/>
          <w:color w:val="auto"/>
        </w:rPr>
      </w:pPr>
      <w:r>
        <w:rPr>
          <w:rFonts w:ascii="Arial" w:cs="Arial" w:eastAsia="Arial" w:hAnsi="Arial"/>
          <w:sz w:val="18"/>
          <w:szCs w:val="18"/>
          <w:color w:val="auto"/>
        </w:rPr>
        <w:t>The following table presents a reconciliation of net income attributable to Boston Properties, Inc. to FFO attributable to Boston Properties, Inc. for the three months ended March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79,883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77,890</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17,221</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18,660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106,604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105,628</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218,716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208,734</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2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(18,695)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(17,711)</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20,223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25,645</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32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(419)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32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13,615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Gain (loss) on sale / consolidation included within loss from unconsolidated joint ventures</w:t>
            </w:r>
          </w:p>
        </w:tc>
        <w:tc>
          <w:tcPr>
            <w:tcW w:w="32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21,696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17,221</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18,660</w:t>
            </w:r>
          </w:p>
        </w:tc>
        <w:tc>
          <w:tcPr>
            <w:tcW w:w="0" w:type="dxa"/>
            <w:vAlign w:val="bottom"/>
          </w:tcPr>
          <w:p>
            <w:pPr>
              <w:spacing w:after="0"/>
              <w:rPr>
                <w:sz w:val="1"/>
                <w:szCs w:val="1"/>
                <w:color w:val="auto"/>
              </w:rPr>
            </w:pPr>
          </w:p>
        </w:tc>
      </w:tr>
      <w:tr>
        <w:trPr>
          <w:trHeight w:val="143"/>
        </w:trPr>
        <w:tc>
          <w:tcPr>
            <w:tcW w:w="77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Funds from Operations (FFO) attributable to the Operating Partnership common unitholders (including</w:t>
            </w:r>
          </w:p>
        </w:tc>
        <w:tc>
          <w:tcPr>
            <w:tcW w:w="3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302,861</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302,908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Boston Properties, Inc.)</w:t>
            </w:r>
          </w:p>
        </w:tc>
        <w:tc>
          <w:tcPr>
            <w:tcW w:w="3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Partnership’s share of funds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31,588</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30,957</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Inc.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271,273</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271,951</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Our percentage share of Funds from Operations—basic</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89.57 %</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89.78 %</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156,983</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156,803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The following tables presents a reconciliation of net income attributable to Boston Properties, Inc. to Diluted FFO attributable to Boston Properties, Inc. for income (numerator) and shares/units (denominator)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77,890</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17,221</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105,628</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218,716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208,734</w:t>
            </w:r>
          </w:p>
        </w:tc>
        <w:tc>
          <w:tcPr>
            <w:tcW w:w="0" w:type="dxa"/>
            <w:vAlign w:val="bottom"/>
          </w:tcPr>
          <w:p>
            <w:pPr>
              <w:spacing w:after="0"/>
              <w:rPr>
                <w:sz w:val="1"/>
                <w:szCs w:val="1"/>
                <w:color w:val="auto"/>
              </w:rPr>
            </w:pPr>
          </w:p>
        </w:tc>
      </w:tr>
      <w:tr>
        <w:trPr>
          <w:trHeight w:val="215"/>
        </w:trPr>
        <w:tc>
          <w:tcPr>
            <w:tcW w:w="800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(18,695)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(17,711)</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25,645</w:t>
            </w:r>
          </w:p>
        </w:tc>
        <w:tc>
          <w:tcPr>
            <w:tcW w:w="0" w:type="dxa"/>
            <w:vAlign w:val="bottom"/>
          </w:tcPr>
          <w:p>
            <w:pPr>
              <w:spacing w:after="0"/>
              <w:rPr>
                <w:sz w:val="1"/>
                <w:szCs w:val="1"/>
                <w:color w:val="auto"/>
              </w:rPr>
            </w:pPr>
          </w:p>
        </w:tc>
      </w:tr>
      <w:tr>
        <w:trPr>
          <w:trHeight w:val="215"/>
        </w:trPr>
        <w:tc>
          <w:tcPr>
            <w:tcW w:w="8000" w:type="dxa"/>
            <w:vAlign w:val="bottom"/>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0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360"/>
              <w:spacing w:after="0"/>
              <w:rPr>
                <w:sz w:val="20"/>
                <w:szCs w:val="20"/>
                <w:color w:val="auto"/>
              </w:rPr>
            </w:pPr>
            <w:r>
              <w:rPr>
                <w:rFonts w:ascii="Arial" w:cs="Arial" w:eastAsia="Arial" w:hAnsi="Arial"/>
                <w:sz w:val="16"/>
                <w:szCs w:val="16"/>
                <w:color w:val="auto"/>
              </w:rPr>
              <w:t>Gain (loss) on sale / consolidation included within loss from unconsolidated joint ventures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21,696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17,221</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18,660</w:t>
            </w:r>
          </w:p>
        </w:tc>
        <w:tc>
          <w:tcPr>
            <w:tcW w:w="0" w:type="dxa"/>
            <w:vAlign w:val="bottom"/>
          </w:tcPr>
          <w:p>
            <w:pPr>
              <w:spacing w:after="0"/>
              <w:rPr>
                <w:sz w:val="1"/>
                <w:szCs w:val="1"/>
                <w:color w:val="auto"/>
              </w:rPr>
            </w:pPr>
          </w:p>
        </w:tc>
      </w:tr>
      <w:tr>
        <w:trPr>
          <w:trHeight w:val="143"/>
        </w:trPr>
        <w:tc>
          <w:tcPr>
            <w:tcW w:w="80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Funds from Operations (FFO) attributable to the Operating Partnership common unitholders (including</w:t>
            </w:r>
          </w:p>
        </w:tc>
        <w:tc>
          <w:tcPr>
            <w:tcW w:w="2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302,861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302,908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Boston Properties, Inc.)</w:t>
            </w:r>
          </w:p>
        </w:tc>
        <w:tc>
          <w:tcPr>
            <w:tcW w:w="2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Diluted FFO</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302,861</w:t>
            </w: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302,908</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interest—common units of the Operating Partnership’s share of diluted FFO</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31,558</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30,927</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FFO attributable to Boston Properties, Inc. (1)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271,303</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271,981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BXP’s share of diluted Funds from Operations was 89.58% and 89.79% for the three months ended March 31, 2024 and 2023,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32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shares/units (in thousands)</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175,255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174,652</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540" w:type="dxa"/>
            <w:vAlign w:val="bottom"/>
          </w:tcPr>
          <w:p>
            <w:pPr>
              <w:jc w:val="right"/>
              <w:spacing w:after="0"/>
              <w:rPr>
                <w:sz w:val="20"/>
                <w:szCs w:val="20"/>
                <w:color w:val="auto"/>
              </w:rPr>
            </w:pPr>
            <w:r>
              <w:rPr>
                <w:rFonts w:ascii="Arial" w:cs="Arial" w:eastAsia="Arial" w:hAnsi="Arial"/>
                <w:sz w:val="16"/>
                <w:szCs w:val="16"/>
                <w:color w:val="auto"/>
              </w:rPr>
              <w:t>175,404</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174,892</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Arial" w:cs="Arial" w:eastAsia="Arial" w:hAnsi="Arial"/>
                <w:sz w:val="16"/>
                <w:szCs w:val="16"/>
                <w:color w:val="auto"/>
              </w:rPr>
              <w:t>Noncontrolling interest—common units of the Operating Partnership’s share of diluted Funds from</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18,272</w:t>
            </w: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17,849</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Operations</w:t>
            </w:r>
          </w:p>
        </w:tc>
        <w:tc>
          <w:tcPr>
            <w:tcW w:w="1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Funds from Operations attributable to Boston Properties, Inc. (1)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157,132</w:t>
            </w: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157,043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BXP’s share of diluted Funds from Operations was 89.58% and 89.79% for the three months ended March 31, 2024 and 2023, respectively.</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reconciliation of net income attributable to Boston Properties Limited Partnership to FFO attributable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Boston Properties Limited Partnership for the three months ended March 31, 2024 and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91,080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88,830</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17,221</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18,660</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108,301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107,490</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217,019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206,872</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(17,711)</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20,223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25,645</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sale / consolidation included within loss from unconsolidated joint ventures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17,221</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18,660</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302,861</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302,908</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175,255</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174,652</w:t>
            </w: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calculation includes OP Units and vested LTIP Units (including vested 2012 OPP Units and vested 2013 - 2021 MYLTIP Units).</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445"/>
        <w:spacing w:after="0" w:line="268" w:lineRule="auto"/>
        <w:rPr>
          <w:sz w:val="20"/>
          <w:szCs w:val="20"/>
          <w:color w:val="auto"/>
        </w:rPr>
      </w:pPr>
      <w:r>
        <w:rPr>
          <w:rFonts w:ascii="Arial" w:cs="Arial" w:eastAsia="Arial" w:hAnsi="Arial"/>
          <w:sz w:val="18"/>
          <w:szCs w:val="18"/>
          <w:color w:val="auto"/>
        </w:rPr>
        <w:t>The following tables presents a reconciliation of net income attributable to Boston Properties Limited Partnership to Diluted FFO attributable to Boston Properties Limited Partnership for income (numerator) and shares/units (denominator) for the three months ended March 31,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91,080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88,830</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17,221</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18,660</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108,301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107,490</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217,019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206,872</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(17,711)</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20,223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25,645</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loss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sale / consolidation included within loss from unconsolidated joint ventures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17,221</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18,660</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302,861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302,908</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Funds from Operations attributable to Boston Properties Limited Partnership</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302,861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Our calculation includes OP Units and vested LTIP Units (including vested 2012 OPP Units and vested 2013 - 2021 MYLTIP Units).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20" w:type="dxa"/>
            <w:vAlign w:val="bottom"/>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020" w:type="dxa"/>
            <w:vAlign w:val="bottom"/>
          </w:tcPr>
          <w:p>
            <w:pPr>
              <w:spacing w:after="0"/>
              <w:rPr>
                <w:sz w:val="18"/>
                <w:szCs w:val="18"/>
                <w:color w:val="auto"/>
              </w:rPr>
            </w:pPr>
          </w:p>
        </w:tc>
        <w:tc>
          <w:tcPr>
            <w:tcW w:w="32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shares/units (in thousands)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175,255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174,652</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175,404</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174,892</w:t>
            </w:r>
          </w:p>
        </w:tc>
      </w:tr>
      <w:tr>
        <w:trPr>
          <w:trHeight w:val="20"/>
        </w:trPr>
        <w:tc>
          <w:tcPr>
            <w:tcW w:w="80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Commitments</w:t>
      </w:r>
    </w:p>
    <w:p>
      <w:pPr>
        <w:spacing w:after="0" w:line="90" w:lineRule="exact"/>
        <w:rPr>
          <w:sz w:val="20"/>
          <w:szCs w:val="20"/>
          <w:color w:val="auto"/>
        </w:rPr>
      </w:pPr>
    </w:p>
    <w:p>
      <w:pPr>
        <w:jc w:val="both"/>
        <w:ind w:right="260" w:firstLine="445"/>
        <w:spacing w:after="0" w:line="268" w:lineRule="auto"/>
        <w:rPr>
          <w:sz w:val="20"/>
          <w:szCs w:val="20"/>
          <w:color w:val="auto"/>
        </w:rPr>
      </w:pPr>
      <w:r>
        <w:rPr>
          <w:rFonts w:ascii="Arial" w:cs="Arial" w:eastAsia="Arial" w:hAnsi="Arial"/>
          <w:sz w:val="18"/>
          <w:szCs w:val="18"/>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17"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During the three months ended March 31, 2024, we paid approximately $83.0 million to fund tenant-related obligations, including tenant improvements and leasing commissions.</w:t>
      </w:r>
    </w:p>
    <w:p>
      <w:pPr>
        <w:spacing w:after="0" w:line="99" w:lineRule="exact"/>
        <w:rPr>
          <w:sz w:val="20"/>
          <w:szCs w:val="20"/>
          <w:color w:val="auto"/>
        </w:rPr>
      </w:pPr>
    </w:p>
    <w:p>
      <w:pPr>
        <w:ind w:right="240" w:firstLine="445"/>
        <w:spacing w:after="0" w:line="268" w:lineRule="auto"/>
        <w:rPr>
          <w:sz w:val="20"/>
          <w:szCs w:val="20"/>
          <w:color w:val="auto"/>
        </w:rPr>
      </w:pPr>
      <w:r>
        <w:rPr>
          <w:rFonts w:ascii="Arial" w:cs="Arial" w:eastAsia="Arial" w:hAnsi="Arial"/>
          <w:sz w:val="18"/>
          <w:szCs w:val="18"/>
          <w:color w:val="auto"/>
        </w:rPr>
        <w:t>In addition, during the three months ended March 31, 2024, we and our unconsolidated joint venture partners incurred approximately $117.6 million of new tenant-related obligations associated with approximately 825,700 square feet of second generation leases, or approximately $142 per square foot. We signed approximately 68,200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 xml:space="preserve">square feet of first generation leases. The tenant-related obligations for the development properties are included within the projects’ “Estimated Total Investment” referred to in </w:t>
      </w:r>
      <w:r>
        <w:rPr>
          <w:rFonts w:ascii="Arial" w:cs="Arial" w:eastAsia="Arial" w:hAnsi="Arial"/>
          <w:sz w:val="17"/>
          <w:szCs w:val="17"/>
          <w:i w:val="1"/>
          <w:iCs w:val="1"/>
          <w:color w:val="auto"/>
        </w:rPr>
        <w:t>“Item 2—Management’s Discussion and Analysis of Financial Condition and Results of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In aggregate during the first quarter of 2024, we signed leases for approximately 893,900 square feet of</w:t>
      </w:r>
      <w:r>
        <w:rPr>
          <w:rFonts w:ascii="Arial" w:cs="Arial" w:eastAsia="Arial" w:hAnsi="Arial"/>
          <w:sz w:val="17"/>
          <w:szCs w:val="17"/>
          <w:i w:val="1"/>
          <w:iCs w:val="1"/>
          <w:color w:val="auto"/>
        </w:rPr>
        <w:t xml:space="preserve"> </w:t>
      </w:r>
      <w:r>
        <w:rPr>
          <w:rFonts w:ascii="Arial" w:cs="Arial" w:eastAsia="Arial" w:hAnsi="Arial"/>
          <w:sz w:val="17"/>
          <w:szCs w:val="17"/>
          <w:color w:val="auto"/>
        </w:rPr>
        <w:t>space and incurred aggregate tenant-related obligations of approximately $129.6 million, or approximately $145 per square foot.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We are exposed to certain market risks, one of the most predominant of which is a change in interest rates. Unless we have entered into interest rate swaps or other derivatives to fix the interest rate, increases in interest rates can result in increased interest expense under our 2021 Credit Facility, 2023 Unsecured Term Loan, certain mortgage loans and other debt that bears interest at variable rates. Increases in interest rates can also result in increased interest expense when our fixed rate debt matures and needs to be refinanced.</w:t>
      </w:r>
    </w:p>
    <w:p>
      <w:pPr>
        <w:spacing w:after="0" w:line="5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of March 31, 2024, approximately $13.3 billion of our indebtedness bore interest at fixed rates and therefore the fair value of these instruments is not affected by changes in the market interest rates. The remaining $2.1 billion of outstanding indebtedness bore interest at variable rates, including $1.2 billion under the 2023 Unsecured Term Loan and $900.0 million of secured debt. However, we entered into interest rate swaps with notional amounts aggregating $2.1 billion, thus fixing the interest rates for all, or a portion of the applicable debt term (See Note 7 to the Consolidated Financial Statements for information pertaining to interest rate swap contracts in place as of March 31, 2024 and their respective fair values). Therefore, as of March 31, 2024, we have no outstanding variable rate debt that has not been fixed through an interest rate swap.</w:t>
      </w:r>
    </w:p>
    <w:p>
      <w:pPr>
        <w:spacing w:after="0" w:line="129" w:lineRule="exact"/>
        <w:rPr>
          <w:sz w:val="20"/>
          <w:szCs w:val="20"/>
          <w:color w:val="auto"/>
        </w:rPr>
      </w:pPr>
    </w:p>
    <w:p>
      <w:pPr>
        <w:ind w:right="1100" w:firstLine="445"/>
        <w:spacing w:after="0" w:line="287" w:lineRule="auto"/>
        <w:rPr>
          <w:sz w:val="20"/>
          <w:szCs w:val="20"/>
          <w:color w:val="auto"/>
        </w:rPr>
      </w:pPr>
      <w:r>
        <w:rPr>
          <w:rFonts w:ascii="Arial" w:cs="Arial" w:eastAsia="Arial" w:hAnsi="Arial"/>
          <w:sz w:val="18"/>
          <w:szCs w:val="18"/>
          <w:color w:val="auto"/>
        </w:rPr>
        <w:t>The following table presents our aggregate debt obligations carrying value, estimated fair value and where applicable, the corresponding weighted-average GAAP interest rates sorted by maturity date as of March 31, 2024.</w:t>
      </w:r>
    </w:p>
    <w:p>
      <w:pPr>
        <w:spacing w:after="0" w:line="99"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The table below does not include our unconsolidated joint venture debt. For a discussion concerning our unconsolidated joint venture debt, including interest rate swaps, see Note 5 to the Consolidated Financial Statements and “</w:t>
      </w:r>
      <w:r>
        <w:rPr>
          <w:rFonts w:ascii="Arial" w:cs="Arial" w:eastAsia="Arial" w:hAnsi="Arial"/>
          <w:sz w:val="18"/>
          <w:szCs w:val="18"/>
          <w:i w:val="1"/>
          <w:iCs w:val="1"/>
          <w:color w:val="auto"/>
        </w:rPr>
        <w:t>Item 2</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Resources—Investment in Unconsolidated Joint Ventures - Secured Debt.</w:t>
      </w:r>
      <w:r>
        <w:rPr>
          <w:rFonts w:ascii="Arial" w:cs="Arial" w:eastAsia="Arial" w:hAnsi="Arial"/>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Mortgage debt, net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201,313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2,297,120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995,922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3,478,155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3,014,378</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00" w:type="dxa"/>
            <w:vAlign w:val="bottom"/>
          </w:tcPr>
          <w:p>
            <w:pPr>
              <w:spacing w:after="0"/>
              <w:rPr>
                <w:sz w:val="13"/>
                <w:szCs w:val="13"/>
                <w:color w:val="auto"/>
              </w:rPr>
            </w:pPr>
          </w:p>
        </w:tc>
        <w:tc>
          <w:tcPr>
            <w:tcW w:w="1020" w:type="dxa"/>
            <w:vAlign w:val="bottom"/>
            <w:gridSpan w:val="2"/>
            <w:vMerge w:val="restart"/>
          </w:tcPr>
          <w:p>
            <w:pPr>
              <w:ind w:left="58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7.69 %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3.67 %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0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297,113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598,901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890,212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921,004</w:t>
            </w:r>
          </w:p>
        </w:tc>
        <w:tc>
          <w:tcPr>
            <w:tcW w:w="0" w:type="dxa"/>
            <w:vAlign w:val="bottom"/>
          </w:tcPr>
          <w:p>
            <w:pPr>
              <w:spacing w:after="0"/>
              <w:rPr>
                <w:sz w:val="1"/>
                <w:szCs w:val="1"/>
                <w:color w:val="auto"/>
              </w:rPr>
            </w:pPr>
          </w:p>
        </w:tc>
      </w:tr>
      <w:tr>
        <w:trPr>
          <w:trHeight w:val="192"/>
        </w:trPr>
        <w:tc>
          <w:tcPr>
            <w:tcW w:w="1200" w:type="dxa"/>
            <w:vAlign w:val="bottom"/>
          </w:tcPr>
          <w:p>
            <w:pPr>
              <w:ind w:left="180"/>
              <w:spacing w:after="0"/>
              <w:rPr>
                <w:sz w:val="20"/>
                <w:szCs w:val="20"/>
                <w:color w:val="auto"/>
              </w:rPr>
            </w:pPr>
            <w:r>
              <w:rPr>
                <w:rFonts w:ascii="Arial" w:cs="Arial" w:eastAsia="Arial" w:hAnsi="Arial"/>
                <w:sz w:val="14"/>
                <w:szCs w:val="14"/>
                <w:color w:val="auto"/>
              </w:rPr>
              <w:t>Subtotal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(13,088)</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498,426</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(6,204)</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2,295,776</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597,535</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995,922</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4,368,367</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3,935,382</w:t>
            </w:r>
          </w:p>
        </w:tc>
        <w:tc>
          <w:tcPr>
            <w:tcW w:w="0" w:type="dxa"/>
            <w:vAlign w:val="bottom"/>
          </w:tcPr>
          <w:p>
            <w:pPr>
              <w:spacing w:after="0"/>
              <w:rPr>
                <w:sz w:val="1"/>
                <w:szCs w:val="1"/>
                <w:color w:val="auto"/>
              </w:rPr>
            </w:pPr>
          </w:p>
        </w:tc>
      </w:tr>
      <w:tr>
        <w:trPr>
          <w:trHeight w:val="199"/>
        </w:trPr>
        <w:tc>
          <w:tcPr>
            <w:tcW w:w="1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Unsecured debt, net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839,771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1,991,162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742,532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993,755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5,235,879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9,794,527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8,979,934</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00" w:type="dxa"/>
            <w:vAlign w:val="bottom"/>
          </w:tcPr>
          <w:p>
            <w:pPr>
              <w:spacing w:after="0"/>
              <w:rPr>
                <w:sz w:val="13"/>
                <w:szCs w:val="13"/>
                <w:color w:val="auto"/>
              </w:rPr>
            </w:pPr>
          </w:p>
        </w:tc>
        <w:tc>
          <w:tcPr>
            <w:tcW w:w="1020" w:type="dxa"/>
            <w:vAlign w:val="bottom"/>
            <w:gridSpan w:val="2"/>
            <w:vMerge w:val="restart"/>
          </w:tcPr>
          <w:p>
            <w:pPr>
              <w:ind w:left="58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6.92 %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3.55 %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3.91 %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0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1,199,430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1,199,430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1,198,951</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Subtotal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1,190,858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839,771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1,991,162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742,532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993,755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5,235,879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10,993,957</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10,178,885</w:t>
            </w:r>
          </w:p>
        </w:tc>
        <w:tc>
          <w:tcPr>
            <w:tcW w:w="0" w:type="dxa"/>
            <w:vAlign w:val="bottom"/>
          </w:tcPr>
          <w:p>
            <w:pPr>
              <w:spacing w:after="0"/>
              <w:rPr>
                <w:sz w:val="1"/>
                <w:szCs w:val="1"/>
                <w:color w:val="auto"/>
              </w:rPr>
            </w:pPr>
          </w:p>
        </w:tc>
      </w:tr>
      <w:tr>
        <w:trPr>
          <w:trHeight w:val="221"/>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Debt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1,177,770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1,338,197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1,984,958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3,038,308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1,591,290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6,231,801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15,362,324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14,114,267</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At March 31, 2024, the weighted-average stated interest rates on the fixed rate debt stated above was 3.68% per annum. At March 31, 2024, our outstanding variable rate debt totaled $2.1 billion, all of which was subject to interest rate swaps. At March 31, 2024, the weighted-average stated interest rate on our variable rate debt, including the effect of the interest rate swaps, was 5.56% per annum. If market interest rates on our variable rate debt had been 100 basis points greater, total interest expense would have increased approximately $5.3 million for the three months ended March 31, 2024.</w:t>
      </w:r>
    </w:p>
    <w:p>
      <w:pPr>
        <w:spacing w:after="0" w:line="1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their obligations and we minimize our exposure by limiting counterparties to major banks who meet established credit and capital guidelines. There can be no assurance that we will adequately protect against the foregoing risks.</w:t>
      </w:r>
    </w:p>
    <w:p>
      <w:pPr>
        <w:spacing w:after="0" w:line="125" w:lineRule="exact"/>
        <w:rPr>
          <w:sz w:val="20"/>
          <w:szCs w:val="20"/>
          <w:color w:val="auto"/>
        </w:rPr>
      </w:pPr>
    </w:p>
    <w:p>
      <w:pPr>
        <w:ind w:right="320" w:firstLine="445"/>
        <w:spacing w:after="0" w:line="268" w:lineRule="auto"/>
        <w:rPr>
          <w:sz w:val="20"/>
          <w:szCs w:val="20"/>
          <w:color w:val="auto"/>
        </w:rPr>
      </w:pPr>
      <w:r>
        <w:rPr>
          <w:rFonts w:ascii="Arial" w:cs="Arial" w:eastAsia="Arial" w:hAnsi="Arial"/>
          <w:sz w:val="18"/>
          <w:szCs w:val="18"/>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02" w:lineRule="exact"/>
        <w:rPr>
          <w:sz w:val="20"/>
          <w:szCs w:val="20"/>
          <w:color w:val="auto"/>
        </w:rPr>
      </w:pPr>
    </w:p>
    <w:p>
      <w:pPr>
        <w:ind w:right="120" w:firstLine="453"/>
        <w:spacing w:after="0" w:line="259" w:lineRule="auto"/>
        <w:tabs>
          <w:tab w:leader="none" w:pos="7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spacing w:after="0" w:line="125" w:lineRule="exact"/>
        <w:rPr>
          <w:rFonts w:ascii="Arial" w:cs="Arial" w:eastAsia="Arial" w:hAnsi="Arial"/>
          <w:sz w:val="18"/>
          <w:szCs w:val="18"/>
          <w:color w:val="auto"/>
        </w:rPr>
      </w:pPr>
    </w:p>
    <w:p>
      <w:pPr>
        <w:ind w:firstLine="453"/>
        <w:spacing w:after="0" w:line="262" w:lineRule="auto"/>
        <w:tabs>
          <w:tab w:leader="none" w:pos="7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Boston Properties, Inc.’s internal control over financial reporting (as defined in Rule 13a-15(f) under the Securities Exchange Act of 1934, as amended) occurred during the first quarter of our fiscal year ending December 31, 2024 that has materially affected, or is reasonably likely to materially affect, Boston Properties, Inc.’s internal control over financial reporting.</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88" w:lineRule="exact"/>
        <w:rPr>
          <w:sz w:val="20"/>
          <w:szCs w:val="20"/>
          <w:color w:val="auto"/>
        </w:rPr>
      </w:pPr>
    </w:p>
    <w:p>
      <w:pPr>
        <w:ind w:right="160" w:firstLine="453"/>
        <w:spacing w:after="0" w:line="257" w:lineRule="auto"/>
        <w:tabs>
          <w:tab w:leader="none" w:pos="7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spacing w:after="0" w:line="128" w:lineRule="exact"/>
        <w:rPr>
          <w:rFonts w:ascii="Arial" w:cs="Arial" w:eastAsia="Arial" w:hAnsi="Arial"/>
          <w:sz w:val="18"/>
          <w:szCs w:val="18"/>
          <w:color w:val="auto"/>
        </w:rPr>
      </w:pPr>
    </w:p>
    <w:p>
      <w:pPr>
        <w:ind w:left="720" w:hanging="267"/>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its internal control over financial reporting (as defined in</w:t>
      </w:r>
    </w:p>
    <w:p>
      <w:pPr>
        <w:spacing w:after="0" w:line="27" w:lineRule="exact"/>
        <w:rPr>
          <w:sz w:val="20"/>
          <w:szCs w:val="20"/>
          <w:color w:val="auto"/>
        </w:rPr>
      </w:pPr>
    </w:p>
    <w:p>
      <w:pPr>
        <w:ind w:right="680"/>
        <w:spacing w:after="0" w:line="296" w:lineRule="auto"/>
        <w:rPr>
          <w:sz w:val="20"/>
          <w:szCs w:val="20"/>
          <w:color w:val="auto"/>
        </w:rPr>
      </w:pPr>
      <w:r>
        <w:rPr>
          <w:rFonts w:ascii="Arial" w:cs="Arial" w:eastAsia="Arial" w:hAnsi="Arial"/>
          <w:sz w:val="17"/>
          <w:szCs w:val="17"/>
          <w:color w:val="auto"/>
        </w:rPr>
        <w:t>Rule 13a-15(f) under the Securities Exchange Act of 1934, as amended) occurred during the first quarter of our fiscal year ending December 31, 2024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104"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04"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Except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Boston Properties, Inc.</w:t>
            </w: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680" w:type="dxa"/>
            <w:vAlign w:val="bottom"/>
          </w:tcPr>
          <w:p>
            <w:pPr>
              <w:ind w:left="340"/>
              <w:spacing w:after="0"/>
              <w:rPr>
                <w:sz w:val="20"/>
                <w:szCs w:val="20"/>
                <w:color w:val="auto"/>
              </w:rPr>
            </w:pPr>
            <w:r>
              <w:rPr>
                <w:rFonts w:ascii="Arial" w:cs="Arial" w:eastAsia="Arial" w:hAnsi="Arial"/>
                <w:sz w:val="18"/>
                <w:szCs w:val="18"/>
                <w:color w:val="auto"/>
              </w:rPr>
              <w:t>(a)</w:t>
            </w:r>
          </w:p>
        </w:tc>
        <w:tc>
          <w:tcPr>
            <w:tcW w:w="3320" w:type="dxa"/>
            <w:vAlign w:val="bottom"/>
          </w:tcPr>
          <w:p>
            <w:pPr>
              <w:ind w:left="140"/>
              <w:spacing w:after="0"/>
              <w:rPr>
                <w:sz w:val="20"/>
                <w:szCs w:val="20"/>
                <w:color w:val="auto"/>
              </w:rPr>
            </w:pPr>
            <w:r>
              <w:rPr>
                <w:rFonts w:ascii="Arial" w:cs="Arial" w:eastAsia="Arial" w:hAnsi="Arial"/>
                <w:sz w:val="18"/>
                <w:szCs w:val="18"/>
                <w:color w:val="auto"/>
              </w:rPr>
              <w:t>None</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80" w:type="dxa"/>
            <w:vAlign w:val="bottom"/>
          </w:tcPr>
          <w:p>
            <w:pPr>
              <w:ind w:left="340"/>
              <w:spacing w:after="0"/>
              <w:rPr>
                <w:sz w:val="20"/>
                <w:szCs w:val="20"/>
                <w:color w:val="auto"/>
              </w:rPr>
            </w:pPr>
            <w:r>
              <w:rPr>
                <w:rFonts w:ascii="Arial" w:cs="Arial" w:eastAsia="Arial" w:hAnsi="Arial"/>
                <w:sz w:val="18"/>
                <w:szCs w:val="18"/>
                <w:color w:val="auto"/>
              </w:rPr>
              <w:t>(b)</w:t>
            </w:r>
          </w:p>
        </w:tc>
        <w:tc>
          <w:tcPr>
            <w:tcW w:w="3320" w:type="dxa"/>
            <w:vAlign w:val="bottom"/>
          </w:tcPr>
          <w:p>
            <w:pPr>
              <w:ind w:left="140"/>
              <w:spacing w:after="0"/>
              <w:rPr>
                <w:sz w:val="20"/>
                <w:szCs w:val="20"/>
                <w:color w:val="auto"/>
              </w:rPr>
            </w:pPr>
            <w:r>
              <w:rPr>
                <w:rFonts w:ascii="Arial" w:cs="Arial" w:eastAsia="Arial" w:hAnsi="Arial"/>
                <w:sz w:val="18"/>
                <w:szCs w:val="18"/>
                <w:color w:val="auto"/>
              </w:rPr>
              <w:t>Not Applicable.</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(c)   Issuer Purchases of Equity Securities.</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500" w:type="dxa"/>
            <w:vAlign w:val="bottom"/>
          </w:tcPr>
          <w:p>
            <w:pPr>
              <w:jc w:val="center"/>
              <w:ind w:left="80"/>
              <w:spacing w:after="0" w:line="158" w:lineRule="exact"/>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Total Number of</w:t>
            </w: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500" w:type="dxa"/>
            <w:vAlign w:val="bottom"/>
          </w:tcPr>
          <w:p>
            <w:pPr>
              <w:jc w:val="center"/>
              <w:ind w:left="80"/>
              <w:spacing w:after="0" w:line="153" w:lineRule="exact"/>
              <w:rPr>
                <w:sz w:val="20"/>
                <w:szCs w:val="20"/>
                <w:color w:val="auto"/>
              </w:rPr>
            </w:pPr>
            <w:r>
              <w:rPr>
                <w:rFonts w:ascii="Arial" w:cs="Arial" w:eastAsia="Arial" w:hAnsi="Arial"/>
                <w:sz w:val="14"/>
                <w:szCs w:val="14"/>
                <w:b w:val="1"/>
                <w:bCs w:val="1"/>
                <w:color w:val="auto"/>
              </w:rPr>
              <w:t>Total Number of</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(b)</w:t>
            </w: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Shares Purchased as</w:t>
            </w:r>
          </w:p>
        </w:tc>
        <w:tc>
          <w:tcPr>
            <w:tcW w:w="1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80" w:type="dxa"/>
            <w:vAlign w:val="bottom"/>
            <w:gridSpan w:val="2"/>
          </w:tcPr>
          <w:p>
            <w:pPr>
              <w:jc w:val="center"/>
              <w:ind w:right="239"/>
              <w:spacing w:after="0" w:line="149" w:lineRule="exact"/>
              <w:rPr>
                <w:sz w:val="20"/>
                <w:szCs w:val="20"/>
                <w:color w:val="auto"/>
              </w:rPr>
            </w:pPr>
            <w:r>
              <w:rPr>
                <w:rFonts w:ascii="Arial" w:cs="Arial" w:eastAsia="Arial" w:hAnsi="Arial"/>
                <w:sz w:val="14"/>
                <w:szCs w:val="14"/>
                <w:b w:val="1"/>
                <w:bCs w:val="1"/>
                <w:color w:val="auto"/>
              </w:rPr>
              <w:t>Shares of Common</w:t>
            </w:r>
          </w:p>
        </w:tc>
        <w:tc>
          <w:tcPr>
            <w:tcW w:w="5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3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ind w:left="80"/>
              <w:spacing w:after="0"/>
              <w:rPr>
                <w:sz w:val="20"/>
                <w:szCs w:val="20"/>
                <w:color w:val="auto"/>
              </w:rPr>
            </w:pPr>
            <w:r>
              <w:rPr>
                <w:rFonts w:ascii="Arial" w:cs="Arial" w:eastAsia="Arial" w:hAnsi="Arial"/>
                <w:sz w:val="14"/>
                <w:szCs w:val="14"/>
                <w:b w:val="1"/>
                <w:bCs w:val="1"/>
                <w:color w:val="auto"/>
                <w:w w:val="99"/>
              </w:rPr>
              <w:t>Stock</w:t>
            </w:r>
          </w:p>
        </w:tc>
        <w:tc>
          <w:tcPr>
            <w:tcW w:w="48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tcPr>
          <w:p>
            <w:pPr>
              <w:jc w:val="center"/>
              <w:ind w:right="1"/>
              <w:spacing w:after="0"/>
              <w:rPr>
                <w:sz w:val="20"/>
                <w:szCs w:val="20"/>
                <w:color w:val="auto"/>
              </w:rPr>
            </w:pPr>
            <w:r>
              <w:rPr>
                <w:rFonts w:ascii="Arial" w:cs="Arial" w:eastAsia="Arial" w:hAnsi="Arial"/>
                <w:sz w:val="14"/>
                <w:szCs w:val="14"/>
                <w:b w:val="1"/>
                <w:bCs w:val="1"/>
                <w:color w:val="auto"/>
              </w:rPr>
              <w:t>Announced Plans or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97"/>
        </w:trPr>
        <w:tc>
          <w:tcPr>
            <w:tcW w:w="6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rPr>
              <w:t>Purchased</w:t>
            </w: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 Common 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3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2024 – January 31, 2024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69.96</w:t>
            </w:r>
          </w:p>
        </w:tc>
        <w:tc>
          <w:tcPr>
            <w:tcW w:w="16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1"/>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February 1, 2024 – February 29, 2024</w:t>
            </w:r>
          </w:p>
        </w:tc>
        <w:tc>
          <w:tcPr>
            <w:tcW w:w="1500" w:type="dxa"/>
            <w:vAlign w:val="bottom"/>
          </w:tcPr>
          <w:p>
            <w:pPr>
              <w:jc w:val="right"/>
              <w:spacing w:after="0"/>
              <w:rPr>
                <w:sz w:val="20"/>
                <w:szCs w:val="20"/>
                <w:color w:val="auto"/>
              </w:rPr>
            </w:pPr>
            <w:r>
              <w:rPr>
                <w:rFonts w:ascii="Arial" w:cs="Arial" w:eastAsia="Arial" w:hAnsi="Arial"/>
                <w:sz w:val="18"/>
                <w:szCs w:val="18"/>
                <w:color w:val="auto"/>
              </w:rPr>
              <w:t>1,275</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63.69</w:t>
            </w:r>
          </w:p>
        </w:tc>
        <w:tc>
          <w:tcPr>
            <w:tcW w:w="1640" w:type="dxa"/>
            <w:vAlign w:val="bottom"/>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2024 –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4"/>
        </w:trPr>
        <w:tc>
          <w:tcPr>
            <w:tcW w:w="680" w:type="dxa"/>
            <w:vAlign w:val="bottom"/>
          </w:tcPr>
          <w:p>
            <w:pPr>
              <w:ind w:left="2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12,546</w:t>
            </w:r>
          </w:p>
        </w:tc>
        <w:tc>
          <w:tcPr>
            <w:tcW w:w="480" w:type="dxa"/>
            <w:vAlign w:val="bottom"/>
          </w:tcPr>
          <w:p>
            <w:pPr>
              <w:spacing w:after="0"/>
              <w:rPr>
                <w:sz w:val="20"/>
                <w:szCs w:val="20"/>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69.32</w:t>
            </w:r>
          </w:p>
        </w:tc>
        <w:tc>
          <w:tcPr>
            <w:tcW w:w="1640" w:type="dxa"/>
            <w:vAlign w:val="bottom"/>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4"/>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___________</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820" w:hanging="328"/>
        <w:spacing w:after="0" w:line="266"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of common stock of BXP surrendered by employees to BXP to satisfy such employees’ tax withholding obligations in connection with the vesting of restricted common stock.</w:t>
      </w: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9" w:lineRule="exact"/>
        <w:rPr>
          <w:sz w:val="20"/>
          <w:szCs w:val="20"/>
          <w:color w:val="auto"/>
        </w:rPr>
      </w:pPr>
    </w:p>
    <w:p>
      <w:pPr>
        <w:ind w:left="980" w:hanging="486"/>
        <w:spacing w:after="0" w:line="255" w:lineRule="auto"/>
        <w:tabs>
          <w:tab w:leader="none" w:pos="9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March 31, 2024, in connection with issuances of common stock by BXP pursuant to issuances of restricted common stock to employees under the Boston Properties, Inc. 2021 Stock Incentive Plan and purchases of common stock under the Boston Properties, Inc. 1999 Employee Stock Purchase Plan, BPLP issued an aggregate of 84,546 common units to BXP in exchange for approximately $0.5 million, the aggregate proceeds of such common stock issuances to BXP. Such units were issued in reliance on an exemption from registration under Section 4(a)(2) of the Securities Act of 1933, as amended.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860" w:type="dxa"/>
            <w:vAlign w:val="bottom"/>
            <w:vMerge w:val="restart"/>
          </w:tcPr>
          <w:p>
            <w:pPr>
              <w:jc w:val="center"/>
              <w:ind w:left="398"/>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(b)</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 Units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Value) of Units that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7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Period</w:t>
            </w:r>
          </w:p>
        </w:tc>
        <w:tc>
          <w:tcPr>
            <w:tcW w:w="1860" w:type="dxa"/>
            <w:vAlign w:val="bottom"/>
          </w:tcPr>
          <w:p>
            <w:pPr>
              <w:jc w:val="center"/>
              <w:ind w:left="458"/>
              <w:spacing w:after="0" w:line="135" w:lineRule="exact"/>
              <w:rPr>
                <w:sz w:val="20"/>
                <w:szCs w:val="20"/>
                <w:color w:val="auto"/>
              </w:rPr>
            </w:pPr>
            <w:r>
              <w:rPr>
                <w:rFonts w:ascii="Arial" w:cs="Arial" w:eastAsia="Arial" w:hAnsi="Arial"/>
                <w:sz w:val="14"/>
                <w:szCs w:val="14"/>
                <w:b w:val="1"/>
                <w:bCs w:val="1"/>
                <w:color w:val="auto"/>
              </w:rPr>
              <w:t>Total Number of</w:t>
            </w:r>
          </w:p>
        </w:tc>
        <w:tc>
          <w:tcPr>
            <w:tcW w:w="480" w:type="dxa"/>
            <w:vAlign w:val="bottom"/>
          </w:tcPr>
          <w:p>
            <w:pPr>
              <w:spacing w:after="0"/>
              <w:rPr>
                <w:sz w:val="11"/>
                <w:szCs w:val="11"/>
                <w:color w:val="auto"/>
              </w:rPr>
            </w:pPr>
          </w:p>
        </w:tc>
        <w:tc>
          <w:tcPr>
            <w:tcW w:w="15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Average Price Paid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Publicly Announced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ind w:left="438"/>
              <w:spacing w:after="0"/>
              <w:rPr>
                <w:sz w:val="20"/>
                <w:szCs w:val="20"/>
                <w:color w:val="auto"/>
              </w:rPr>
            </w:pPr>
            <w:r>
              <w:rPr>
                <w:rFonts w:ascii="Arial" w:cs="Arial" w:eastAsia="Arial" w:hAnsi="Arial"/>
                <w:sz w:val="14"/>
                <w:szCs w:val="14"/>
                <w:b w:val="1"/>
                <w:bCs w:val="1"/>
                <w:color w:val="auto"/>
              </w:rPr>
              <w:t>Units Purchased</w:t>
            </w: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 Unit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2024 – January 31, 2024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69.96</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Arial" w:cs="Arial" w:eastAsia="Arial" w:hAnsi="Arial"/>
                <w:sz w:val="18"/>
                <w:szCs w:val="18"/>
                <w:color w:val="auto"/>
              </w:rPr>
              <w:t>February 1, 2024 – February 29, 2024</w:t>
            </w:r>
          </w:p>
        </w:tc>
        <w:tc>
          <w:tcPr>
            <w:tcW w:w="1860" w:type="dxa"/>
            <w:vAlign w:val="bottom"/>
          </w:tcPr>
          <w:p>
            <w:pPr>
              <w:jc w:val="right"/>
              <w:spacing w:after="0"/>
              <w:rPr>
                <w:sz w:val="20"/>
                <w:szCs w:val="20"/>
                <w:color w:val="auto"/>
              </w:rPr>
            </w:pPr>
            <w:r>
              <w:rPr>
                <w:rFonts w:ascii="Arial" w:cs="Arial" w:eastAsia="Arial" w:hAnsi="Arial"/>
                <w:sz w:val="18"/>
                <w:szCs w:val="18"/>
                <w:color w:val="auto"/>
              </w:rPr>
              <w:t>158,242</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0.76</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2024 – March 31, 2024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0.25</w:t>
            </w:r>
          </w:p>
        </w:tc>
        <w:tc>
          <w:tcPr>
            <w:tcW w:w="16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171,962</w:t>
            </w:r>
          </w:p>
        </w:tc>
        <w:tc>
          <w:tcPr>
            <w:tcW w:w="48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5.29</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6"/>
        </w:trPr>
        <w:tc>
          <w:tcPr>
            <w:tcW w:w="370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120" w:hanging="328"/>
        <w:spacing w:after="0" w:line="258" w:lineRule="auto"/>
        <w:tabs>
          <w:tab w:leader="none" w:pos="6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common units previously held by BXP that were redeemed in connection with the surrender of shares of restricted common stock of BXP by employees to BXP to satisfy such employees’ tax withholding obligations in connection with the vesting of restricted common stock.</w:t>
      </w:r>
    </w:p>
    <w:p>
      <w:pPr>
        <w:spacing w:after="0" w:line="124" w:lineRule="exact"/>
        <w:rPr>
          <w:rFonts w:ascii="Arial" w:cs="Arial" w:eastAsia="Arial" w:hAnsi="Arial"/>
          <w:sz w:val="18"/>
          <w:szCs w:val="18"/>
          <w:color w:val="auto"/>
        </w:rPr>
      </w:pPr>
    </w:p>
    <w:p>
      <w:pPr>
        <w:ind w:left="660" w:hanging="328"/>
        <w:spacing w:after="0" w:line="255" w:lineRule="auto"/>
        <w:tabs>
          <w:tab w:leader="none" w:pos="6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155,625 2021 MYLTIP units. The measurement period for such 2021 MYLTIP units ended on February 1, 2024 and BXP’s total return to stockholders was sufficient for employees to earn and therefore become eligible to vest in a portion of the 2021 MYLTIP units. Also includes 1,342 LTIP units that were repurchased in connection with the termination of an employee’s employment with BXP. Under the terms of the applicable 2021 MYLTIP award agreements and LTIP unit vesting agreements, the 155,625 unearned 2021 MYLTIP units and 1,342 LTIP units were repurchased at a price of $0.25 per unit, which was the amount originally paid by each employee for the units. Also includes 1,275 common units previously held by BXP that were redeemed in connection with the surrender of shares of restricted common stock of BXP by employees to BXP to satisfy such employees’ tax withholding obligations in connection with the vesting of restricted common stock.</w:t>
      </w:r>
    </w:p>
    <w:p>
      <w:pPr>
        <w:spacing w:after="0" w:line="130" w:lineRule="exact"/>
        <w:rPr>
          <w:rFonts w:ascii="Arial" w:cs="Arial" w:eastAsia="Arial" w:hAnsi="Arial"/>
          <w:sz w:val="18"/>
          <w:szCs w:val="18"/>
          <w:color w:val="auto"/>
        </w:rPr>
      </w:pPr>
    </w:p>
    <w:p>
      <w:pPr>
        <w:ind w:left="660" w:right="160" w:hanging="328"/>
        <w:spacing w:after="0" w:line="268" w:lineRule="auto"/>
        <w:tabs>
          <w:tab w:leader="none" w:pos="6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LTIP units that were repurchased in connection with the termination of an employee’s employment with BXP. Under the terms of the applicable LTIP unit vesting agreements, the LTIP units were repurchased at a price of $0.25 per unit, which was the amount originally paid by the employee for the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144" w:lineRule="exact"/>
        <w:rPr>
          <w:sz w:val="20"/>
          <w:szCs w:val="20"/>
          <w:color w:val="auto"/>
        </w:rPr>
      </w:pPr>
    </w:p>
    <w:p>
      <w:pPr>
        <w:ind w:left="980" w:hanging="486"/>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jc w:val="both"/>
        <w:ind w:left="980" w:right="280" w:hanging="486"/>
        <w:spacing w:after="0" w:line="268" w:lineRule="auto"/>
        <w:tabs>
          <w:tab w:leader="none" w:pos="9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the three months ended March 31, 2024,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9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8"/>
          <w:szCs w:val="18"/>
          <w:color w:val="auto"/>
        </w:rPr>
        <w:t>(a)</w:t>
        <w:tab/>
        <w:t>Exhibits</w:t>
      </w:r>
    </w:p>
    <w:p>
      <w:pPr>
        <w:spacing w:after="0" w:line="144" w:lineRule="exact"/>
        <w:rPr>
          <w:sz w:val="20"/>
          <w:szCs w:val="20"/>
          <w:color w:val="auto"/>
        </w:rPr>
      </w:pPr>
    </w:p>
    <w:p>
      <w:pPr>
        <w:ind w:left="1360" w:hanging="687"/>
        <w:spacing w:after="0"/>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(Filed herewith.)</w:t>
      </w:r>
    </w:p>
    <w:p>
      <w:pPr>
        <w:spacing w:after="0" w:line="207" w:lineRule="exact"/>
        <w:rPr>
          <w:sz w:val="20"/>
          <w:szCs w:val="20"/>
          <w:color w:val="auto"/>
        </w:rPr>
      </w:pPr>
    </w:p>
    <w:p>
      <w:pPr>
        <w:ind w:left="1360" w:right="60" w:hanging="687"/>
        <w:spacing w:after="0"/>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(Filed herewith.)</w:t>
      </w:r>
    </w:p>
    <w:p>
      <w:pPr>
        <w:spacing w:after="0" w:line="207" w:lineRule="exact"/>
        <w:rPr>
          <w:sz w:val="20"/>
          <w:szCs w:val="20"/>
          <w:color w:val="auto"/>
        </w:rPr>
      </w:pPr>
    </w:p>
    <w:p>
      <w:pPr>
        <w:ind w:left="1360" w:right="60" w:hanging="687"/>
        <w:spacing w:after="0"/>
        <w:rPr>
          <w:sz w:val="20"/>
          <w:szCs w:val="20"/>
          <w:color w:val="auto"/>
        </w:rPr>
      </w:pPr>
      <w:r>
        <w:rPr>
          <w:rFonts w:ascii="Arial" w:cs="Arial" w:eastAsia="Arial" w:hAnsi="Arial"/>
          <w:sz w:val="18"/>
          <w:szCs w:val="18"/>
          <w:color w:val="auto"/>
        </w:rPr>
        <w:t xml:space="preserve">31.3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120" w:hanging="687"/>
        <w:spacing w:after="0"/>
        <w:rPr>
          <w:sz w:val="20"/>
          <w:szCs w:val="20"/>
          <w:color w:val="auto"/>
        </w:rPr>
      </w:pPr>
      <w:r>
        <w:rPr>
          <w:rFonts w:ascii="Arial" w:cs="Arial" w:eastAsia="Arial" w:hAnsi="Arial"/>
          <w:sz w:val="18"/>
          <w:szCs w:val="18"/>
          <w:color w:val="auto"/>
        </w:rPr>
        <w:t xml:space="preserve">31.4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20" w:hanging="687"/>
        <w:spacing w:after="0"/>
        <w:rPr>
          <w:sz w:val="20"/>
          <w:szCs w:val="20"/>
          <w:color w:val="auto"/>
        </w:rPr>
      </w:pPr>
      <w:r>
        <w:rPr>
          <w:rFonts w:ascii="Arial" w:cs="Arial" w:eastAsia="Arial" w:hAnsi="Arial"/>
          <w:sz w:val="18"/>
          <w:szCs w:val="18"/>
          <w:color w:val="auto"/>
        </w:rPr>
        <w:t xml:space="preserve">32.1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(Furnished herewith.)</w:t>
      </w:r>
    </w:p>
    <w:p>
      <w:pPr>
        <w:spacing w:after="0" w:line="207" w:lineRule="exact"/>
        <w:rPr>
          <w:sz w:val="20"/>
          <w:szCs w:val="20"/>
          <w:color w:val="auto"/>
        </w:rPr>
      </w:pPr>
    </w:p>
    <w:p>
      <w:pPr>
        <w:ind w:left="1360" w:right="80" w:hanging="687"/>
        <w:spacing w:after="0"/>
        <w:rPr>
          <w:sz w:val="20"/>
          <w:szCs w:val="20"/>
          <w:color w:val="auto"/>
        </w:rPr>
      </w:pPr>
      <w:r>
        <w:rPr>
          <w:rFonts w:ascii="Arial" w:cs="Arial" w:eastAsia="Arial" w:hAnsi="Arial"/>
          <w:sz w:val="18"/>
          <w:szCs w:val="18"/>
          <w:color w:val="auto"/>
        </w:rPr>
        <w:t xml:space="preserve">32.2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(Furnished herewith.)</w:t>
      </w:r>
    </w:p>
    <w:p>
      <w:pPr>
        <w:spacing w:after="0" w:line="207" w:lineRule="exact"/>
        <w:rPr>
          <w:sz w:val="20"/>
          <w:szCs w:val="20"/>
          <w:color w:val="auto"/>
        </w:rPr>
      </w:pPr>
    </w:p>
    <w:p>
      <w:pPr>
        <w:ind w:left="1360" w:right="60" w:hanging="687"/>
        <w:spacing w:after="0"/>
        <w:rPr>
          <w:sz w:val="20"/>
          <w:szCs w:val="20"/>
          <w:color w:val="auto"/>
        </w:rPr>
      </w:pPr>
      <w:r>
        <w:rPr>
          <w:rFonts w:ascii="Arial" w:cs="Arial" w:eastAsia="Arial" w:hAnsi="Arial"/>
          <w:sz w:val="18"/>
          <w:szCs w:val="18"/>
          <w:color w:val="auto"/>
        </w:rPr>
        <w:t xml:space="preserve">32.3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7" w:lineRule="exact"/>
        <w:rPr>
          <w:sz w:val="20"/>
          <w:szCs w:val="20"/>
          <w:color w:val="auto"/>
        </w:rPr>
      </w:pPr>
    </w:p>
    <w:p>
      <w:pPr>
        <w:ind w:left="1360" w:right="120" w:hanging="687"/>
        <w:spacing w:after="0"/>
        <w:rPr>
          <w:sz w:val="20"/>
          <w:szCs w:val="20"/>
          <w:color w:val="auto"/>
        </w:rPr>
      </w:pPr>
      <w:r>
        <w:rPr>
          <w:rFonts w:ascii="Arial" w:cs="Arial" w:eastAsia="Arial" w:hAnsi="Arial"/>
          <w:sz w:val="18"/>
          <w:szCs w:val="18"/>
          <w:color w:val="auto"/>
        </w:rPr>
        <w:t xml:space="preserve">32.4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 Inline XBRL Taxonomy Extension Schema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101.CAL — Inline XBRL Taxonomy Extension Calculation Linkbase Document. (Filed herewith.)</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101.LAB — Inline XBRL Taxonomy Extension Label Linkbase Document. (Filed herewith.)</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 Inline XBRL Taxonomy Extension Presentation Linkbase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101.DEF — Inline XBRL Taxonomy Extension Definition Linkbase Document. (Filed herewith.)</w:t>
      </w:r>
    </w:p>
    <w:p>
      <w:pPr>
        <w:spacing w:after="0" w:line="77" w:lineRule="exact"/>
        <w:rPr>
          <w:sz w:val="20"/>
          <w:szCs w:val="20"/>
          <w:color w:val="auto"/>
        </w:rPr>
      </w:pPr>
    </w:p>
    <w:p>
      <w:pPr>
        <w:ind w:left="1360" w:right="20" w:hanging="636"/>
        <w:spacing w:after="0"/>
        <w:tabs>
          <w:tab w:leader="none" w:pos="11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83" w:right="6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BOSTON PROPERTIES, INC.</w:t>
      </w:r>
    </w:p>
    <w:p>
      <w:pPr>
        <w:spacing w:after="0" w:line="320" w:lineRule="exact"/>
        <w:rPr>
          <w:sz w:val="20"/>
          <w:szCs w:val="20"/>
          <w:color w:val="auto"/>
        </w:rPr>
      </w:pPr>
    </w:p>
    <w:p>
      <w:pPr>
        <w:ind w:left="1140"/>
        <w:spacing w:after="0"/>
        <w:tabs>
          <w:tab w:leader="none" w:pos="6900" w:val="left"/>
          <w:tab w:leader="none" w:pos="7280" w:val="left"/>
        </w:tabs>
        <w:rPr>
          <w:sz w:val="20"/>
          <w:szCs w:val="20"/>
          <w:color w:val="auto"/>
        </w:rPr>
      </w:pPr>
      <w:r>
        <w:rPr>
          <w:rFonts w:ascii="Arial" w:cs="Arial" w:eastAsia="Arial" w:hAnsi="Arial"/>
          <w:sz w:val="18"/>
          <w:szCs w:val="18"/>
          <w:color w:val="auto"/>
        </w:rPr>
        <w:t>May 10, 2024</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34925</wp:posOffset>
            </wp:positionV>
            <wp:extent cx="2674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3"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Michael R. Walsh</w:t>
      </w:r>
    </w:p>
    <w:p>
      <w:pPr>
        <w:spacing w:after="0" w:line="8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Chief Accounting Officer</w:t>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83" w:right="71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80" w:type="dxa"/>
            <w:vAlign w:val="bottom"/>
          </w:tcPr>
          <w:p>
            <w:pPr>
              <w:spacing w:after="0"/>
              <w:rPr>
                <w:sz w:val="20"/>
                <w:szCs w:val="20"/>
                <w:color w:val="auto"/>
              </w:rPr>
            </w:pP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BOSTON PROPERTIES LIMITED PARTNERSHIP</w:t>
            </w:r>
          </w:p>
        </w:tc>
      </w:tr>
      <w:tr>
        <w:trPr>
          <w:trHeight w:val="270"/>
        </w:trPr>
        <w:tc>
          <w:tcPr>
            <w:tcW w:w="2680" w:type="dxa"/>
            <w:vAlign w:val="bottom"/>
          </w:tcPr>
          <w:p>
            <w:pPr>
              <w:spacing w:after="0"/>
              <w:rPr>
                <w:sz w:val="23"/>
                <w:szCs w:val="23"/>
                <w:color w:val="auto"/>
              </w:rPr>
            </w:pPr>
          </w:p>
        </w:tc>
        <w:tc>
          <w:tcPr>
            <w:tcW w:w="6300" w:type="dxa"/>
            <w:vAlign w:val="bottom"/>
            <w:gridSpan w:val="2"/>
          </w:tcPr>
          <w:p>
            <w:pPr>
              <w:ind w:left="1600"/>
              <w:spacing w:after="0"/>
              <w:rPr>
                <w:sz w:val="20"/>
                <w:szCs w:val="20"/>
                <w:color w:val="auto"/>
              </w:rPr>
            </w:pPr>
            <w:r>
              <w:rPr>
                <w:rFonts w:ascii="Arial" w:cs="Arial" w:eastAsia="Arial" w:hAnsi="Arial"/>
                <w:sz w:val="18"/>
                <w:szCs w:val="18"/>
                <w:color w:val="auto"/>
              </w:rPr>
              <w:t>By: Boston Properties, Inc., its General Partner</w:t>
            </w:r>
          </w:p>
        </w:tc>
      </w:tr>
      <w:tr>
        <w:trPr>
          <w:trHeight w:val="536"/>
        </w:trPr>
        <w:tc>
          <w:tcPr>
            <w:tcW w:w="2680" w:type="dxa"/>
            <w:vAlign w:val="bottom"/>
          </w:tcPr>
          <w:p>
            <w:pPr>
              <w:spacing w:after="0"/>
              <w:rPr>
                <w:sz w:val="20"/>
                <w:szCs w:val="20"/>
                <w:color w:val="auto"/>
              </w:rPr>
            </w:pPr>
            <w:r>
              <w:rPr>
                <w:rFonts w:ascii="Arial" w:cs="Arial" w:eastAsia="Arial" w:hAnsi="Arial"/>
                <w:sz w:val="18"/>
                <w:szCs w:val="18"/>
                <w:color w:val="auto"/>
              </w:rPr>
              <w:t>May 10, 2024</w:t>
            </w:r>
          </w:p>
        </w:tc>
        <w:tc>
          <w:tcPr>
            <w:tcW w:w="2080" w:type="dxa"/>
            <w:vAlign w:val="bottom"/>
          </w:tcPr>
          <w:p>
            <w:pPr>
              <w:spacing w:after="0"/>
              <w:rPr>
                <w:sz w:val="24"/>
                <w:szCs w:val="24"/>
                <w:color w:val="auto"/>
              </w:rPr>
            </w:pPr>
          </w:p>
        </w:tc>
        <w:tc>
          <w:tcPr>
            <w:tcW w:w="4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tc>
      </w:tr>
    </w:tbl>
    <w:p>
      <w:pPr>
        <w:spacing w:after="0" w:line="4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Michael R. Walsh</w:t>
      </w:r>
    </w:p>
    <w:p>
      <w:pPr>
        <w:spacing w:after="0" w:line="4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Chief Accounting Officer</w:t>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860"/>
          </w:cols>
          <w:pgMar w:left="320" w:top="283" w:right="7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3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52"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100"/>
        <w:spacing w:after="0" w:line="211"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2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5" w:lineRule="exact"/>
        <w:rPr>
          <w:sz w:val="20"/>
          <w:szCs w:val="20"/>
          <w:color w:val="auto"/>
        </w:rPr>
      </w:pPr>
    </w:p>
    <w:p>
      <w:pPr>
        <w:jc w:val="center"/>
        <w:ind w:left="6160"/>
        <w:spacing w:after="0"/>
        <w:rPr>
          <w:sz w:val="20"/>
          <w:szCs w:val="20"/>
          <w:color w:val="auto"/>
        </w:rPr>
      </w:pPr>
      <w:r>
        <w:rPr>
          <w:rFonts w:ascii="Arial" w:cs="Arial" w:eastAsia="Arial" w:hAnsi="Arial"/>
          <w:sz w:val="16"/>
          <w:szCs w:val="16"/>
          <w:b w:val="1"/>
          <w:bCs w:val="1"/>
          <w:color w:val="auto"/>
        </w:rPr>
        <w:t>Michael E. LaBelle</w:t>
      </w:r>
    </w:p>
    <w:p>
      <w:pPr>
        <w:jc w:val="center"/>
        <w:ind w:left="6160"/>
        <w:spacing w:after="0" w:line="211"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6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undersigned officer of Boston Properties, Inc. (the “Company”) hereby certifies to his knowledge that the Company’s Quarterly Report on Form 10-Q for the period ended March 31,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37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undersigned officer of Boston Properties, Inc. (the “Company”) hereby certifies to his knowledge that the Company's Quarterly Report on Form 10-Q for the period ended March 31,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980"/>
        <w:spacing w:after="0"/>
        <w:tabs>
          <w:tab w:leader="none" w:pos="834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37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March 31,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40"/>
        <w:spacing w:after="0"/>
        <w:tabs>
          <w:tab w:leader="none" w:pos="802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100"/>
        <w:spacing w:after="0" w:line="211"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322"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March 31,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0"/>
        <w:spacing w:after="0"/>
        <w:tabs>
          <w:tab w:leader="none" w:pos="796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100"/>
        <w:spacing w:after="0" w:line="211"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lvl w:ilvl="1">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lowerRoman"/>
      <w:start w:val="1"/>
    </w:lvl>
  </w:abstractNum>
  <w:abstractNum w:abstractNumId="9">
    <w:nsid w:val="6A2342EC"/>
    <w:multiLevelType w:val="hybridMultilevel"/>
    <w:lvl w:ilvl="0">
      <w:lvlJc w:val="left"/>
      <w:lvlText w:val="(%1)"/>
      <w:numFmt w:val="lowerRoman"/>
      <w:start w:val="3"/>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4"/>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5"/>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6"/>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
    </w:lvl>
    <w:lvl w:ilvl="1">
      <w:lvlJc w:val="left"/>
      <w:lvlText w:val="(%2)"/>
      <w:numFmt w:val="decimal"/>
      <w:start w:val="1"/>
    </w:lvl>
  </w:abstractNum>
  <w:abstractNum w:abstractNumId="24">
    <w:nsid w:val="749ABB43"/>
    <w:multiLevelType w:val="hybridMultilevel"/>
    <w:lvl w:ilvl="0">
      <w:lvlJc w:val="left"/>
      <w:lvlText w:val="%1."/>
      <w:numFmt w:val="decimal"/>
      <w:start w:val="12"/>
    </w:lvl>
    <w:lvl w:ilvl="1">
      <w:lvlJc w:val="left"/>
      <w:lvlText w:val="%2"/>
      <w:numFmt w:val="decimal"/>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6"/>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9"/>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lvl w:ilvl="1">
      <w:lvlJc w:val="left"/>
      <w:lvlText w:val="(%2)"/>
      <w:numFmt w:val="lowerRoman"/>
      <w:start w:val="1"/>
    </w:lvl>
  </w:abstractNum>
  <w:abstractNum w:abstractNumId="56">
    <w:nsid w:val="1DBABF00"/>
    <w:multiLevelType w:val="hybridMultilevel"/>
    <w:lvl w:ilvl="0">
      <w:lvlJc w:val="left"/>
      <w:lvlText w:val="(%1)"/>
      <w:numFmt w:val="lowerRoman"/>
      <w:start w:val="2"/>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2"/>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6"/>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decimal"/>
      <w:start w:val="104"/>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2024-05-10T09:55:17Z</dcterms:created>
  <dcterms:modified xsi:type="dcterms:W3CDTF">2024-05-10T09:55:17Z</dcterms:modified>
</cp:coreProperties>
</file>