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7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Einiger Carol B.</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8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BOSTON PROPERTIES, INC.</w:t>
            </w:r>
          </w:p>
        </w:tc>
        <w:tc>
          <w:tcPr>
            <w:tcW w:w="11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5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8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BOSTON PROPERTIES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BXP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12/31/2023</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391.91</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28,381.63</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12/31/2023</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391.91</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70.17</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Boston Properties, Inc. common stock on a 1-for-1 basis.</w:t>
      </w:r>
    </w:p>
    <w:p>
      <w:pPr>
        <w:spacing w:after="0" w:line="44" w:lineRule="exact"/>
        <w:rPr>
          <w:rFonts w:ascii="Times New Roman" w:cs="Times New Roman" w:eastAsia="Times New Roman" w:hAnsi="Times New Roman"/>
          <w:sz w:val="13"/>
          <w:szCs w:val="13"/>
          <w:color w:val="008000"/>
        </w:rPr>
      </w:pPr>
    </w:p>
    <w:p>
      <w:pPr>
        <w:ind w:left="40" w:right="3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the Boston Properties, Inc. ("BXP")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ectPr>
          <w:pgSz w:w="11900" w:h="16838" w:orient="portrait"/>
          <w:cols w:equalWidth="0" w:num="1">
            <w:col w:w="11080"/>
          </w:cols>
          <w:pgMar w:left="460" w:top="217"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Includes 502.84 Phantom Stock Units received pursuant to dividend equivalent rights which were credited to the reporting person on October 31, 2023.</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Kelli A DiLuglio,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16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668"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2024-01-02T14:00:29Z</dcterms:created>
  <dcterms:modified xsi:type="dcterms:W3CDTF">2024-01-02T14:00:29Z</dcterms:modified>
</cp:coreProperties>
</file>