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70842.xml.htm"/>
      <w:bookmarkStart w:id="1" w:name="kswkform4_17908708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Richardson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BOYLSTON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BXP, Inc.</w:t>
              </w:r>
            </w:hyperlink>
            <w:r>
              <w:rPr/>
              <w:t xml:space="preserve"> [ </w:t>
            </w:r>
            <w:r>
              <w:rPr>
                <w:rFonts w:ascii="Times;serif" w:hAnsi="Times;serif"/>
                <w:color w:val="0000FF"/>
                <w:sz w:val="24"/>
                <w:shd w:fill="FFFFFF" w:val="clear"/>
              </w:rPr>
              <w:t>BXP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409.1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61.11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2,174.62</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convert to BXP, Inc. ("BXP")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17.45 Phantom Stock Units received pursuant to dividend equivalent rights which were credited to the Reporting Person on July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Kelli A. DiLuglio,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6857" TargetMode="External"/><Relationship Id="rId5" Type="http://schemas.openxmlformats.org/officeDocument/2006/relationships/hyperlink" Target="http://www.sec.gov/cgi-bin/browse-edgar?action=getcompany&amp;CIK=0001037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768</Words>
  <Characters>4107</Characters>
  <CharactersWithSpaces>4802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