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20" w:type="dxa"/>
            <w:vAlign w:val="bottom"/>
            <w:gridSpan w:val="17"/>
            <w:vMerge w:val="restart"/>
          </w:tcPr>
          <w:p>
            <w:pPr>
              <w:jc w:val="center"/>
              <w:ind w:right="137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  <w:vMerge w:val="restart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ZUCKERMAN MORTIMER B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BOSTON PROPERTIES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BXP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MORTIMER ZUCKERMAN COMPANY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510 MADISON AVENUE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$.01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718,844.7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Kelli A. DiLuglio,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-6511925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06186" TargetMode="External"/><Relationship Id="rId9" Type="http://schemas.openxmlformats.org/officeDocument/2006/relationships/hyperlink" Target="http://www.sec.gov/cgi-bin/browse-edgar?action=getcompany&amp;CIK=00010375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2019-12-06T16:47:31Z</dcterms:created>
  <dcterms:modified xsi:type="dcterms:W3CDTF">2019-12-06T16:47:31Z</dcterms:modified>
</cp:coreProperties>
</file>