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911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Einiger Carol B.</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180"/>
              <w:spacing w:after="0"/>
              <w:rPr>
                <w:sz w:val="20"/>
                <w:szCs w:val="20"/>
                <w:color w:val="auto"/>
              </w:rPr>
            </w:pPr>
            <w:r>
              <w:rPr>
                <w:rFonts w:ascii="Arial" w:cs="Arial" w:eastAsia="Arial" w:hAnsi="Arial"/>
                <w:sz w:val="13"/>
                <w:szCs w:val="13"/>
                <w:color w:val="auto"/>
              </w:rPr>
              <w:t>(First)</w:t>
            </w:r>
          </w:p>
        </w:tc>
        <w:tc>
          <w:tcPr>
            <w:tcW w:w="148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4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1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180"/>
              <w:spacing w:after="0"/>
              <w:rPr>
                <w:sz w:val="20"/>
                <w:szCs w:val="20"/>
                <w:color w:val="auto"/>
              </w:rPr>
            </w:pPr>
            <w:r>
              <w:rPr>
                <w:rFonts w:ascii="Arial" w:cs="Arial" w:eastAsia="Arial" w:hAnsi="Arial"/>
                <w:sz w:val="13"/>
                <w:szCs w:val="13"/>
                <w:color w:val="auto"/>
              </w:rPr>
              <w:t>(State)</w:t>
            </w:r>
          </w:p>
        </w:tc>
        <w:tc>
          <w:tcPr>
            <w:tcW w:w="14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BXP,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BXP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9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06/30/2024</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435.21</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30,097.62</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06/30/2024</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435.21</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61.56</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change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462.37 Phantom Stock Units received pursuant to dividend equivalent rights which were credited to the Reporting Person on April 30,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07/01/2024</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668"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2024-07-01T14:41:21Z</dcterms:created>
  <dcterms:modified xsi:type="dcterms:W3CDTF">2024-07-01T14:41:21Z</dcterms:modified>
</cp:coreProperties>
</file>