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09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0951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LABELLE MICHAEL 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20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BXP</w:t>
            </w:r>
          </w:p>
        </w:tc>
        <w:tc>
          <w:tcPr>
            <w:tcW w:w="1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 BOYLSTON STREET</w:t>
            </w:r>
          </w:p>
        </w:tc>
        <w:tc>
          <w:tcPr>
            <w:tcW w:w="14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r>
      <w:tr>
        <w:trPr>
          <w:trHeight w:val="25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02199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BOSTON PROPERTIES LTD</w:t>
              </w:r>
            </w:hyperlink>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4"/>
            <w:vMerge w:val="restart"/>
          </w:tcPr>
          <w:p>
            <w:pPr>
              <w:ind w:left="6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PARTNERSHIP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820" w:type="dxa"/>
            <w:vAlign w:val="bottom"/>
            <w:gridSpan w:val="4"/>
            <w:vMerge w:val="continue"/>
          </w:tcPr>
          <w:p>
            <w:pPr>
              <w:spacing w:after="0"/>
              <w:rPr>
                <w:sz w:val="7"/>
                <w:szCs w:val="7"/>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13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382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940"/>
              <w:spacing w:after="0" w:line="181" w:lineRule="exact"/>
              <w:rPr>
                <w:sz w:val="20"/>
                <w:szCs w:val="20"/>
                <w:color w:val="auto"/>
              </w:rPr>
            </w:pPr>
            <w:r>
              <w:rPr>
                <w:rFonts w:ascii="Times New Roman" w:cs="Times New Roman" w:eastAsia="Times New Roman" w:hAnsi="Times New Roman"/>
                <w:sz w:val="17"/>
                <w:szCs w:val="17"/>
                <w:color w:val="0000FF"/>
              </w:rPr>
              <w:t>EVP and CFO of GP</w:t>
            </w:r>
          </w:p>
        </w:tc>
        <w:tc>
          <w:tcPr>
            <w:tcW w:w="0" w:type="dxa"/>
            <w:vAlign w:val="bottom"/>
          </w:tcPr>
          <w:p>
            <w:pPr>
              <w:spacing w:after="0"/>
              <w:rPr>
                <w:sz w:val="1"/>
                <w:szCs w:val="1"/>
                <w:color w:val="auto"/>
              </w:rPr>
            </w:pPr>
          </w:p>
        </w:tc>
      </w:tr>
      <w:tr>
        <w:trPr>
          <w:trHeight w:val="218"/>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06/04/2026</w:t>
            </w: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3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2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2"/>
          </w:tcPr>
          <w:p>
            <w:pPr>
              <w:jc w:val="center"/>
              <w:ind w:left="633"/>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3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6"/>
              </w:rPr>
              <w:t>Common OP Units</w:t>
            </w:r>
            <w:r>
              <w:rPr>
                <w:rFonts w:ascii="Times New Roman" w:cs="Times New Roman" w:eastAsia="Times New Roman" w:hAnsi="Times New Roman"/>
                <w:sz w:val="21"/>
                <w:szCs w:val="21"/>
                <w:color w:val="008000"/>
                <w:w w:val="96"/>
                <w:vertAlign w:val="superscript"/>
              </w:rPr>
              <w:t>(1)</w:t>
            </w: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33"/>
              <w:spacing w:after="0"/>
              <w:rPr>
                <w:sz w:val="20"/>
                <w:szCs w:val="20"/>
                <w:color w:val="auto"/>
              </w:rPr>
            </w:pPr>
            <w:r>
              <w:rPr>
                <w:rFonts w:ascii="Times New Roman" w:cs="Times New Roman" w:eastAsia="Times New Roman" w:hAnsi="Times New Roman"/>
                <w:sz w:val="17"/>
                <w:szCs w:val="17"/>
                <w:color w:val="0000FF"/>
                <w:w w:val="98"/>
              </w:rPr>
              <w:t>06/04/2026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91"/>
                <w:vertAlign w:val="subscript"/>
              </w:rPr>
              <w:t>C</w:t>
            </w:r>
            <w:r>
              <w:rPr>
                <w:rFonts w:ascii="Times New Roman" w:cs="Times New Roman" w:eastAsia="Times New Roman" w:hAnsi="Times New Roman"/>
                <w:sz w:val="11"/>
                <w:szCs w:val="11"/>
                <w:color w:val="008000"/>
                <w:w w:val="91"/>
              </w:rPr>
              <w:t>(2)</w:t>
            </w: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23,981</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134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23,981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6"/>
              </w:rPr>
              <w:t>Common OP Units</w:t>
            </w:r>
            <w:r>
              <w:rPr>
                <w:rFonts w:ascii="Times New Roman" w:cs="Times New Roman" w:eastAsia="Times New Roman" w:hAnsi="Times New Roman"/>
                <w:sz w:val="21"/>
                <w:szCs w:val="21"/>
                <w:color w:val="008000"/>
                <w:w w:val="96"/>
                <w:vertAlign w:val="superscript"/>
              </w:rPr>
              <w:t>(1)</w:t>
            </w: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33"/>
              <w:spacing w:after="0"/>
              <w:rPr>
                <w:sz w:val="20"/>
                <w:szCs w:val="20"/>
                <w:color w:val="auto"/>
              </w:rPr>
            </w:pPr>
            <w:r>
              <w:rPr>
                <w:rFonts w:ascii="Times New Roman" w:cs="Times New Roman" w:eastAsia="Times New Roman" w:hAnsi="Times New Roman"/>
                <w:sz w:val="17"/>
                <w:szCs w:val="17"/>
                <w:color w:val="0000FF"/>
                <w:w w:val="98"/>
              </w:rPr>
              <w:t>06/04/2026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91"/>
                <w:vertAlign w:val="subscript"/>
              </w:rPr>
              <w:t>C</w:t>
            </w:r>
            <w:r>
              <w:rPr>
                <w:rFonts w:ascii="Times New Roman" w:cs="Times New Roman" w:eastAsia="Times New Roman" w:hAnsi="Times New Roman"/>
                <w:sz w:val="11"/>
                <w:szCs w:val="11"/>
                <w:color w:val="008000"/>
                <w:w w:val="91"/>
              </w:rPr>
              <w:t>(2)</w:t>
            </w: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23,981</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10"/>
          </w:tcPr>
          <w:p>
            <w:pPr>
              <w:jc w:val="right"/>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w w:val="88"/>
              </w:rPr>
              <w:t>Title</w:t>
            </w:r>
          </w:p>
        </w:tc>
        <w:tc>
          <w:tcPr>
            <w:tcW w:w="38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0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5"/>
                <w:szCs w:val="15"/>
                <w:color w:val="auto"/>
              </w:rPr>
            </w:pPr>
          </w:p>
        </w:tc>
        <w:tc>
          <w:tcPr>
            <w:tcW w:w="720" w:type="dxa"/>
            <w:vAlign w:val="bottom"/>
            <w:vMerge w:val="restart"/>
          </w:tcPr>
          <w:p>
            <w:pPr>
              <w:jc w:val="center"/>
              <w:ind w:right="362"/>
              <w:spacing w:after="0"/>
              <w:rPr>
                <w:sz w:val="20"/>
                <w:szCs w:val="20"/>
                <w:color w:val="auto"/>
              </w:rPr>
            </w:pPr>
            <w:r>
              <w:rPr>
                <w:rFonts w:ascii="Times New Roman" w:cs="Times New Roman" w:eastAsia="Times New Roman" w:hAnsi="Times New Roman"/>
                <w:sz w:val="13"/>
                <w:szCs w:val="13"/>
                <w:color w:val="0000FF"/>
              </w:rPr>
              <w:t>C</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23,981</w:t>
            </w:r>
          </w:p>
        </w:tc>
        <w:tc>
          <w:tcPr>
            <w:tcW w:w="7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23,981</w:t>
            </w:r>
          </w:p>
        </w:tc>
        <w:tc>
          <w:tcPr>
            <w:tcW w:w="7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300,395</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ind w:left="60"/>
              <w:spacing w:after="0" w:line="33" w:lineRule="exact"/>
              <w:rPr>
                <w:sz w:val="20"/>
                <w:szCs w:val="20"/>
                <w:color w:val="auto"/>
              </w:rPr>
            </w:pPr>
            <w:r>
              <w:rPr>
                <w:rFonts w:ascii="Times New Roman" w:cs="Times New Roman" w:eastAsia="Times New Roman" w:hAnsi="Times New Roman"/>
                <w:sz w:val="2"/>
                <w:szCs w:val="2"/>
                <w:color w:val="0000FF"/>
              </w:rPr>
              <w:t>Units</w:t>
            </w:r>
            <w:r>
              <w:rPr>
                <w:rFonts w:ascii="Times New Roman" w:cs="Times New Roman" w:eastAsia="Times New Roman" w:hAnsi="Times New Roman"/>
                <w:sz w:val="3"/>
                <w:szCs w:val="3"/>
                <w:color w:val="008000"/>
                <w:vertAlign w:val="superscript"/>
              </w:rPr>
              <w:t>(3)</w:t>
            </w:r>
          </w:p>
        </w:tc>
        <w:tc>
          <w:tcPr>
            <w:tcW w:w="82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80" w:type="dxa"/>
            <w:vAlign w:val="bottom"/>
            <w:gridSpan w:val="2"/>
          </w:tcPr>
          <w:p>
            <w:pPr>
              <w:ind w:left="60"/>
              <w:spacing w:after="0" w:line="33" w:lineRule="exact"/>
              <w:rPr>
                <w:sz w:val="20"/>
                <w:szCs w:val="20"/>
                <w:color w:val="auto"/>
              </w:rPr>
            </w:pPr>
            <w:r>
              <w:rPr>
                <w:rFonts w:ascii="Times New Roman" w:cs="Times New Roman" w:eastAsia="Times New Roman" w:hAnsi="Times New Roman"/>
                <w:sz w:val="3"/>
                <w:szCs w:val="3"/>
                <w:color w:val="0000FF"/>
              </w:rPr>
              <w:t>OP Units</w:t>
            </w:r>
          </w:p>
        </w:tc>
        <w:tc>
          <w:tcPr>
            <w:tcW w:w="52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(2)</w:t>
            </w:r>
          </w:p>
        </w:tc>
        <w:tc>
          <w:tcPr>
            <w:tcW w:w="9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-1938655</wp:posOffset>
            </wp:positionV>
            <wp:extent cx="29210" cy="1943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4373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units of limited partnership interest ("Common OP Units") in the Issuer. Each Common OP Unit may be presented for redemption, at the election of the holder, for cash equal to the then fair market value of a share of common stock of BXP, Inc. ("BXP"), the Issuer's sole general partner, except that BXP may at its election, acquire each Common OP Unit so presented for redemption for one share of BXP's common stock.</w:t>
      </w:r>
    </w:p>
    <w:p>
      <w:pPr>
        <w:spacing w:after="0" w:line="25"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23,981 of the reporting person's units of limited partnership interest ("LTIP Units") in the Issuer were converted into Common OP Units in the Issuer by the reporting person and the Common OP Units were redeemed for an equal number of shares of BXP's common stock, in accordance with the terms of the Issuer's Partnership Agreement.</w:t>
      </w:r>
    </w:p>
    <w:p>
      <w:pPr>
        <w:spacing w:after="0" w:line="16" w:lineRule="exact"/>
        <w:rPr>
          <w:rFonts w:ascii="Times New Roman" w:cs="Times New Roman" w:eastAsia="Times New Roman" w:hAnsi="Times New Roman"/>
          <w:sz w:val="13"/>
          <w:szCs w:val="13"/>
          <w:color w:val="008000"/>
        </w:rPr>
      </w:pPr>
    </w:p>
    <w:p>
      <w:pPr>
        <w:jc w:val="both"/>
        <w:ind w:left="40" w:right="20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LTIP Units in the Issuer issued pursuant to BXP's equity based incentive programs. Conditioned upon minimum allocations to the capital accounts of the LTIP Units for federal income tax purposes, each LTIP Unit may be converted, at the election of the Issuer or the holder, into a Common OP Unit. Each Common OP Unit acquired upon conversion of an LTIP Unit may be presented for redemption, at the election of the holder, for cash equal to the then fair market value of a share of BXP's common stock, except that BXP may, at its election, acquire each Common OP Unit so presented for one share of BXP's common stock. LTIP Units have no expiration date.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9045" TargetMode="External"/><Relationship Id="rId14" Type="http://schemas.openxmlformats.org/officeDocument/2006/relationships/hyperlink" Target="http://www.sec.gov/cgi-bin/browse-edgar?action=getcompany&amp;CIK=0001043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2026-06-04T10:25:30Z</dcterms:created>
  <dcterms:modified xsi:type="dcterms:W3CDTF">2026-06-04T10:25:30Z</dcterms:modified>
</cp:coreProperties>
</file>