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4845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45685"/>
                    </a:xfrm>
                    <a:prstGeom prst="rect">
                      <a:avLst/>
                    </a:prstGeom>
                    <a:noFill/>
                  </pic:spPr>
                </pic:pic>
              </a:graphicData>
            </a:graphic>
          </wp:anchor>
        </w:drawing>
      </w:r>
    </w:p>
    <w:p>
      <w:pPr>
        <w:spacing w:after="0" w:line="54"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10"/>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gridSpan w:val="6"/>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ZUCKERMAN MORTIMER B</w:t>
              </w:r>
            </w:hyperlink>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11"/>
          </w:tcPr>
          <w:p>
            <w:pPr>
              <w:ind w:left="80"/>
              <w:spacing w:after="0" w:line="17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BOSTON PROPERTIES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BXP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220" w:type="dxa"/>
            <w:vAlign w:val="bottom"/>
          </w:tcPr>
          <w:p>
            <w:pPr>
              <w:spacing w:after="0"/>
              <w:rPr>
                <w:sz w:val="15"/>
                <w:szCs w:val="15"/>
                <w:color w:val="auto"/>
              </w:rPr>
            </w:pPr>
          </w:p>
        </w:tc>
        <w:tc>
          <w:tcPr>
            <w:tcW w:w="1700" w:type="dxa"/>
            <w:vAlign w:val="bottom"/>
            <w:gridSpan w:val="4"/>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8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66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1120" w:type="dxa"/>
            <w:vAlign w:val="bottom"/>
            <w:tcBorders>
              <w:top w:val="single" w:sz="8" w:color="0000EE"/>
            </w:tcBorders>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6"/>
                <w:szCs w:val="6"/>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40" w:type="dxa"/>
            <w:vAlign w:val="bottom"/>
            <w:gridSpan w:val="10"/>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10"/>
            <w:vMerge w:val="continue"/>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BOSTON PROPERTIES, INC.</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20" w:type="dxa"/>
            <w:vAlign w:val="bottom"/>
            <w:gridSpan w:val="5"/>
          </w:tcPr>
          <w:p>
            <w:pPr>
              <w:ind w:left="280"/>
              <w:spacing w:after="0"/>
              <w:rPr>
                <w:sz w:val="20"/>
                <w:szCs w:val="20"/>
                <w:color w:val="auto"/>
              </w:rPr>
            </w:pPr>
            <w:r>
              <w:rPr>
                <w:rFonts w:ascii="Times New Roman" w:cs="Times New Roman" w:eastAsia="Times New Roman" w:hAnsi="Times New Roman"/>
                <w:sz w:val="17"/>
                <w:szCs w:val="17"/>
                <w:color w:val="0000FF"/>
              </w:rPr>
              <w:t>03/09/2015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599 LEXINGTON AVENUE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760" w:type="dxa"/>
            <w:vAlign w:val="bottom"/>
            <w:gridSpan w:val="11"/>
            <w:vMerge w:val="continue"/>
          </w:tcPr>
          <w:p>
            <w:pPr>
              <w:spacing w:after="0"/>
              <w:rPr>
                <w:sz w:val="6"/>
                <w:szCs w:val="6"/>
                <w:color w:val="auto"/>
              </w:rPr>
            </w:pPr>
          </w:p>
        </w:tc>
        <w:tc>
          <w:tcPr>
            <w:tcW w:w="22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9"/>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5"/>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54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54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5"/>
                <w:szCs w:val="15"/>
                <w:color w:val="auto"/>
              </w:rPr>
            </w:pPr>
          </w:p>
        </w:tc>
        <w:tc>
          <w:tcPr>
            <w:tcW w:w="168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ind w:left="58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5"/>
          </w:tcPr>
          <w:p>
            <w:pPr>
              <w:ind w:left="580"/>
              <w:spacing w:after="0" w:line="134"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1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jc w:val="right"/>
              <w:ind w:right="200"/>
              <w:spacing w:after="0"/>
              <w:rPr>
                <w:sz w:val="20"/>
                <w:szCs w:val="20"/>
                <w:color w:val="auto"/>
              </w:rPr>
            </w:pPr>
            <w:r>
              <w:rPr>
                <w:rFonts w:ascii="Arial" w:cs="Arial" w:eastAsia="Arial" w:hAnsi="Arial"/>
                <w:sz w:val="12"/>
                <w:szCs w:val="12"/>
                <w:b w:val="1"/>
                <w:bCs w:val="1"/>
                <w:color w:val="auto"/>
                <w:w w:val="74"/>
              </w:rPr>
              <w:t>V</w:t>
            </w: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68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72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5"/>
          </w:tcPr>
          <w:p>
            <w:pPr>
              <w:spacing w:after="0"/>
              <w:rPr>
                <w:sz w:val="7"/>
                <w:szCs w:val="7"/>
                <w:color w:val="auto"/>
              </w:rPr>
            </w:pPr>
          </w:p>
        </w:tc>
        <w:tc>
          <w:tcPr>
            <w:tcW w:w="1020" w:type="dxa"/>
            <w:vAlign w:val="bottom"/>
            <w:tcBorders>
              <w:bottom w:val="single" w:sz="8" w:color="2C2C2C"/>
            </w:tcBorders>
            <w:gridSpan w:val="3"/>
          </w:tcPr>
          <w:p>
            <w:pPr>
              <w:spacing w:after="0"/>
              <w:rPr>
                <w:sz w:val="7"/>
                <w:szCs w:val="7"/>
                <w:color w:val="auto"/>
              </w:rPr>
            </w:pPr>
          </w:p>
        </w:tc>
        <w:tc>
          <w:tcPr>
            <w:tcW w:w="1640" w:type="dxa"/>
            <w:vAlign w:val="bottom"/>
            <w:tcBorders>
              <w:bottom w:val="single" w:sz="8" w:color="2C2C2C"/>
            </w:tcBorders>
            <w:gridSpan w:val="4"/>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20"/>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560" w:type="dxa"/>
            <w:vAlign w:val="bottom"/>
            <w:gridSpan w:val="17"/>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3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80" w:type="dxa"/>
            <w:vAlign w:val="bottom"/>
            <w:gridSpan w:val="3"/>
            <w:vMerge w:val="restart"/>
          </w:tcPr>
          <w:p>
            <w:pPr>
              <w:ind w:left="22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200" w:type="dxa"/>
            <w:vAlign w:val="bottom"/>
          </w:tcPr>
          <w:p>
            <w:pPr>
              <w:spacing w:after="0"/>
              <w:rPr>
                <w:sz w:val="11"/>
                <w:szCs w:val="11"/>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80" w:type="dxa"/>
            <w:vAlign w:val="bottom"/>
            <w:gridSpan w:val="3"/>
          </w:tcPr>
          <w:p>
            <w:pPr>
              <w:ind w:left="2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6"/>
                <w:szCs w:val="16"/>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03/09/2015</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w w:val="92"/>
              </w:rPr>
              <w:t>997</w:t>
            </w:r>
          </w:p>
        </w:tc>
        <w:tc>
          <w:tcPr>
            <w:tcW w:w="200" w:type="dxa"/>
            <w:vAlign w:val="bottom"/>
            <w:vMerge w:val="restart"/>
          </w:tcPr>
          <w:p>
            <w:pPr>
              <w:jc w:val="right"/>
              <w:ind w:right="24"/>
              <w:spacing w:after="0"/>
              <w:rPr>
                <w:sz w:val="20"/>
                <w:szCs w:val="20"/>
                <w:color w:val="auto"/>
              </w:rPr>
            </w:pPr>
            <w:r>
              <w:rPr>
                <w:rFonts w:ascii="Times New Roman" w:cs="Times New Roman" w:eastAsia="Times New Roman" w:hAnsi="Times New Roman"/>
                <w:sz w:val="11"/>
                <w:szCs w:val="11"/>
                <w:color w:val="008000"/>
                <w:w w:val="77"/>
              </w:rPr>
              <w:t>(2)</w:t>
            </w:r>
          </w:p>
        </w:tc>
        <w:tc>
          <w:tcPr>
            <w:tcW w:w="360" w:type="dxa"/>
            <w:vAlign w:val="bottom"/>
          </w:tcPr>
          <w:p>
            <w:pPr>
              <w:spacing w:after="0"/>
              <w:rPr>
                <w:sz w:val="16"/>
                <w:szCs w:val="16"/>
                <w:color w:val="auto"/>
              </w:rPr>
            </w:pPr>
          </w:p>
        </w:tc>
        <w:tc>
          <w:tcPr>
            <w:tcW w:w="10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1"/>
                <w:szCs w:val="11"/>
                <w:color w:val="008000"/>
              </w:rPr>
              <w:t>(1)</w:t>
            </w:r>
          </w:p>
        </w:tc>
        <w:tc>
          <w:tcPr>
            <w:tcW w:w="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7"/>
                <w:szCs w:val="17"/>
                <w:color w:val="0000FF"/>
              </w:rPr>
              <w:t>997</w:t>
            </w:r>
          </w:p>
        </w:tc>
        <w:tc>
          <w:tcPr>
            <w:tcW w:w="14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0.25</w:t>
            </w: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634,625</w:t>
            </w: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2"/>
                <w:szCs w:val="22"/>
                <w:color w:val="008000"/>
                <w:vertAlign w:val="superscript"/>
              </w:rPr>
              <w:t>(1)</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05/19/2015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60" w:firstLine="8"/>
        <w:spacing w:after="0" w:line="249"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units of limited partnership interest in Boston Properties Limited Partnership (BPLP), of which the Issuer is the general partner, issued pursuant to the Issuer's equity based incentive programs. Conditioned upon minimum allocations to the capital accounts of the LTIP Units for federal income tax purposes, each LTIP Unit may be converted, at the election of the holder, into a common unit of limited partnership interest in BPLP (Common OP Unit). Each Common OP Unit acquired upon conversion of an LTIP Unit may be presented for redemption, at the election of the holder, for cash equal to the then fair market value of a share of the Issuer's Common Stock, except that the Issuer may, at its election, acquire each Common OP Unit so presented for one share of Common Stock. LTIP Units have no expiration date.</w:t>
      </w:r>
    </w:p>
    <w:p>
      <w:pPr>
        <w:spacing w:after="0" w:line="23" w:lineRule="exact"/>
        <w:rPr>
          <w:rFonts w:ascii="Times New Roman" w:cs="Times New Roman" w:eastAsia="Times New Roman" w:hAnsi="Times New Roman"/>
          <w:sz w:val="13"/>
          <w:szCs w:val="13"/>
          <w:color w:val="008000"/>
        </w:rPr>
      </w:pPr>
    </w:p>
    <w:p>
      <w:pPr>
        <w:ind w:left="40" w:right="380" w:firstLine="8"/>
        <w:spacing w:after="0" w:line="273"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pro-rated initial non-employee director equity award and initial chairman equity award for the period beginning on January 1, 2015 (i.e., the date on which the Reporting Person completed his transition to non-executive Chairman of the Board) and ending on the date of the Issuer's 2015 annual meeting of stockholders.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3" w:lineRule="auto"/>
        <w:rPr>
          <w:sz w:val="20"/>
          <w:szCs w:val="20"/>
          <w:color w:val="auto"/>
        </w:rPr>
      </w:pPr>
      <w:r>
        <w:rPr>
          <w:rFonts w:ascii="Times New Roman" w:cs="Times New Roman" w:eastAsia="Times New Roman" w:hAnsi="Times New Roman"/>
          <w:sz w:val="17"/>
          <w:szCs w:val="17"/>
          <w:color w:val="0000FF"/>
        </w:rPr>
        <w:t xml:space="preserve">Kelli A. DiLuglio, as Attorney- </w:t>
      </w:r>
      <w:r>
        <w:rPr>
          <w:rFonts w:ascii="Times New Roman" w:cs="Times New Roman" w:eastAsia="Times New Roman" w:hAnsi="Times New Roman"/>
          <w:sz w:val="34"/>
          <w:szCs w:val="34"/>
          <w:color w:val="0000FF"/>
          <w:vertAlign w:val="subscript"/>
        </w:rPr>
        <w:t>03/11/2015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395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313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369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3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6186" TargetMode="External"/><Relationship Id="rId13"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2019-12-06T22:14:15Z</dcterms:created>
  <dcterms:modified xsi:type="dcterms:W3CDTF">2019-12-06T22:14:15Z</dcterms:modified>
</cp:coreProperties>
</file>