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426085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392430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2249805</wp:posOffset>
            </wp:positionH>
            <wp:positionV relativeFrom="paragraph">
              <wp:posOffset>141605</wp:posOffset>
            </wp:positionV>
            <wp:extent cx="2642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2249805</wp:posOffset>
            </wp:positionH>
            <wp:positionV relativeFrom="paragraph">
              <wp:posOffset>99695</wp:posOffset>
            </wp:positionV>
            <wp:extent cx="2642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305" w:lineRule="exact"/>
        <w:rPr>
          <w:sz w:val="24"/>
          <w:szCs w:val="24"/>
          <w:color w:val="auto"/>
        </w:rPr>
      </w:pPr>
    </w:p>
    <w:p>
      <w:pPr>
        <w:ind w:left="720" w:hanging="696"/>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02" w:lineRule="exact"/>
        <w:rPr>
          <w:sz w:val="24"/>
          <w:szCs w:val="24"/>
          <w:color w:val="auto"/>
        </w:rPr>
      </w:pPr>
    </w:p>
    <w:p>
      <w:pPr>
        <w:ind w:left="720" w:hanging="696"/>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9" w:lineRule="exact"/>
        <w:rPr>
          <w:sz w:val="24"/>
          <w:szCs w:val="24"/>
          <w:color w:val="auto"/>
        </w:rPr>
      </w:pPr>
    </w:p>
    <w:p>
      <w:pPr>
        <w:ind w:left="386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1-13087 (Boston Properties,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0-50209 (Boston Properties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2249805</wp:posOffset>
            </wp:positionH>
            <wp:positionV relativeFrom="paragraph">
              <wp:posOffset>245110</wp:posOffset>
            </wp:positionV>
            <wp:extent cx="2642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BOSTON PROPERTIES, INC.</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BOSTON PROPERTIES LIMITED PARTNERSHIP</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2249805</wp:posOffset>
            </wp:positionH>
            <wp:positionV relativeFrom="paragraph">
              <wp:posOffset>114300</wp:posOffset>
            </wp:positionV>
            <wp:extent cx="2642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tbl>
      <w:tblPr>
        <w:tblLayout w:type="fixed"/>
        <w:tblInd w:w="380" w:type="dxa"/>
        <w:tblCellMar>
          <w:top w:w="0" w:type="dxa"/>
          <w:left w:w="0" w:type="dxa"/>
          <w:bottom w:w="0" w:type="dxa"/>
          <w:right w:w="0" w:type="dxa"/>
        </w:tblCellMar>
      </w:tblPr>
      <w:tr>
        <w:trPr>
          <w:trHeight w:val="212"/>
        </w:trPr>
        <w:tc>
          <w:tcPr>
            <w:tcW w:w="3260" w:type="dxa"/>
            <w:vAlign w:val="bottom"/>
          </w:tcPr>
          <w:p>
            <w:pPr>
              <w:jc w:val="center"/>
              <w:ind w:right="240"/>
              <w:spacing w:after="0"/>
              <w:rPr>
                <w:sz w:val="20"/>
                <w:szCs w:val="20"/>
                <w:color w:val="auto"/>
              </w:rPr>
            </w:pPr>
            <w:r>
              <w:rPr>
                <w:rFonts w:ascii="Arial" w:cs="Arial" w:eastAsia="Arial" w:hAnsi="Arial"/>
                <w:sz w:val="16"/>
                <w:szCs w:val="16"/>
                <w:b w:val="1"/>
                <w:bCs w:val="1"/>
                <w:color w:val="auto"/>
                <w:w w:val="99"/>
              </w:rPr>
              <w:t>Boston Properties, Inc.</w:t>
            </w:r>
          </w:p>
        </w:tc>
        <w:tc>
          <w:tcPr>
            <w:tcW w:w="4620" w:type="dxa"/>
            <w:vAlign w:val="bottom"/>
          </w:tcPr>
          <w:p>
            <w:pPr>
              <w:jc w:val="center"/>
              <w:ind w:left="80"/>
              <w:spacing w:after="0"/>
              <w:rPr>
                <w:sz w:val="20"/>
                <w:szCs w:val="20"/>
                <w:color w:val="auto"/>
              </w:rPr>
            </w:pPr>
            <w:r>
              <w:rPr>
                <w:rFonts w:ascii="Arial" w:cs="Arial" w:eastAsia="Arial" w:hAnsi="Arial"/>
                <w:sz w:val="16"/>
                <w:szCs w:val="16"/>
                <w:b w:val="1"/>
                <w:bCs w:val="1"/>
                <w:color w:val="auto"/>
                <w:w w:val="99"/>
              </w:rPr>
              <w:t>Delaware</w:t>
            </w:r>
          </w:p>
        </w:tc>
        <w:tc>
          <w:tcPr>
            <w:tcW w:w="2940" w:type="dxa"/>
            <w:vAlign w:val="bottom"/>
          </w:tcPr>
          <w:p>
            <w:pPr>
              <w:jc w:val="center"/>
              <w:ind w:left="80"/>
              <w:spacing w:after="0"/>
              <w:rPr>
                <w:sz w:val="20"/>
                <w:szCs w:val="20"/>
                <w:color w:val="auto"/>
              </w:rPr>
            </w:pPr>
            <w:r>
              <w:rPr>
                <w:rFonts w:ascii="Arial" w:cs="Arial" w:eastAsia="Arial" w:hAnsi="Arial"/>
                <w:sz w:val="16"/>
                <w:szCs w:val="16"/>
                <w:b w:val="1"/>
                <w:bCs w:val="1"/>
                <w:color w:val="auto"/>
              </w:rPr>
              <w:t>04-2473675</w:t>
            </w:r>
          </w:p>
        </w:tc>
      </w:tr>
      <w:tr>
        <w:trPr>
          <w:trHeight w:val="213"/>
        </w:trPr>
        <w:tc>
          <w:tcPr>
            <w:tcW w:w="3260" w:type="dxa"/>
            <w:vAlign w:val="bottom"/>
          </w:tcPr>
          <w:p>
            <w:pPr>
              <w:spacing w:after="0"/>
              <w:rPr>
                <w:sz w:val="18"/>
                <w:szCs w:val="18"/>
                <w:color w:val="auto"/>
              </w:rPr>
            </w:pPr>
          </w:p>
        </w:tc>
        <w:tc>
          <w:tcPr>
            <w:tcW w:w="4620" w:type="dxa"/>
            <w:vAlign w:val="bottom"/>
          </w:tcPr>
          <w:p>
            <w:pPr>
              <w:jc w:val="center"/>
              <w:ind w:left="100"/>
              <w:spacing w:after="0"/>
              <w:rPr>
                <w:sz w:val="20"/>
                <w:szCs w:val="20"/>
                <w:color w:val="auto"/>
              </w:rPr>
            </w:pPr>
            <w:r>
              <w:rPr>
                <w:rFonts w:ascii="Arial" w:cs="Arial" w:eastAsia="Arial" w:hAnsi="Arial"/>
                <w:sz w:val="16"/>
                <w:szCs w:val="16"/>
                <w:color w:val="auto"/>
                <w:w w:val="99"/>
              </w:rPr>
              <w:t>(State or other jurisdiction of incorporation or organization)</w:t>
            </w:r>
          </w:p>
        </w:tc>
        <w:tc>
          <w:tcPr>
            <w:tcW w:w="2940" w:type="dxa"/>
            <w:vAlign w:val="bottom"/>
          </w:tcPr>
          <w:p>
            <w:pPr>
              <w:jc w:val="center"/>
              <w:ind w:left="80"/>
              <w:spacing w:after="0"/>
              <w:rPr>
                <w:sz w:val="20"/>
                <w:szCs w:val="20"/>
                <w:color w:val="auto"/>
              </w:rPr>
            </w:pPr>
            <w:r>
              <w:rPr>
                <w:rFonts w:ascii="Arial" w:cs="Arial" w:eastAsia="Arial" w:hAnsi="Arial"/>
                <w:sz w:val="16"/>
                <w:szCs w:val="16"/>
                <w:color w:val="auto"/>
                <w:w w:val="99"/>
              </w:rPr>
              <w:t>(I.R.S. Employer Identification Number)</w:t>
            </w:r>
          </w:p>
        </w:tc>
      </w:tr>
      <w:tr>
        <w:trPr>
          <w:trHeight w:val="306"/>
        </w:trPr>
        <w:tc>
          <w:tcPr>
            <w:tcW w:w="3260" w:type="dxa"/>
            <w:vAlign w:val="bottom"/>
          </w:tcPr>
          <w:p>
            <w:pPr>
              <w:jc w:val="center"/>
              <w:ind w:right="240"/>
              <w:spacing w:after="0"/>
              <w:rPr>
                <w:sz w:val="20"/>
                <w:szCs w:val="20"/>
                <w:color w:val="auto"/>
              </w:rPr>
            </w:pPr>
            <w:r>
              <w:rPr>
                <w:rFonts w:ascii="Arial" w:cs="Arial" w:eastAsia="Arial" w:hAnsi="Arial"/>
                <w:sz w:val="16"/>
                <w:szCs w:val="16"/>
                <w:b w:val="1"/>
                <w:bCs w:val="1"/>
                <w:color w:val="auto"/>
              </w:rPr>
              <w:t>Boston Properties Limited Partnership</w:t>
            </w:r>
          </w:p>
        </w:tc>
        <w:tc>
          <w:tcPr>
            <w:tcW w:w="4620" w:type="dxa"/>
            <w:vAlign w:val="bottom"/>
          </w:tcPr>
          <w:p>
            <w:pPr>
              <w:jc w:val="center"/>
              <w:ind w:left="80"/>
              <w:spacing w:after="0"/>
              <w:rPr>
                <w:sz w:val="20"/>
                <w:szCs w:val="20"/>
                <w:color w:val="auto"/>
              </w:rPr>
            </w:pPr>
            <w:r>
              <w:rPr>
                <w:rFonts w:ascii="Arial" w:cs="Arial" w:eastAsia="Arial" w:hAnsi="Arial"/>
                <w:sz w:val="16"/>
                <w:szCs w:val="16"/>
                <w:b w:val="1"/>
                <w:bCs w:val="1"/>
                <w:color w:val="auto"/>
                <w:w w:val="99"/>
              </w:rPr>
              <w:t>Delaware</w:t>
            </w:r>
          </w:p>
        </w:tc>
        <w:tc>
          <w:tcPr>
            <w:tcW w:w="2940" w:type="dxa"/>
            <w:vAlign w:val="bottom"/>
          </w:tcPr>
          <w:p>
            <w:pPr>
              <w:jc w:val="center"/>
              <w:ind w:left="80"/>
              <w:spacing w:after="0"/>
              <w:rPr>
                <w:sz w:val="20"/>
                <w:szCs w:val="20"/>
                <w:color w:val="auto"/>
              </w:rPr>
            </w:pPr>
            <w:r>
              <w:rPr>
                <w:rFonts w:ascii="Arial" w:cs="Arial" w:eastAsia="Arial" w:hAnsi="Arial"/>
                <w:sz w:val="16"/>
                <w:szCs w:val="16"/>
                <w:b w:val="1"/>
                <w:bCs w:val="1"/>
                <w:color w:val="auto"/>
              </w:rPr>
              <w:t>04-3372948</w:t>
            </w:r>
          </w:p>
        </w:tc>
      </w:tr>
      <w:tr>
        <w:trPr>
          <w:trHeight w:val="213"/>
        </w:trPr>
        <w:tc>
          <w:tcPr>
            <w:tcW w:w="3260" w:type="dxa"/>
            <w:vAlign w:val="bottom"/>
          </w:tcPr>
          <w:p>
            <w:pPr>
              <w:spacing w:after="0"/>
              <w:rPr>
                <w:sz w:val="18"/>
                <w:szCs w:val="18"/>
                <w:color w:val="auto"/>
              </w:rPr>
            </w:pPr>
          </w:p>
        </w:tc>
        <w:tc>
          <w:tcPr>
            <w:tcW w:w="4620" w:type="dxa"/>
            <w:vAlign w:val="bottom"/>
          </w:tcPr>
          <w:p>
            <w:pPr>
              <w:jc w:val="center"/>
              <w:ind w:left="100"/>
              <w:spacing w:after="0"/>
              <w:rPr>
                <w:sz w:val="20"/>
                <w:szCs w:val="20"/>
                <w:color w:val="auto"/>
              </w:rPr>
            </w:pPr>
            <w:r>
              <w:rPr>
                <w:rFonts w:ascii="Arial" w:cs="Arial" w:eastAsia="Arial" w:hAnsi="Arial"/>
                <w:sz w:val="16"/>
                <w:szCs w:val="16"/>
                <w:color w:val="auto"/>
                <w:w w:val="99"/>
              </w:rPr>
              <w:t>(State or other jurisdiction of incorporation or organization)</w:t>
            </w:r>
          </w:p>
        </w:tc>
        <w:tc>
          <w:tcPr>
            <w:tcW w:w="2940" w:type="dxa"/>
            <w:vAlign w:val="bottom"/>
          </w:tcPr>
          <w:p>
            <w:pPr>
              <w:jc w:val="center"/>
              <w:ind w:left="80"/>
              <w:spacing w:after="0"/>
              <w:rPr>
                <w:sz w:val="20"/>
                <w:szCs w:val="20"/>
                <w:color w:val="auto"/>
              </w:rPr>
            </w:pPr>
            <w:r>
              <w:rPr>
                <w:rFonts w:ascii="Arial" w:cs="Arial" w:eastAsia="Arial" w:hAnsi="Arial"/>
                <w:sz w:val="16"/>
                <w:szCs w:val="16"/>
                <w:color w:val="auto"/>
                <w:w w:val="99"/>
              </w:rPr>
              <w:t>(I.R.S. Employer Identification Number)</w:t>
            </w:r>
          </w:p>
        </w:tc>
      </w:tr>
    </w:tbl>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Prudential Center, 800 Boylston Street, Suite 1900, Boston, Massachusetts 02199-8103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(617) 236-3300</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2249805</wp:posOffset>
            </wp:positionH>
            <wp:positionV relativeFrom="paragraph">
              <wp:posOffset>106045</wp:posOffset>
            </wp:positionV>
            <wp:extent cx="2642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02"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26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Registrant</w:t>
            </w:r>
          </w:p>
        </w:tc>
        <w:tc>
          <w:tcPr>
            <w:tcW w:w="160" w:type="dxa"/>
            <w:vAlign w:val="bottom"/>
            <w:vMerge w:val="restart"/>
          </w:tcPr>
          <w:p>
            <w:pPr>
              <w:spacing w:after="0"/>
              <w:rPr>
                <w:sz w:val="16"/>
                <w:szCs w:val="16"/>
                <w:color w:val="auto"/>
              </w:rPr>
            </w:pPr>
          </w:p>
        </w:tc>
        <w:tc>
          <w:tcPr>
            <w:tcW w:w="2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Title of each class</w:t>
            </w:r>
          </w:p>
        </w:tc>
        <w:tc>
          <w:tcPr>
            <w:tcW w:w="160" w:type="dxa"/>
            <w:vAlign w:val="bottom"/>
            <w:vMerge w:val="restart"/>
          </w:tcPr>
          <w:p>
            <w:pPr>
              <w:spacing w:after="0"/>
              <w:rPr>
                <w:sz w:val="16"/>
                <w:szCs w:val="16"/>
                <w:color w:val="auto"/>
              </w:rPr>
            </w:pPr>
          </w:p>
        </w:tc>
        <w:tc>
          <w:tcPr>
            <w:tcW w:w="2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Trading Symbol(s)</w:t>
            </w:r>
          </w:p>
        </w:tc>
        <w:tc>
          <w:tcPr>
            <w:tcW w:w="160" w:type="dxa"/>
            <w:vAlign w:val="bottom"/>
            <w:vMerge w:val="restart"/>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9"/>
              </w:rPr>
              <w:t>Name of each</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6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exchange on which registered</w:t>
            </w:r>
          </w:p>
        </w:tc>
        <w:tc>
          <w:tcPr>
            <w:tcW w:w="0" w:type="dxa"/>
            <w:vAlign w:val="bottom"/>
          </w:tcPr>
          <w:p>
            <w:pPr>
              <w:spacing w:after="0"/>
              <w:rPr>
                <w:sz w:val="1"/>
                <w:szCs w:val="1"/>
                <w:color w:val="auto"/>
              </w:rPr>
            </w:pPr>
          </w:p>
        </w:tc>
      </w:tr>
      <w:tr>
        <w:trPr>
          <w:trHeight w:val="168"/>
        </w:trPr>
        <w:tc>
          <w:tcPr>
            <w:tcW w:w="2780" w:type="dxa"/>
            <w:vAlign w:val="bottom"/>
            <w:gridSpan w:val="2"/>
          </w:tcPr>
          <w:p>
            <w:pPr>
              <w:jc w:val="center"/>
              <w:ind w:right="200"/>
              <w:spacing w:after="0" w:line="168" w:lineRule="exact"/>
              <w:rPr>
                <w:sz w:val="20"/>
                <w:szCs w:val="20"/>
                <w:color w:val="auto"/>
              </w:rPr>
            </w:pPr>
            <w:r>
              <w:rPr>
                <w:rFonts w:ascii="Arial" w:cs="Arial" w:eastAsia="Arial" w:hAnsi="Arial"/>
                <w:sz w:val="16"/>
                <w:szCs w:val="16"/>
                <w:color w:val="auto"/>
              </w:rPr>
              <w:t>Boston Properties, Inc.</w:t>
            </w:r>
          </w:p>
        </w:tc>
        <w:tc>
          <w:tcPr>
            <w:tcW w:w="2780" w:type="dxa"/>
            <w:vAlign w:val="bottom"/>
            <w:gridSpan w:val="2"/>
          </w:tcPr>
          <w:p>
            <w:pPr>
              <w:jc w:val="center"/>
              <w:ind w:right="180"/>
              <w:spacing w:after="0" w:line="168" w:lineRule="exact"/>
              <w:rPr>
                <w:sz w:val="20"/>
                <w:szCs w:val="20"/>
                <w:color w:val="auto"/>
              </w:rPr>
            </w:pPr>
            <w:r>
              <w:rPr>
                <w:rFonts w:ascii="Arial" w:cs="Arial" w:eastAsia="Arial" w:hAnsi="Arial"/>
                <w:sz w:val="16"/>
                <w:szCs w:val="16"/>
                <w:color w:val="auto"/>
                <w:w w:val="99"/>
              </w:rPr>
              <w:t>Common Stock, par value $0.01 per</w:t>
            </w:r>
          </w:p>
        </w:tc>
        <w:tc>
          <w:tcPr>
            <w:tcW w:w="2800" w:type="dxa"/>
            <w:vAlign w:val="bottom"/>
            <w:gridSpan w:val="2"/>
          </w:tcPr>
          <w:p>
            <w:pPr>
              <w:jc w:val="center"/>
              <w:ind w:right="160"/>
              <w:spacing w:after="0" w:line="168" w:lineRule="exact"/>
              <w:rPr>
                <w:sz w:val="20"/>
                <w:szCs w:val="20"/>
                <w:color w:val="auto"/>
              </w:rPr>
            </w:pPr>
            <w:r>
              <w:rPr>
                <w:rFonts w:ascii="Arial" w:cs="Arial" w:eastAsia="Arial" w:hAnsi="Arial"/>
                <w:sz w:val="16"/>
                <w:szCs w:val="16"/>
                <w:color w:val="auto"/>
                <w:w w:val="99"/>
              </w:rPr>
              <w:t>BXP</w:t>
            </w:r>
          </w:p>
        </w:tc>
        <w:tc>
          <w:tcPr>
            <w:tcW w:w="2820" w:type="dxa"/>
            <w:vAlign w:val="bottom"/>
          </w:tcPr>
          <w:p>
            <w:pPr>
              <w:jc w:val="center"/>
              <w:spacing w:after="0" w:line="168" w:lineRule="exact"/>
              <w:rPr>
                <w:sz w:val="20"/>
                <w:szCs w:val="20"/>
                <w:color w:val="auto"/>
              </w:rPr>
            </w:pPr>
            <w:r>
              <w:rPr>
                <w:rFonts w:ascii="Arial" w:cs="Arial" w:eastAsia="Arial" w:hAnsi="Arial"/>
                <w:sz w:val="16"/>
                <w:szCs w:val="16"/>
                <w:color w:val="auto"/>
                <w:w w:val="99"/>
              </w:rPr>
              <w:t>New York Stock Exchange</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share</w:t>
            </w:r>
          </w:p>
        </w:tc>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3" w:lineRule="exact"/>
        <w:rPr>
          <w:sz w:val="24"/>
          <w:szCs w:val="24"/>
          <w:color w:val="auto"/>
        </w:rPr>
      </w:pPr>
    </w:p>
    <w:p>
      <w:pPr>
        <w:ind w:right="160" w:firstLine="439"/>
        <w:spacing w:after="0" w:line="24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6" w:lineRule="exact"/>
        <w:rPr>
          <w:sz w:val="24"/>
          <w:szCs w:val="24"/>
          <w:color w:val="auto"/>
        </w:rPr>
      </w:pPr>
    </w:p>
    <w:p>
      <w:pPr>
        <w:ind w:left="400"/>
        <w:spacing w:after="0" w:line="196" w:lineRule="exact"/>
        <w:tabs>
          <w:tab w:leader="none" w:pos="2220" w:val="left"/>
          <w:tab w:leader="none" w:pos="2780" w:val="left"/>
          <w:tab w:leader="none" w:pos="3640" w:val="left"/>
          <w:tab w:leader="none" w:pos="6540" w:val="left"/>
          <w:tab w:leader="none" w:pos="7140" w:val="left"/>
        </w:tabs>
        <w:rPr>
          <w:sz w:val="20"/>
          <w:szCs w:val="20"/>
          <w:color w:val="auto"/>
        </w:rPr>
      </w:pPr>
      <w:r>
        <w:rPr>
          <w:rFonts w:ascii="Arial" w:cs="Arial" w:eastAsia="Arial" w:hAnsi="Arial"/>
          <w:sz w:val="16"/>
          <w:szCs w:val="16"/>
          <w:color w:val="auto"/>
        </w:rPr>
        <w:t>Boston Properties, Inc.:</w:t>
        <w:tab/>
        <w:t>Yes x</w:t>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Yes x</w:t>
        <w:tab/>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501015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0" w:firstLine="439"/>
        <w:spacing w:after="0" w:line="28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 w:lineRule="exact"/>
        <w:rPr>
          <w:sz w:val="20"/>
          <w:szCs w:val="20"/>
          <w:color w:val="auto"/>
        </w:rPr>
      </w:pPr>
    </w:p>
    <w:p>
      <w:pPr>
        <w:ind w:left="400"/>
        <w:spacing w:after="0" w:line="196" w:lineRule="exact"/>
        <w:tabs>
          <w:tab w:leader="none" w:pos="2220" w:val="left"/>
          <w:tab w:leader="none" w:pos="2820" w:val="left"/>
          <w:tab w:leader="none" w:pos="3680" w:val="left"/>
          <w:tab w:leader="none" w:pos="6580" w:val="left"/>
          <w:tab w:leader="none" w:pos="7180" w:val="left"/>
        </w:tabs>
        <w:rPr>
          <w:sz w:val="20"/>
          <w:szCs w:val="20"/>
          <w:color w:val="auto"/>
        </w:rPr>
      </w:pPr>
      <w:r>
        <w:rPr>
          <w:rFonts w:ascii="Arial" w:cs="Arial" w:eastAsia="Arial" w:hAnsi="Arial"/>
          <w:sz w:val="16"/>
          <w:szCs w:val="16"/>
          <w:color w:val="auto"/>
        </w:rPr>
        <w:t>Boston Properties, Inc.:</w:t>
        <w:tab/>
        <w:t>Yes x</w:t>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Yes x</w:t>
        <w:tab/>
        <w:t xml:space="preserve">No </w:t>
      </w:r>
      <w:r>
        <w:rPr>
          <w:rFonts w:ascii="MS PGothic" w:cs="MS PGothic" w:eastAsia="MS PGothic" w:hAnsi="MS PGothic"/>
          <w:sz w:val="17"/>
          <w:szCs w:val="17"/>
          <w:color w:val="auto"/>
        </w:rPr>
        <w:t>☐</w:t>
      </w:r>
    </w:p>
    <w:p>
      <w:pPr>
        <w:spacing w:after="0" w:line="226" w:lineRule="exact"/>
        <w:rPr>
          <w:sz w:val="20"/>
          <w:szCs w:val="20"/>
          <w:color w:val="auto"/>
        </w:rPr>
      </w:pPr>
    </w:p>
    <w:p>
      <w:pPr>
        <w:ind w:right="120" w:firstLine="439"/>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1660" w:type="dxa"/>
            <w:vAlign w:val="bottom"/>
          </w:tcPr>
          <w:p>
            <w:pPr>
              <w:spacing w:after="0"/>
              <w:rPr>
                <w:sz w:val="20"/>
                <w:szCs w:val="20"/>
                <w:color w:val="auto"/>
              </w:rPr>
            </w:pPr>
            <w:r>
              <w:rPr>
                <w:rFonts w:ascii="Arial" w:cs="Arial" w:eastAsia="Arial" w:hAnsi="Arial"/>
                <w:sz w:val="16"/>
                <w:szCs w:val="16"/>
                <w:color w:val="auto"/>
                <w:w w:val="98"/>
              </w:rPr>
              <w:t>Boston Properties, Inc.:</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spacing w:after="0"/>
              <w:rPr>
                <w:sz w:val="16"/>
                <w:szCs w:val="16"/>
                <w:color w:val="auto"/>
              </w:rPr>
            </w:pPr>
          </w:p>
        </w:tc>
        <w:tc>
          <w:tcPr>
            <w:tcW w:w="380" w:type="dxa"/>
            <w:vAlign w:val="bottom"/>
            <w:vMerge w:val="restart"/>
          </w:tcPr>
          <w:p>
            <w:pPr>
              <w:jc w:val="center"/>
              <w:ind w:right="96"/>
              <w:spacing w:after="0" w:line="181" w:lineRule="exact"/>
              <w:rPr>
                <w:sz w:val="20"/>
                <w:szCs w:val="20"/>
                <w:color w:val="auto"/>
              </w:rPr>
            </w:pPr>
            <w:r>
              <w:rPr>
                <w:rFonts w:ascii="MS PGothic" w:cs="MS PGothic" w:eastAsia="MS PGothic" w:hAnsi="MS PGothic"/>
                <w:sz w:val="18"/>
                <w:szCs w:val="18"/>
                <w:color w:val="auto"/>
                <w:w w:val="88"/>
              </w:rPr>
              <w:t>☐</w:t>
            </w:r>
          </w:p>
        </w:tc>
        <w:tc>
          <w:tcPr>
            <w:tcW w:w="2180" w:type="dxa"/>
            <w:vAlign w:val="bottom"/>
          </w:tcPr>
          <w:p>
            <w:pPr>
              <w:spacing w:after="0"/>
              <w:rPr>
                <w:sz w:val="16"/>
                <w:szCs w:val="16"/>
                <w:color w:val="auto"/>
              </w:rPr>
            </w:pPr>
          </w:p>
        </w:tc>
        <w:tc>
          <w:tcPr>
            <w:tcW w:w="4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vMerge w:val="restart"/>
          </w:tcPr>
          <w:p>
            <w:pPr>
              <w:ind w:left="160"/>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0" w:type="dxa"/>
            <w:vAlign w:val="bottom"/>
          </w:tcPr>
          <w:p>
            <w:pPr>
              <w:ind w:left="20"/>
              <w:spacing w:after="0"/>
              <w:rPr>
                <w:sz w:val="20"/>
                <w:szCs w:val="20"/>
                <w:color w:val="auto"/>
              </w:rPr>
            </w:pPr>
            <w:r>
              <w:rPr>
                <w:rFonts w:ascii="Arial" w:cs="Arial" w:eastAsia="Arial" w:hAnsi="Arial"/>
                <w:sz w:val="16"/>
                <w:szCs w:val="16"/>
                <w:color w:val="auto"/>
              </w:rPr>
              <w:t>x</w:t>
            </w:r>
          </w:p>
        </w:tc>
        <w:tc>
          <w:tcPr>
            <w:tcW w:w="1380" w:type="dxa"/>
            <w:vAlign w:val="bottom"/>
          </w:tcPr>
          <w:p>
            <w:pPr>
              <w:ind w:left="160"/>
              <w:spacing w:after="0"/>
              <w:rPr>
                <w:sz w:val="20"/>
                <w:szCs w:val="20"/>
                <w:color w:val="auto"/>
              </w:rPr>
            </w:pPr>
            <w:r>
              <w:rPr>
                <w:rFonts w:ascii="Arial" w:cs="Arial" w:eastAsia="Arial" w:hAnsi="Arial"/>
                <w:sz w:val="16"/>
                <w:szCs w:val="16"/>
                <w:color w:val="auto"/>
              </w:rPr>
              <w:t>Accelerated filer</w:t>
            </w:r>
          </w:p>
        </w:tc>
        <w:tc>
          <w:tcPr>
            <w:tcW w:w="400" w:type="dxa"/>
            <w:vAlign w:val="bottom"/>
            <w:vMerge w:val="continue"/>
          </w:tcPr>
          <w:p>
            <w:pPr>
              <w:spacing w:after="0"/>
              <w:rPr>
                <w:sz w:val="19"/>
                <w:szCs w:val="19"/>
                <w:color w:val="auto"/>
              </w:rPr>
            </w:pPr>
          </w:p>
        </w:tc>
        <w:tc>
          <w:tcPr>
            <w:tcW w:w="1720" w:type="dxa"/>
            <w:vAlign w:val="bottom"/>
          </w:tcPr>
          <w:p>
            <w:pPr>
              <w:ind w:left="180"/>
              <w:spacing w:after="0"/>
              <w:rPr>
                <w:sz w:val="20"/>
                <w:szCs w:val="20"/>
                <w:color w:val="auto"/>
              </w:rPr>
            </w:pPr>
            <w:r>
              <w:rPr>
                <w:rFonts w:ascii="Arial" w:cs="Arial" w:eastAsia="Arial" w:hAnsi="Arial"/>
                <w:sz w:val="16"/>
                <w:szCs w:val="16"/>
                <w:color w:val="auto"/>
              </w:rPr>
              <w:t>Non-accelerated filer</w:t>
            </w:r>
          </w:p>
        </w:tc>
        <w:tc>
          <w:tcPr>
            <w:tcW w:w="380" w:type="dxa"/>
            <w:vAlign w:val="bottom"/>
            <w:vMerge w:val="continue"/>
          </w:tcPr>
          <w:p>
            <w:pPr>
              <w:spacing w:after="0"/>
              <w:rPr>
                <w:sz w:val="19"/>
                <w:szCs w:val="19"/>
                <w:color w:val="auto"/>
              </w:rPr>
            </w:pPr>
          </w:p>
        </w:tc>
        <w:tc>
          <w:tcPr>
            <w:tcW w:w="2180" w:type="dxa"/>
            <w:vAlign w:val="bottom"/>
          </w:tcPr>
          <w:p>
            <w:pPr>
              <w:ind w:left="200"/>
              <w:spacing w:after="0"/>
              <w:rPr>
                <w:sz w:val="20"/>
                <w:szCs w:val="20"/>
                <w:color w:val="auto"/>
              </w:rPr>
            </w:pPr>
            <w:r>
              <w:rPr>
                <w:rFonts w:ascii="Arial" w:cs="Arial" w:eastAsia="Arial" w:hAnsi="Arial"/>
                <w:sz w:val="16"/>
                <w:szCs w:val="16"/>
                <w:color w:val="auto"/>
              </w:rPr>
              <w:t>Smaller reporting company</w:t>
            </w:r>
          </w:p>
        </w:tc>
        <w:tc>
          <w:tcPr>
            <w:tcW w:w="40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3360" w:type="dxa"/>
            <w:vAlign w:val="bottom"/>
            <w:gridSpan w:val="3"/>
          </w:tcPr>
          <w:p>
            <w:pPr>
              <w:spacing w:after="0"/>
              <w:rPr>
                <w:sz w:val="20"/>
                <w:szCs w:val="20"/>
                <w:color w:val="auto"/>
              </w:rPr>
            </w:pPr>
            <w:r>
              <w:rPr>
                <w:rFonts w:ascii="Arial" w:cs="Arial" w:eastAsia="Arial" w:hAnsi="Arial"/>
                <w:sz w:val="16"/>
                <w:szCs w:val="16"/>
                <w:color w:val="auto"/>
              </w:rPr>
              <w:t>Boston Properties Limited Partnership:</w:t>
            </w:r>
          </w:p>
        </w:tc>
        <w:tc>
          <w:tcPr>
            <w:tcW w:w="40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380" w:type="dxa"/>
            <w:vAlign w:val="bottom"/>
          </w:tcPr>
          <w:p>
            <w:pPr>
              <w:ind w:left="220"/>
              <w:spacing w:after="0"/>
              <w:rPr>
                <w:sz w:val="20"/>
                <w:szCs w:val="20"/>
                <w:color w:val="auto"/>
              </w:rPr>
            </w:pPr>
            <w:r>
              <w:rPr>
                <w:rFonts w:ascii="Arial" w:cs="Arial" w:eastAsia="Arial" w:hAnsi="Arial"/>
                <w:sz w:val="16"/>
                <w:szCs w:val="16"/>
                <w:color w:val="auto"/>
                <w:w w:val="99"/>
              </w:rPr>
              <w:t>Accelerated filer</w:t>
            </w:r>
          </w:p>
        </w:tc>
        <w:tc>
          <w:tcPr>
            <w:tcW w:w="400" w:type="dxa"/>
            <w:vAlign w:val="bottom"/>
            <w:vMerge w:val="continue"/>
          </w:tcPr>
          <w:p>
            <w:pPr>
              <w:spacing w:after="0"/>
              <w:rPr>
                <w:sz w:val="16"/>
                <w:szCs w:val="16"/>
                <w:color w:val="auto"/>
              </w:rPr>
            </w:pPr>
          </w:p>
        </w:tc>
        <w:tc>
          <w:tcPr>
            <w:tcW w:w="1720" w:type="dxa"/>
            <w:vAlign w:val="bottom"/>
          </w:tcPr>
          <w:p>
            <w:pPr>
              <w:ind w:left="220"/>
              <w:spacing w:after="0"/>
              <w:rPr>
                <w:sz w:val="20"/>
                <w:szCs w:val="20"/>
                <w:color w:val="auto"/>
              </w:rPr>
            </w:pPr>
            <w:r>
              <w:rPr>
                <w:rFonts w:ascii="Arial" w:cs="Arial" w:eastAsia="Arial" w:hAnsi="Arial"/>
                <w:sz w:val="16"/>
                <w:szCs w:val="16"/>
                <w:color w:val="auto"/>
              </w:rPr>
              <w:t>Non-accelerated filer</w:t>
            </w:r>
          </w:p>
        </w:tc>
        <w:tc>
          <w:tcPr>
            <w:tcW w:w="380" w:type="dxa"/>
            <w:vAlign w:val="bottom"/>
          </w:tcPr>
          <w:p>
            <w:pPr>
              <w:jc w:val="center"/>
              <w:ind w:right="96"/>
              <w:spacing w:after="0"/>
              <w:rPr>
                <w:sz w:val="20"/>
                <w:szCs w:val="20"/>
                <w:color w:val="auto"/>
              </w:rPr>
            </w:pPr>
            <w:r>
              <w:rPr>
                <w:rFonts w:ascii="Arial" w:cs="Arial" w:eastAsia="Arial" w:hAnsi="Arial"/>
                <w:sz w:val="16"/>
                <w:szCs w:val="16"/>
                <w:color w:val="auto"/>
                <w:w w:val="99"/>
              </w:rPr>
              <w:t>x</w:t>
            </w:r>
          </w:p>
        </w:tc>
        <w:tc>
          <w:tcPr>
            <w:tcW w:w="2180" w:type="dxa"/>
            <w:vAlign w:val="bottom"/>
          </w:tcPr>
          <w:p>
            <w:pPr>
              <w:ind w:left="260"/>
              <w:spacing w:after="0"/>
              <w:rPr>
                <w:sz w:val="20"/>
                <w:szCs w:val="20"/>
                <w:color w:val="auto"/>
              </w:rPr>
            </w:pPr>
            <w:r>
              <w:rPr>
                <w:rFonts w:ascii="Arial" w:cs="Arial" w:eastAsia="Arial" w:hAnsi="Arial"/>
                <w:sz w:val="16"/>
                <w:szCs w:val="16"/>
                <w:color w:val="auto"/>
                <w:w w:val="99"/>
              </w:rPr>
              <w:t>Smaller reporting company</w:t>
            </w:r>
          </w:p>
        </w:tc>
        <w:tc>
          <w:tcPr>
            <w:tcW w:w="400" w:type="dxa"/>
            <w:vAlign w:val="bottom"/>
            <w:vMerge w:val="continue"/>
          </w:tcPr>
          <w:p>
            <w:pPr>
              <w:spacing w:after="0"/>
              <w:rPr>
                <w:sz w:val="16"/>
                <w:szCs w:val="16"/>
                <w:color w:val="auto"/>
              </w:rPr>
            </w:pPr>
          </w:p>
        </w:tc>
        <w:tc>
          <w:tcPr>
            <w:tcW w:w="2300" w:type="dxa"/>
            <w:vAlign w:val="bottom"/>
          </w:tcPr>
          <w:p>
            <w:pPr>
              <w:ind w:left="320"/>
              <w:spacing w:after="0"/>
              <w:rPr>
                <w:sz w:val="20"/>
                <w:szCs w:val="20"/>
                <w:color w:val="auto"/>
              </w:rPr>
            </w:pPr>
            <w:r>
              <w:rPr>
                <w:rFonts w:ascii="Arial" w:cs="Arial" w:eastAsia="Arial" w:hAnsi="Arial"/>
                <w:sz w:val="16"/>
                <w:szCs w:val="16"/>
                <w:color w:val="auto"/>
              </w:rPr>
              <w:t>Emerging growth</w:t>
            </w:r>
          </w:p>
        </w:tc>
        <w:tc>
          <w:tcPr>
            <w:tcW w:w="0" w:type="dxa"/>
            <w:vAlign w:val="bottom"/>
          </w:tcPr>
          <w:p>
            <w:pPr>
              <w:spacing w:after="0"/>
              <w:rPr>
                <w:sz w:val="1"/>
                <w:szCs w:val="1"/>
                <w:color w:val="auto"/>
              </w:rPr>
            </w:pPr>
          </w:p>
        </w:tc>
      </w:tr>
      <w:tr>
        <w:trPr>
          <w:trHeight w:val="278"/>
        </w:trPr>
        <w:tc>
          <w:tcPr>
            <w:tcW w:w="1660" w:type="dxa"/>
            <w:vAlign w:val="bottom"/>
          </w:tcPr>
          <w:p>
            <w:pPr>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80" w:firstLine="399"/>
        <w:spacing w:after="0" w:line="25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9" w:lineRule="exact"/>
        <w:rPr>
          <w:sz w:val="20"/>
          <w:szCs w:val="20"/>
          <w:color w:val="auto"/>
        </w:rPr>
      </w:pPr>
    </w:p>
    <w:p>
      <w:pPr>
        <w:ind w:left="440"/>
        <w:spacing w:after="0" w:line="184" w:lineRule="exact"/>
        <w:tabs>
          <w:tab w:leader="none" w:pos="2980" w:val="left"/>
        </w:tabs>
        <w:rPr>
          <w:sz w:val="20"/>
          <w:szCs w:val="20"/>
          <w:color w:val="auto"/>
        </w:rPr>
      </w:pPr>
      <w:r>
        <w:rPr>
          <w:rFonts w:ascii="Arial" w:cs="Arial" w:eastAsia="Arial" w:hAnsi="Arial"/>
          <w:sz w:val="16"/>
          <w:szCs w:val="16"/>
          <w:color w:val="auto"/>
        </w:rPr>
        <w:t xml:space="preserve">Boston Properties, Inc.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Boston Properties Limited Partnership </w:t>
      </w:r>
      <w:r>
        <w:rPr>
          <w:rFonts w:ascii="MS PGothic" w:cs="MS PGothic" w:eastAsia="MS PGothic" w:hAnsi="MS PGothic"/>
          <w:sz w:val="15"/>
          <w:szCs w:val="15"/>
          <w:color w:val="auto"/>
        </w:rPr>
        <w:t>☐</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67" w:lineRule="exact"/>
        <w:rPr>
          <w:sz w:val="20"/>
          <w:szCs w:val="20"/>
          <w:color w:val="auto"/>
        </w:rPr>
      </w:pPr>
    </w:p>
    <w:p>
      <w:pPr>
        <w:ind w:left="400"/>
        <w:spacing w:after="0" w:line="184" w:lineRule="exact"/>
        <w:tabs>
          <w:tab w:leader="none" w:pos="2220" w:val="left"/>
          <w:tab w:leader="none" w:pos="2900" w:val="left"/>
          <w:tab w:leader="none" w:pos="3620" w:val="left"/>
          <w:tab w:leader="none" w:pos="6520" w:val="left"/>
          <w:tab w:leader="none" w:pos="7200" w:val="left"/>
        </w:tabs>
        <w:rPr>
          <w:sz w:val="20"/>
          <w:szCs w:val="20"/>
          <w:color w:val="auto"/>
        </w:rPr>
      </w:pPr>
      <w:r>
        <w:rPr>
          <w:rFonts w:ascii="Arial" w:cs="Arial" w:eastAsia="Arial" w:hAnsi="Arial"/>
          <w:sz w:val="16"/>
          <w:szCs w:val="16"/>
          <w:color w:val="auto"/>
        </w:rPr>
        <w:t>Boston Properties, Inc.:</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r>
        <w:rPr>
          <w:sz w:val="20"/>
          <w:szCs w:val="20"/>
          <w:color w:val="auto"/>
        </w:rPr>
        <w:tab/>
      </w:r>
      <w:r>
        <w:rPr>
          <w:rFonts w:ascii="Arial" w:cs="Arial" w:eastAsia="Arial" w:hAnsi="Arial"/>
          <w:sz w:val="16"/>
          <w:szCs w:val="16"/>
          <w:color w:val="auto"/>
        </w:rPr>
        <w:t>Boston Properties Limited Partnership:</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jc w:val="center"/>
              <w:ind w:left="860"/>
              <w:spacing w:after="0"/>
              <w:rPr>
                <w:sz w:val="20"/>
                <w:szCs w:val="20"/>
                <w:color w:val="auto"/>
              </w:rPr>
            </w:pPr>
            <w:r>
              <w:rPr>
                <w:rFonts w:ascii="Arial" w:cs="Arial" w:eastAsia="Arial" w:hAnsi="Arial"/>
                <w:sz w:val="16"/>
                <w:szCs w:val="16"/>
                <w:b w:val="1"/>
                <w:bCs w:val="1"/>
                <w:color w:val="auto"/>
              </w:rPr>
              <w:t>Boston Properties, Inc.</w:t>
            </w:r>
          </w:p>
        </w:tc>
        <w:tc>
          <w:tcPr>
            <w:tcW w:w="4080" w:type="dxa"/>
            <w:vAlign w:val="bottom"/>
          </w:tcPr>
          <w:p>
            <w:pPr>
              <w:jc w:val="center"/>
              <w:spacing w:after="0"/>
              <w:rPr>
                <w:sz w:val="20"/>
                <w:szCs w:val="20"/>
                <w:color w:val="auto"/>
              </w:rPr>
            </w:pPr>
            <w:r>
              <w:rPr>
                <w:rFonts w:ascii="Arial" w:cs="Arial" w:eastAsia="Arial" w:hAnsi="Arial"/>
                <w:sz w:val="16"/>
                <w:szCs w:val="16"/>
                <w:b w:val="1"/>
                <w:bCs w:val="1"/>
                <w:color w:val="auto"/>
              </w:rPr>
              <w:t>Common Stock, par value $0.01 per share</w:t>
            </w:r>
          </w:p>
        </w:tc>
        <w:tc>
          <w:tcPr>
            <w:tcW w:w="3580" w:type="dxa"/>
            <w:vAlign w:val="bottom"/>
          </w:tcPr>
          <w:p>
            <w:pPr>
              <w:jc w:val="right"/>
              <w:ind w:right="1320"/>
              <w:spacing w:after="0"/>
              <w:rPr>
                <w:sz w:val="20"/>
                <w:szCs w:val="20"/>
                <w:color w:val="auto"/>
              </w:rPr>
            </w:pPr>
            <w:r>
              <w:rPr>
                <w:rFonts w:ascii="Arial" w:cs="Arial" w:eastAsia="Arial" w:hAnsi="Arial"/>
                <w:sz w:val="16"/>
                <w:szCs w:val="16"/>
                <w:b w:val="1"/>
                <w:bCs w:val="1"/>
                <w:color w:val="auto"/>
              </w:rPr>
              <w:t>156,169,178</w:t>
            </w:r>
          </w:p>
        </w:tc>
      </w:tr>
      <w:tr>
        <w:trPr>
          <w:trHeight w:val="213"/>
        </w:trPr>
        <w:tc>
          <w:tcPr>
            <w:tcW w:w="3580" w:type="dxa"/>
            <w:vAlign w:val="bottom"/>
          </w:tcPr>
          <w:p>
            <w:pPr>
              <w:jc w:val="center"/>
              <w:ind w:left="860"/>
              <w:spacing w:after="0"/>
              <w:rPr>
                <w:sz w:val="20"/>
                <w:szCs w:val="20"/>
                <w:color w:val="auto"/>
              </w:rPr>
            </w:pPr>
            <w:r>
              <w:rPr>
                <w:rFonts w:ascii="Arial" w:cs="Arial" w:eastAsia="Arial" w:hAnsi="Arial"/>
                <w:sz w:val="16"/>
                <w:szCs w:val="16"/>
                <w:b w:val="1"/>
                <w:bCs w:val="1"/>
                <w:color w:val="auto"/>
                <w:w w:val="97"/>
              </w:rPr>
              <w:t>(Registrant)</w:t>
            </w:r>
          </w:p>
        </w:tc>
        <w:tc>
          <w:tcPr>
            <w:tcW w:w="4080" w:type="dxa"/>
            <w:vAlign w:val="bottom"/>
          </w:tcPr>
          <w:p>
            <w:pPr>
              <w:jc w:val="center"/>
              <w:spacing w:after="0"/>
              <w:rPr>
                <w:sz w:val="20"/>
                <w:szCs w:val="20"/>
                <w:color w:val="auto"/>
              </w:rPr>
            </w:pPr>
            <w:r>
              <w:rPr>
                <w:rFonts w:ascii="Arial" w:cs="Arial" w:eastAsia="Arial" w:hAnsi="Arial"/>
                <w:sz w:val="16"/>
                <w:szCs w:val="16"/>
                <w:b w:val="1"/>
                <w:bCs w:val="1"/>
                <w:color w:val="auto"/>
              </w:rPr>
              <w:t>(Class)</w:t>
            </w:r>
          </w:p>
        </w:tc>
        <w:tc>
          <w:tcPr>
            <w:tcW w:w="3580" w:type="dxa"/>
            <w:vAlign w:val="bottom"/>
          </w:tcPr>
          <w:p>
            <w:pPr>
              <w:jc w:val="center"/>
              <w:ind w:right="40"/>
              <w:spacing w:after="0"/>
              <w:rPr>
                <w:sz w:val="20"/>
                <w:szCs w:val="20"/>
                <w:color w:val="auto"/>
              </w:rPr>
            </w:pPr>
            <w:r>
              <w:rPr>
                <w:rFonts w:ascii="Arial" w:cs="Arial" w:eastAsia="Arial" w:hAnsi="Arial"/>
                <w:sz w:val="16"/>
                <w:szCs w:val="16"/>
                <w:b w:val="1"/>
                <w:bCs w:val="1"/>
                <w:color w:val="auto"/>
                <w:w w:val="99"/>
              </w:rPr>
              <w:t>(Outstanding on August 2, 2021)</w:t>
            </w:r>
          </w:p>
        </w:tc>
      </w:tr>
      <w:tr>
        <w:trPr>
          <w:trHeight w:val="165"/>
        </w:trPr>
        <w:tc>
          <w:tcPr>
            <w:tcW w:w="358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r>
      <w:tr>
        <w:trPr>
          <w:trHeight w:val="33"/>
        </w:trPr>
        <w:tc>
          <w:tcPr>
            <w:tcW w:w="35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838"/>
        </w:trPr>
        <w:tc>
          <w:tcPr>
            <w:tcW w:w="35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94"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 xml:space="preserve">This report combines the Quarterly Reports on Form </w:t>
      </w:r>
      <w:r>
        <w:rPr>
          <w:rFonts w:ascii="Arial" w:cs="Arial" w:eastAsia="Arial" w:hAnsi="Arial"/>
          <w:sz w:val="15"/>
          <w:szCs w:val="15"/>
          <w:color w:val="auto"/>
        </w:rPr>
        <w:t>10-Q</w:t>
      </w:r>
      <w:r>
        <w:rPr>
          <w:rFonts w:ascii="Arial" w:cs="Arial" w:eastAsia="Arial" w:hAnsi="Arial"/>
          <w:sz w:val="18"/>
          <w:szCs w:val="18"/>
          <w:color w:val="auto"/>
        </w:rPr>
        <w:t xml:space="preserve"> for the period ended June 30, 2021 of Boston Properties, Inc. and Boston Properties Limited Partnership. Unless stated otherwise or the context otherwise requires, references to “BXP” mean Boston Properties, Inc., a Delaware corporation and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mean collectively BXP, BPLP and those entities/subsidiaries consolidated by BXP.</w:t>
      </w:r>
    </w:p>
    <w:p>
      <w:pPr>
        <w:spacing w:after="0" w:line="157"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As of June 30, 2021, BXP owned an approximate 89.9% ownership interest in BPLP. The remaining approximate 10.1% interest was owned by limited partners. The other limited partners of BPLP are (1) persons who contributed their direct or indirect interests in properties to BPLP in exchange for common units or preferred units of limited partnership interest in BPLP and/or (2) recipients of long-term incentive plan units of BPLP pursuant to BXP’s Stock Option and Incentive Plans. Under the limited partnership agreement of BPLP, unitholders may present their common units of BPLP for redemption at any time (subject to restrictions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an equivalent number of common units of BPLP. This structure is commonly referred to as an umbrella partnership REIT, or UPREIT.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Company believes that combining the Quarterly Reports on Form </w:t>
      </w:r>
      <w:r>
        <w:rPr>
          <w:rFonts w:ascii="Arial" w:cs="Arial" w:eastAsia="Arial" w:hAnsi="Arial"/>
          <w:sz w:val="15"/>
          <w:szCs w:val="15"/>
          <w:color w:val="auto"/>
        </w:rPr>
        <w:t>10-Q</w:t>
      </w:r>
      <w:r>
        <w:rPr>
          <w:rFonts w:ascii="Arial" w:cs="Arial" w:eastAsia="Arial" w:hAnsi="Arial"/>
          <w:sz w:val="18"/>
          <w:szCs w:val="18"/>
          <w:color w:val="auto"/>
        </w:rPr>
        <w:t xml:space="preserve"> of BXP and BPLP into this single report:</w:t>
      </w:r>
    </w:p>
    <w:p>
      <w:pPr>
        <w:spacing w:after="0" w:line="152" w:lineRule="exact"/>
        <w:rPr>
          <w:sz w:val="20"/>
          <w:szCs w:val="20"/>
          <w:color w:val="auto"/>
        </w:rPr>
      </w:pPr>
    </w:p>
    <w:p>
      <w:pPr>
        <w:ind w:left="720" w:right="480" w:hanging="315"/>
        <w:spacing w:after="0" w:line="252" w:lineRule="auto"/>
        <w:tabs>
          <w:tab w:leader="none" w:pos="7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BXP and BPLP by enabling them to view the business as a whole in the same manner as management views and operates the business;</w:t>
      </w:r>
    </w:p>
    <w:p>
      <w:pPr>
        <w:spacing w:after="0" w:line="123" w:lineRule="exact"/>
        <w:rPr>
          <w:rFonts w:ascii="Arial" w:cs="Arial" w:eastAsia="Arial" w:hAnsi="Arial"/>
          <w:sz w:val="18"/>
          <w:szCs w:val="18"/>
          <w:color w:val="auto"/>
        </w:rPr>
      </w:pPr>
    </w:p>
    <w:p>
      <w:pPr>
        <w:ind w:left="720" w:right="660" w:hanging="315"/>
        <w:spacing w:after="0" w:line="252" w:lineRule="auto"/>
        <w:tabs>
          <w:tab w:leader="none" w:pos="7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duplicative disclosure and provides a more concise and readable presentation because a substantial portion of the disclosure applies to both BXP and BPLP; and</w:t>
      </w:r>
    </w:p>
    <w:p>
      <w:pPr>
        <w:spacing w:after="0" w:line="137" w:lineRule="exact"/>
        <w:rPr>
          <w:rFonts w:ascii="Arial" w:cs="Arial" w:eastAsia="Arial" w:hAnsi="Arial"/>
          <w:sz w:val="18"/>
          <w:szCs w:val="18"/>
          <w:color w:val="auto"/>
        </w:rPr>
      </w:pPr>
    </w:p>
    <w:p>
      <w:pPr>
        <w:ind w:left="720" w:hanging="315"/>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65"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joint ventures. BPLP conducts the operations of the business and is structured as a partnership with no publicly traded equity. Except for the net proceeds from equity offerings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w:t>
      </w:r>
    </w:p>
    <w:p>
      <w:pPr>
        <w:spacing w:after="0" w:line="157" w:lineRule="exact"/>
        <w:rPr>
          <w:sz w:val="20"/>
          <w:szCs w:val="20"/>
          <w:color w:val="auto"/>
        </w:rPr>
      </w:pPr>
    </w:p>
    <w:p>
      <w:pPr>
        <w:ind w:right="40" w:firstLine="439"/>
        <w:spacing w:after="0" w:line="268" w:lineRule="auto"/>
        <w:rPr>
          <w:sz w:val="20"/>
          <w:szCs w:val="20"/>
          <w:color w:val="auto"/>
        </w:rPr>
      </w:pPr>
      <w:r>
        <w:rPr>
          <w:rFonts w:ascii="Arial" w:cs="Arial" w:eastAsia="Arial" w:hAnsi="Arial"/>
          <w:sz w:val="17"/>
          <w:szCs w:val="17"/>
          <w:color w:val="auto"/>
        </w:rPr>
        <w:t>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 noncontrolling interests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298" w:right="3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BPLP and limited partners of BPLP. The differences between shareholders’ equity and partners’ capital result from differences in the equity issued at BXP and BPLP levels.</w:t>
      </w:r>
    </w:p>
    <w:p>
      <w:pPr>
        <w:spacing w:after="0" w:line="150"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This resulted in a difference between the net real estate of BXP as compared to BPLP of approximately $266.5 million, or 1.5% at June 30, 2021, and a corresponding difference in depreciation expense, impairment losses and gains on sales of real estate upon the sale of certain properties having an allocation of the real estate step-up. The acquisition accounting was nullified on a prospective basis beginning in 2009 as a result of the Company’s adoption of a new accounting standard requiring any future redemptions to be accounted for solely as an equity transaction.</w:t>
      </w:r>
    </w:p>
    <w:p>
      <w:pPr>
        <w:spacing w:after="0" w:line="158" w:lineRule="exact"/>
        <w:rPr>
          <w:sz w:val="20"/>
          <w:szCs w:val="20"/>
          <w:color w:val="auto"/>
        </w:rPr>
      </w:pPr>
    </w:p>
    <w:p>
      <w:pPr>
        <w:ind w:right="40" w:firstLine="439"/>
        <w:spacing w:after="0" w:line="252" w:lineRule="auto"/>
        <w:rPr>
          <w:sz w:val="20"/>
          <w:szCs w:val="20"/>
          <w:color w:val="auto"/>
        </w:rPr>
      </w:pPr>
      <w:r>
        <w:rPr>
          <w:rFonts w:ascii="Arial" w:cs="Arial" w:eastAsia="Arial" w:hAnsi="Arial"/>
          <w:sz w:val="18"/>
          <w:szCs w:val="18"/>
          <w:color w:val="auto"/>
        </w:rPr>
        <w:t>To help investors better understand the key differences between BXP and BPLP, certain information for BXP and BPLP in this report has been separated, as set forth below:</w:t>
      </w:r>
    </w:p>
    <w:p>
      <w:pPr>
        <w:spacing w:after="0" w:line="150" w:lineRule="exact"/>
        <w:rPr>
          <w:sz w:val="20"/>
          <w:szCs w:val="20"/>
          <w:color w:val="auto"/>
        </w:rPr>
      </w:pPr>
    </w:p>
    <w:p>
      <w:pPr>
        <w:ind w:left="1280" w:hanging="237"/>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1. Financial Statements (unaudited), which includes the following specific disclosures for BXP and BPLP:</w:t>
      </w:r>
    </w:p>
    <w:p>
      <w:pPr>
        <w:spacing w:after="0" w:line="165" w:lineRule="exact"/>
        <w:rPr>
          <w:rFonts w:ascii="Arial" w:cs="Arial" w:eastAsia="Arial" w:hAnsi="Arial"/>
          <w:sz w:val="18"/>
          <w:szCs w:val="18"/>
          <w:color w:val="auto"/>
        </w:rPr>
      </w:pPr>
    </w:p>
    <w:p>
      <w:pPr>
        <w:ind w:left="1920" w:hanging="198"/>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3. Real Estate;</w:t>
      </w:r>
    </w:p>
    <w:p>
      <w:pPr>
        <w:spacing w:after="0" w:line="165" w:lineRule="exact"/>
        <w:rPr>
          <w:rFonts w:ascii="Arial" w:cs="Arial" w:eastAsia="Arial" w:hAnsi="Arial"/>
          <w:sz w:val="18"/>
          <w:szCs w:val="18"/>
          <w:color w:val="auto"/>
        </w:rPr>
      </w:pPr>
    </w:p>
    <w:p>
      <w:pPr>
        <w:ind w:left="1920" w:hanging="198"/>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11. Stockholders’ Equity / Partners’ Capital;</w:t>
      </w:r>
    </w:p>
    <w:p>
      <w:pPr>
        <w:spacing w:after="0" w:line="165" w:lineRule="exact"/>
        <w:rPr>
          <w:rFonts w:ascii="Arial" w:cs="Arial" w:eastAsia="Arial" w:hAnsi="Arial"/>
          <w:sz w:val="18"/>
          <w:szCs w:val="18"/>
          <w:color w:val="auto"/>
        </w:rPr>
      </w:pPr>
    </w:p>
    <w:p>
      <w:pPr>
        <w:ind w:left="1920" w:hanging="198"/>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12. Segment Information; and</w:t>
      </w:r>
    </w:p>
    <w:p>
      <w:pPr>
        <w:spacing w:after="0" w:line="165" w:lineRule="exact"/>
        <w:rPr>
          <w:rFonts w:ascii="Arial" w:cs="Arial" w:eastAsia="Arial" w:hAnsi="Arial"/>
          <w:sz w:val="18"/>
          <w:szCs w:val="18"/>
          <w:color w:val="auto"/>
        </w:rPr>
      </w:pPr>
    </w:p>
    <w:p>
      <w:pPr>
        <w:ind w:left="1920" w:hanging="198"/>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13. Earnings Per Share / Common Unit</w:t>
      </w:r>
    </w:p>
    <w:p>
      <w:pPr>
        <w:spacing w:after="0" w:line="165" w:lineRule="exact"/>
        <w:rPr>
          <w:rFonts w:ascii="Arial" w:cs="Arial" w:eastAsia="Arial" w:hAnsi="Arial"/>
          <w:sz w:val="18"/>
          <w:szCs w:val="18"/>
          <w:color w:val="auto"/>
        </w:rPr>
      </w:pPr>
    </w:p>
    <w:p>
      <w:pPr>
        <w:ind w:left="1280" w:right="60" w:hanging="237"/>
        <w:spacing w:after="0" w:line="252" w:lineRule="auto"/>
        <w:tabs>
          <w:tab w:leader="none" w:pos="1271"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2. Management’s Discussion and Analysis of Financial Condition and Results of Operations includes information specific to each entity, where applicable; and</w:t>
      </w:r>
    </w:p>
    <w:p>
      <w:pPr>
        <w:spacing w:after="0" w:line="150" w:lineRule="exact"/>
        <w:rPr>
          <w:rFonts w:ascii="Arial" w:cs="Arial" w:eastAsia="Arial" w:hAnsi="Arial"/>
          <w:sz w:val="18"/>
          <w:szCs w:val="18"/>
          <w:color w:val="auto"/>
        </w:rPr>
      </w:pPr>
    </w:p>
    <w:p>
      <w:pPr>
        <w:ind w:left="1280" w:right="380" w:hanging="237"/>
        <w:spacing w:after="0" w:line="252" w:lineRule="auto"/>
        <w:tabs>
          <w:tab w:leader="none" w:pos="1271"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2. Liquidity and Capital Resources includes separate reconciliations of amounts to each entity’s financial statements, where applicable.</w:t>
      </w:r>
    </w:p>
    <w:p>
      <w:pPr>
        <w:spacing w:after="0" w:line="150" w:lineRule="exact"/>
        <w:rPr>
          <w:sz w:val="20"/>
          <w:szCs w:val="20"/>
          <w:color w:val="auto"/>
        </w:rPr>
      </w:pPr>
    </w:p>
    <w:p>
      <w:pPr>
        <w:ind w:right="180" w:firstLine="439"/>
        <w:spacing w:after="0" w:line="281" w:lineRule="auto"/>
        <w:rPr>
          <w:sz w:val="20"/>
          <w:szCs w:val="20"/>
          <w:color w:val="auto"/>
        </w:rPr>
      </w:pPr>
      <w:r>
        <w:rPr>
          <w:rFonts w:ascii="Arial" w:cs="Arial" w:eastAsia="Arial" w:hAnsi="Arial"/>
          <w:sz w:val="17"/>
          <w:szCs w:val="17"/>
          <w:color w:val="auto"/>
        </w:rPr>
        <w:t>This report also includes separate Part I - Item 4. Controls and Procedures and Part II - Item 2. Unregistered Sales of Equity Securities and Use of Proceeds sections for each of BXP and BPLP, as well as separate Exhibits 31 and 32 certifications for each of BXP and BPLP.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921385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298"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480" w:type="dxa"/>
            <w:vAlign w:val="bottom"/>
            <w:gridSpan w:val="25"/>
          </w:tcPr>
          <w:p>
            <w:pPr>
              <w:spacing w:after="0"/>
              <w:rPr>
                <w:rFonts w:ascii="Arial" w:cs="Arial" w:eastAsia="Arial" w:hAnsi="Arial"/>
                <w:sz w:val="18"/>
                <w:szCs w:val="18"/>
                <w:color w:val="0000FF"/>
              </w:rPr>
            </w:pPr>
            <w:r>
              <w:rPr>
                <w:rFonts w:ascii="Arial" w:cs="Arial" w:eastAsia="Arial" w:hAnsi="Arial"/>
                <w:sz w:val="18"/>
                <w:szCs w:val="18"/>
                <w:color w:val="0000FF"/>
              </w:rPr>
              <w:t xml:space="preserve">Table </w:t>
            </w:r>
            <w:hyperlink w:anchor="page4">
              <w:r>
                <w:rPr>
                  <w:rFonts w:ascii="Arial" w:cs="Arial" w:eastAsia="Arial" w:hAnsi="Arial"/>
                  <w:sz w:val="18"/>
                  <w:szCs w:val="18"/>
                  <w:color w:val="0000FF"/>
                </w:rPr>
                <w:t>of Contents</w:t>
              </w:r>
            </w:hyperlink>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5"/>
        </w:trPr>
        <w:tc>
          <w:tcPr>
            <w:tcW w:w="2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gridSpan w:val="18"/>
          </w:tcPr>
          <w:p>
            <w:pPr>
              <w:jc w:val="center"/>
              <w:ind w:right="1380"/>
              <w:spacing w:after="0"/>
              <w:rPr>
                <w:sz w:val="20"/>
                <w:szCs w:val="20"/>
                <w:color w:val="auto"/>
              </w:rPr>
            </w:pPr>
            <w:r>
              <w:rPr>
                <w:rFonts w:ascii="Arial" w:cs="Arial" w:eastAsia="Arial" w:hAnsi="Arial"/>
                <w:sz w:val="18"/>
                <w:szCs w:val="18"/>
                <w:b w:val="1"/>
                <w:bCs w:val="1"/>
                <w:color w:val="auto"/>
                <w:w w:val="98"/>
              </w:rPr>
              <w:t>BOSTON PROPERTIES, INC. AND BOSTON PROPERTIES LIMITED PARTNERSHIP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60" w:type="dxa"/>
            <w:vAlign w:val="bottom"/>
            <w:gridSpan w:val="10"/>
          </w:tcPr>
          <w:p>
            <w:pPr>
              <w:jc w:val="center"/>
              <w:ind w:right="4160"/>
              <w:spacing w:after="0"/>
              <w:rPr>
                <w:sz w:val="20"/>
                <w:szCs w:val="20"/>
                <w:color w:val="auto"/>
              </w:rPr>
            </w:pPr>
            <w:r>
              <w:rPr>
                <w:rFonts w:ascii="Arial" w:cs="Arial" w:eastAsia="Arial" w:hAnsi="Arial"/>
                <w:sz w:val="18"/>
                <w:szCs w:val="18"/>
                <w:b w:val="1"/>
                <w:bCs w:val="1"/>
                <w:color w:val="auto"/>
                <w:w w:val="97"/>
              </w:rPr>
              <w:t>FORM 10-Q</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gridSpan w:val="11"/>
          </w:tcPr>
          <w:p>
            <w:pPr>
              <w:jc w:val="center"/>
              <w:ind w:right="2980"/>
              <w:spacing w:after="0"/>
              <w:rPr>
                <w:sz w:val="20"/>
                <w:szCs w:val="20"/>
                <w:color w:val="auto"/>
              </w:rPr>
            </w:pPr>
            <w:r>
              <w:rPr>
                <w:rFonts w:ascii="Arial" w:cs="Arial" w:eastAsia="Arial" w:hAnsi="Arial"/>
                <w:sz w:val="18"/>
                <w:szCs w:val="18"/>
                <w:b w:val="1"/>
                <w:bCs w:val="1"/>
                <w:color w:val="auto"/>
                <w:w w:val="98"/>
              </w:rPr>
              <w:t>for the quarter ended June 30, 2021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gridSpan w:val="11"/>
          </w:tcPr>
          <w:p>
            <w:pPr>
              <w:jc w:val="center"/>
              <w:ind w:right="2980"/>
              <w:spacing w:after="0"/>
              <w:rPr>
                <w:sz w:val="20"/>
                <w:szCs w:val="20"/>
                <w:color w:val="auto"/>
              </w:rPr>
            </w:pPr>
            <w:r>
              <w:rPr>
                <w:rFonts w:ascii="Arial" w:cs="Arial" w:eastAsia="Arial" w:hAnsi="Arial"/>
                <w:sz w:val="18"/>
                <w:szCs w:val="18"/>
                <w:b w:val="1"/>
                <w:bCs w:val="1"/>
                <w:color w:val="auto"/>
                <w:w w:val="97"/>
              </w:rPr>
              <w:t>TABLE OF CONTENTS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2"/>
        </w:trPr>
        <w:tc>
          <w:tcPr>
            <w:tcW w:w="20" w:type="dxa"/>
            <w:vAlign w:val="bottom"/>
          </w:tcPr>
          <w:p>
            <w:pPr>
              <w:spacing w:after="0"/>
              <w:rPr>
                <w:sz w:val="24"/>
                <w:szCs w:val="24"/>
                <w:color w:val="auto"/>
              </w:rPr>
            </w:pPr>
          </w:p>
        </w:tc>
        <w:tc>
          <w:tcPr>
            <w:tcW w:w="2920" w:type="dxa"/>
            <w:vAlign w:val="bottom"/>
            <w:gridSpan w:val="10"/>
            <w:vMerge w:val="restart"/>
          </w:tcPr>
          <w:p>
            <w:pPr>
              <w:spacing w:after="0"/>
              <w:rPr>
                <w:rFonts w:ascii="Arial" w:cs="Arial" w:eastAsia="Arial" w:hAnsi="Arial"/>
                <w:sz w:val="18"/>
                <w:szCs w:val="18"/>
                <w:b w:val="1"/>
                <w:bCs w:val="1"/>
                <w:color w:val="0000FF"/>
                <w:w w:val="97"/>
              </w:rPr>
            </w:pPr>
            <w:hyperlink w:anchor="page5">
              <w:r>
                <w:rPr>
                  <w:rFonts w:ascii="Arial" w:cs="Arial" w:eastAsia="Arial" w:hAnsi="Arial"/>
                  <w:sz w:val="18"/>
                  <w:szCs w:val="18"/>
                  <w:b w:val="1"/>
                  <w:bCs w:val="1"/>
                  <w:color w:val="0000FF"/>
                  <w:w w:val="97"/>
                </w:rPr>
                <w:t>PART I. FINANCIAL INFORMATION</w:t>
              </w:r>
            </w:hyperlink>
          </w:p>
        </w:tc>
        <w:tc>
          <w:tcPr>
            <w:tcW w:w="7540" w:type="dxa"/>
            <w:vAlign w:val="bottom"/>
            <w:gridSpan w:val="14"/>
            <w:vMerge w:val="restart"/>
          </w:tcPr>
          <w:p>
            <w:pPr>
              <w:spacing w:after="0"/>
              <w:rPr>
                <w:sz w:val="24"/>
                <w:szCs w:val="24"/>
                <w:color w:val="auto"/>
              </w:rPr>
            </w:pPr>
          </w:p>
        </w:tc>
        <w:tc>
          <w:tcPr>
            <w:tcW w:w="7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20" w:type="dxa"/>
            <w:vAlign w:val="bottom"/>
            <w:tcBorders>
              <w:bottom w:val="single" w:sz="8" w:color="0000FF"/>
            </w:tcBorders>
            <w:gridSpan w:val="10"/>
            <w:vMerge w:val="continue"/>
          </w:tcPr>
          <w:p>
            <w:pPr>
              <w:spacing w:after="0"/>
              <w:rPr>
                <w:sz w:val="14"/>
                <w:szCs w:val="14"/>
                <w:color w:val="auto"/>
              </w:rPr>
            </w:pPr>
          </w:p>
        </w:tc>
        <w:tc>
          <w:tcPr>
            <w:tcW w:w="7540" w:type="dxa"/>
            <w:vAlign w:val="bottom"/>
            <w:gridSpan w:val="14"/>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20" w:type="dxa"/>
            <w:vAlign w:val="bottom"/>
          </w:tcPr>
          <w:p>
            <w:pPr>
              <w:spacing w:after="0"/>
              <w:rPr>
                <w:sz w:val="24"/>
                <w:szCs w:val="24"/>
                <w:color w:val="auto"/>
              </w:rPr>
            </w:pPr>
          </w:p>
        </w:tc>
        <w:tc>
          <w:tcPr>
            <w:tcW w:w="10460" w:type="dxa"/>
            <w:vAlign w:val="bottom"/>
            <w:gridSpan w:val="24"/>
          </w:tcPr>
          <w:p>
            <w:pPr>
              <w:spacing w:after="0"/>
              <w:rPr>
                <w:sz w:val="20"/>
                <w:szCs w:val="20"/>
                <w:color w:val="auto"/>
              </w:rPr>
            </w:pPr>
            <w:r>
              <w:rPr>
                <w:rFonts w:ascii="Arial" w:cs="Arial" w:eastAsia="Arial" w:hAnsi="Arial"/>
                <w:sz w:val="18"/>
                <w:szCs w:val="18"/>
                <w:color w:val="auto"/>
              </w:rPr>
              <w:t>Boston Properties, Inc.</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80" w:type="dxa"/>
            <w:vAlign w:val="bottom"/>
            <w:gridSpan w:val="16"/>
          </w:tcPr>
          <w:p>
            <w:pPr>
              <w:spacing w:after="0" w:line="188" w:lineRule="exact"/>
              <w:rPr>
                <w:rFonts w:ascii="Arial" w:cs="Arial" w:eastAsia="Arial" w:hAnsi="Arial"/>
                <w:sz w:val="18"/>
                <w:szCs w:val="18"/>
                <w:color w:val="0000FF"/>
                <w:w w:val="97"/>
              </w:rPr>
            </w:pPr>
            <w:hyperlink w:anchor="page6">
              <w:r>
                <w:rPr>
                  <w:rFonts w:ascii="Arial" w:cs="Arial" w:eastAsia="Arial" w:hAnsi="Arial"/>
                  <w:sz w:val="18"/>
                  <w:szCs w:val="18"/>
                  <w:color w:val="0000FF"/>
                  <w:w w:val="97"/>
                </w:rPr>
                <w:t xml:space="preserve">a) Consolidated Balance Sheets as of June </w:t>
              </w:r>
            </w:hyperlink>
            <w:r>
              <w:rPr>
                <w:rFonts w:ascii="Arial" w:cs="Arial" w:eastAsia="Arial" w:hAnsi="Arial"/>
                <w:sz w:val="18"/>
                <w:szCs w:val="18"/>
                <w:color w:val="0000FF"/>
                <w:w w:val="97"/>
              </w:rPr>
              <w:t xml:space="preserve">30, </w:t>
            </w:r>
            <w:hyperlink w:anchor="page6">
              <w:r>
                <w:rPr>
                  <w:rFonts w:ascii="Arial" w:cs="Arial" w:eastAsia="Arial" w:hAnsi="Arial"/>
                  <w:sz w:val="18"/>
                  <w:szCs w:val="18"/>
                  <w:color w:val="0000FF"/>
                  <w:w w:val="97"/>
                </w:rPr>
                <w:t>2021 and December 31, 2020</w:t>
              </w:r>
            </w:hyperlink>
          </w:p>
        </w:tc>
        <w:tc>
          <w:tcPr>
            <w:tcW w:w="3220" w:type="dxa"/>
            <w:vAlign w:val="bottom"/>
            <w:gridSpan w:val="7"/>
          </w:tcPr>
          <w:p>
            <w:pPr>
              <w:spacing w:after="0"/>
              <w:rPr>
                <w:sz w:val="16"/>
                <w:szCs w:val="16"/>
                <w:color w:val="auto"/>
              </w:rPr>
            </w:pPr>
          </w:p>
        </w:tc>
        <w:tc>
          <w:tcPr>
            <w:tcW w:w="640" w:type="dxa"/>
            <w:vAlign w:val="bottom"/>
            <w:gridSpan w:val="3"/>
          </w:tcPr>
          <w:p>
            <w:pPr>
              <w:spacing w:after="0"/>
              <w:rPr>
                <w:sz w:val="16"/>
                <w:szCs w:val="16"/>
                <w:color w:val="auto"/>
              </w:rPr>
            </w:pPr>
          </w:p>
        </w:tc>
        <w:tc>
          <w:tcPr>
            <w:tcW w:w="120" w:type="dxa"/>
            <w:vAlign w:val="bottom"/>
            <w:gridSpan w:val="2"/>
          </w:tcPr>
          <w:p>
            <w:pPr>
              <w:jc w:val="right"/>
              <w:ind w:right="20"/>
              <w:spacing w:after="0" w:line="188"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40" w:type="dxa"/>
            <w:vAlign w:val="bottom"/>
            <w:gridSpan w:val="20"/>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 xml:space="preserve">b) Consolidated Statements of Operations for the three and six months ended </w:t>
              </w:r>
            </w:hyperlink>
            <w:hyperlink w:anchor="page6">
              <w:r>
                <w:rPr>
                  <w:rFonts w:ascii="Arial" w:cs="Arial" w:eastAsia="Arial" w:hAnsi="Arial"/>
                  <w:sz w:val="18"/>
                  <w:szCs w:val="18"/>
                  <w:color w:val="0000FF"/>
                  <w:w w:val="98"/>
                </w:rPr>
                <w:t xml:space="preserve">June 30, </w:t>
              </w:r>
            </w:hyperlink>
            <w:hyperlink w:anchor="page7">
              <w:r>
                <w:rPr>
                  <w:rFonts w:ascii="Arial" w:cs="Arial" w:eastAsia="Arial" w:hAnsi="Arial"/>
                  <w:sz w:val="18"/>
                  <w:szCs w:val="18"/>
                  <w:color w:val="0000FF"/>
                  <w:w w:val="98"/>
                </w:rPr>
                <w:t>2021 and 2020</w:t>
              </w:r>
            </w:hyperlink>
          </w:p>
        </w:tc>
        <w:tc>
          <w:tcPr>
            <w:tcW w:w="1260" w:type="dxa"/>
            <w:vAlign w:val="bottom"/>
            <w:gridSpan w:val="3"/>
          </w:tcPr>
          <w:p>
            <w:pPr>
              <w:spacing w:after="0"/>
              <w:rPr>
                <w:sz w:val="17"/>
                <w:szCs w:val="17"/>
                <w:color w:val="auto"/>
              </w:rPr>
            </w:pPr>
          </w:p>
        </w:tc>
        <w:tc>
          <w:tcPr>
            <w:tcW w:w="640" w:type="dxa"/>
            <w:vAlign w:val="bottom"/>
            <w:gridSpan w:val="3"/>
          </w:tcPr>
          <w:p>
            <w:pPr>
              <w:spacing w:after="0"/>
              <w:rPr>
                <w:sz w:val="17"/>
                <w:szCs w:val="17"/>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40" w:type="dxa"/>
            <w:vAlign w:val="bottom"/>
            <w:gridSpan w:val="21"/>
          </w:tcPr>
          <w:p>
            <w:pPr>
              <w:spacing w:after="0"/>
              <w:rPr>
                <w:rFonts w:ascii="Arial" w:cs="Arial" w:eastAsia="Arial" w:hAnsi="Arial"/>
                <w:sz w:val="18"/>
                <w:szCs w:val="18"/>
                <w:color w:val="0000FF"/>
                <w:w w:val="98"/>
              </w:rPr>
            </w:pPr>
            <w:hyperlink w:anchor="page8">
              <w:r>
                <w:rPr>
                  <w:rFonts w:ascii="Arial" w:cs="Arial" w:eastAsia="Arial" w:hAnsi="Arial"/>
                  <w:sz w:val="18"/>
                  <w:szCs w:val="18"/>
                  <w:color w:val="0000FF"/>
                  <w:w w:val="98"/>
                </w:rPr>
                <w:t xml:space="preserve">c) Consolidated Statements of Comprehensive Income for the three and six months ended </w:t>
              </w:r>
            </w:hyperlink>
            <w:hyperlink w:anchor="page6">
              <w:r>
                <w:rPr>
                  <w:rFonts w:ascii="Arial" w:cs="Arial" w:eastAsia="Arial" w:hAnsi="Arial"/>
                  <w:sz w:val="18"/>
                  <w:szCs w:val="18"/>
                  <w:color w:val="0000FF"/>
                  <w:w w:val="98"/>
                </w:rPr>
                <w:t xml:space="preserve">June 30, </w:t>
              </w:r>
            </w:hyperlink>
            <w:hyperlink w:anchor="page8">
              <w:r>
                <w:rPr>
                  <w:rFonts w:ascii="Arial" w:cs="Arial" w:eastAsia="Arial" w:hAnsi="Arial"/>
                  <w:sz w:val="18"/>
                  <w:szCs w:val="18"/>
                  <w:color w:val="0000FF"/>
                  <w:w w:val="98"/>
                </w:rPr>
                <w:t>2021 and 2020</w:t>
              </w:r>
            </w:hyperlink>
          </w:p>
        </w:tc>
        <w:tc>
          <w:tcPr>
            <w:tcW w:w="260" w:type="dxa"/>
            <w:vAlign w:val="bottom"/>
            <w:gridSpan w:val="2"/>
          </w:tcPr>
          <w:p>
            <w:pPr>
              <w:spacing w:after="0"/>
              <w:rPr>
                <w:sz w:val="17"/>
                <w:szCs w:val="17"/>
                <w:color w:val="auto"/>
              </w:rPr>
            </w:pPr>
          </w:p>
        </w:tc>
        <w:tc>
          <w:tcPr>
            <w:tcW w:w="640" w:type="dxa"/>
            <w:vAlign w:val="bottom"/>
            <w:gridSpan w:val="3"/>
          </w:tcPr>
          <w:p>
            <w:pPr>
              <w:spacing w:after="0"/>
              <w:rPr>
                <w:sz w:val="17"/>
                <w:szCs w:val="17"/>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40" w:type="dxa"/>
            <w:vAlign w:val="bottom"/>
            <w:gridSpan w:val="21"/>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 xml:space="preserve">d) Consolidated Statements of Equity for the three and six months ended </w:t>
              </w:r>
            </w:hyperlink>
            <w:hyperlink w:anchor="page6">
              <w:r>
                <w:rPr>
                  <w:rFonts w:ascii="Arial" w:cs="Arial" w:eastAsia="Arial" w:hAnsi="Arial"/>
                  <w:sz w:val="18"/>
                  <w:szCs w:val="18"/>
                  <w:color w:val="0000FF"/>
                </w:rPr>
                <w:t xml:space="preserve">June 30, </w:t>
              </w:r>
            </w:hyperlink>
            <w:hyperlink w:anchor="page9">
              <w:r>
                <w:rPr>
                  <w:rFonts w:ascii="Arial" w:cs="Arial" w:eastAsia="Arial" w:hAnsi="Arial"/>
                  <w:sz w:val="18"/>
                  <w:szCs w:val="18"/>
                  <w:color w:val="0000FF"/>
                </w:rPr>
                <w:t>2021 and 2020</w:t>
              </w:r>
            </w:hyperlink>
          </w:p>
        </w:tc>
        <w:tc>
          <w:tcPr>
            <w:tcW w:w="260" w:type="dxa"/>
            <w:vAlign w:val="bottom"/>
            <w:gridSpan w:val="2"/>
          </w:tcPr>
          <w:p>
            <w:pPr>
              <w:spacing w:after="0"/>
              <w:rPr>
                <w:sz w:val="17"/>
                <w:szCs w:val="17"/>
                <w:color w:val="auto"/>
              </w:rPr>
            </w:pPr>
          </w:p>
        </w:tc>
        <w:tc>
          <w:tcPr>
            <w:tcW w:w="640" w:type="dxa"/>
            <w:vAlign w:val="bottom"/>
            <w:gridSpan w:val="3"/>
          </w:tcPr>
          <w:p>
            <w:pPr>
              <w:spacing w:after="0"/>
              <w:rPr>
                <w:sz w:val="17"/>
                <w:szCs w:val="17"/>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300" w:type="dxa"/>
            <w:vAlign w:val="bottom"/>
            <w:gridSpan w:val="18"/>
          </w:tcPr>
          <w:p>
            <w:pPr>
              <w:spacing w:after="0"/>
              <w:rPr>
                <w:rFonts w:ascii="Arial" w:cs="Arial" w:eastAsia="Arial" w:hAnsi="Arial"/>
                <w:sz w:val="18"/>
                <w:szCs w:val="18"/>
                <w:color w:val="0000FF"/>
                <w:w w:val="98"/>
              </w:rPr>
            </w:pPr>
            <w:hyperlink w:anchor="page11">
              <w:r>
                <w:rPr>
                  <w:rFonts w:ascii="Arial" w:cs="Arial" w:eastAsia="Arial" w:hAnsi="Arial"/>
                  <w:sz w:val="18"/>
                  <w:szCs w:val="18"/>
                  <w:color w:val="0000FF"/>
                  <w:w w:val="98"/>
                </w:rPr>
                <w:t xml:space="preserve">e) Consolidated Statements of Cash Flows for the six months ended </w:t>
              </w:r>
            </w:hyperlink>
            <w:hyperlink w:anchor="page6">
              <w:r>
                <w:rPr>
                  <w:rFonts w:ascii="Arial" w:cs="Arial" w:eastAsia="Arial" w:hAnsi="Arial"/>
                  <w:sz w:val="18"/>
                  <w:szCs w:val="18"/>
                  <w:color w:val="0000FF"/>
                  <w:w w:val="98"/>
                </w:rPr>
                <w:t xml:space="preserve">June 30, </w:t>
              </w:r>
            </w:hyperlink>
            <w:hyperlink w:anchor="page11">
              <w:r>
                <w:rPr>
                  <w:rFonts w:ascii="Arial" w:cs="Arial" w:eastAsia="Arial" w:hAnsi="Arial"/>
                  <w:sz w:val="18"/>
                  <w:szCs w:val="18"/>
                  <w:color w:val="0000FF"/>
                  <w:w w:val="98"/>
                </w:rPr>
                <w:t>2021 and 2020</w:t>
              </w:r>
            </w:hyperlink>
          </w:p>
        </w:tc>
        <w:tc>
          <w:tcPr>
            <w:tcW w:w="360" w:type="dxa"/>
            <w:vAlign w:val="bottom"/>
          </w:tcPr>
          <w:p>
            <w:pPr>
              <w:spacing w:after="0"/>
              <w:rPr>
                <w:sz w:val="17"/>
                <w:szCs w:val="17"/>
                <w:color w:val="auto"/>
              </w:rPr>
            </w:pPr>
          </w:p>
        </w:tc>
        <w:tc>
          <w:tcPr>
            <w:tcW w:w="1640" w:type="dxa"/>
            <w:vAlign w:val="bottom"/>
            <w:gridSpan w:val="4"/>
          </w:tcPr>
          <w:p>
            <w:pPr>
              <w:spacing w:after="0"/>
              <w:rPr>
                <w:sz w:val="17"/>
                <w:szCs w:val="17"/>
                <w:color w:val="auto"/>
              </w:rPr>
            </w:pPr>
          </w:p>
        </w:tc>
        <w:tc>
          <w:tcPr>
            <w:tcW w:w="640" w:type="dxa"/>
            <w:vAlign w:val="bottom"/>
            <w:gridSpan w:val="3"/>
          </w:tcPr>
          <w:p>
            <w:pPr>
              <w:spacing w:after="0"/>
              <w:rPr>
                <w:sz w:val="17"/>
                <w:szCs w:val="17"/>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10460" w:type="dxa"/>
            <w:vAlign w:val="bottom"/>
            <w:gridSpan w:val="24"/>
          </w:tcPr>
          <w:p>
            <w:pPr>
              <w:spacing w:after="0"/>
              <w:rPr>
                <w:sz w:val="20"/>
                <w:szCs w:val="20"/>
                <w:color w:val="auto"/>
              </w:rPr>
            </w:pPr>
            <w:r>
              <w:rPr>
                <w:rFonts w:ascii="Arial" w:cs="Arial" w:eastAsia="Arial" w:hAnsi="Arial"/>
                <w:sz w:val="18"/>
                <w:szCs w:val="18"/>
                <w:color w:val="auto"/>
              </w:rPr>
              <w:t>Boston Properties Limited Partnership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960" w:type="dxa"/>
            <w:vAlign w:val="bottom"/>
            <w:gridSpan w:val="17"/>
          </w:tcPr>
          <w:p>
            <w:pPr>
              <w:spacing w:after="0" w:line="188" w:lineRule="exact"/>
              <w:rPr>
                <w:rFonts w:ascii="Arial" w:cs="Arial" w:eastAsia="Arial" w:hAnsi="Arial"/>
                <w:sz w:val="18"/>
                <w:szCs w:val="18"/>
                <w:color w:val="0000FF"/>
              </w:rPr>
            </w:pPr>
            <w:hyperlink w:anchor="page14">
              <w:r>
                <w:rPr>
                  <w:rFonts w:ascii="Arial" w:cs="Arial" w:eastAsia="Arial" w:hAnsi="Arial"/>
                  <w:sz w:val="18"/>
                  <w:szCs w:val="18"/>
                  <w:color w:val="0000FF"/>
                </w:rPr>
                <w:t xml:space="preserve">a) Consolidated Balance Sheets as of </w:t>
              </w:r>
            </w:hyperlink>
            <w:hyperlink w:anchor="page6">
              <w:r>
                <w:rPr>
                  <w:rFonts w:ascii="Arial" w:cs="Arial" w:eastAsia="Arial" w:hAnsi="Arial"/>
                  <w:sz w:val="18"/>
                  <w:szCs w:val="18"/>
                  <w:color w:val="0000FF"/>
                </w:rPr>
                <w:t xml:space="preserve">June 30, </w:t>
              </w:r>
            </w:hyperlink>
            <w:hyperlink w:anchor="page14">
              <w:r>
                <w:rPr>
                  <w:rFonts w:ascii="Arial" w:cs="Arial" w:eastAsia="Arial" w:hAnsi="Arial"/>
                  <w:sz w:val="18"/>
                  <w:szCs w:val="18"/>
                  <w:color w:val="0000FF"/>
                </w:rPr>
                <w:t>2021 and December 31, 2020</w:t>
              </w:r>
            </w:hyperlink>
          </w:p>
        </w:tc>
        <w:tc>
          <w:tcPr>
            <w:tcW w:w="2340" w:type="dxa"/>
            <w:vAlign w:val="bottom"/>
            <w:gridSpan w:val="6"/>
          </w:tcPr>
          <w:p>
            <w:pPr>
              <w:spacing w:after="0"/>
              <w:rPr>
                <w:sz w:val="16"/>
                <w:szCs w:val="16"/>
                <w:color w:val="auto"/>
              </w:rPr>
            </w:pPr>
          </w:p>
        </w:tc>
        <w:tc>
          <w:tcPr>
            <w:tcW w:w="640" w:type="dxa"/>
            <w:vAlign w:val="bottom"/>
            <w:gridSpan w:val="3"/>
          </w:tcPr>
          <w:p>
            <w:pPr>
              <w:spacing w:after="0"/>
              <w:rPr>
                <w:sz w:val="16"/>
                <w:szCs w:val="16"/>
                <w:color w:val="auto"/>
              </w:rPr>
            </w:pPr>
          </w:p>
        </w:tc>
        <w:tc>
          <w:tcPr>
            <w:tcW w:w="120" w:type="dxa"/>
            <w:vAlign w:val="bottom"/>
            <w:gridSpan w:val="2"/>
          </w:tcPr>
          <w:p>
            <w:pPr>
              <w:jc w:val="right"/>
              <w:ind w:right="20"/>
              <w:spacing w:after="0" w:line="188" w:lineRule="exact"/>
              <w:rPr>
                <w:rFonts w:ascii="Arial" w:cs="Arial" w:eastAsia="Arial" w:hAnsi="Arial"/>
                <w:sz w:val="18"/>
                <w:szCs w:val="18"/>
                <w:color w:val="0000FF"/>
                <w:w w:val="79"/>
              </w:rPr>
            </w:pPr>
            <w:hyperlink w:anchor="page14">
              <w:r>
                <w:rPr>
                  <w:rFonts w:ascii="Arial" w:cs="Arial" w:eastAsia="Arial" w:hAnsi="Arial"/>
                  <w:sz w:val="18"/>
                  <w:szCs w:val="18"/>
                  <w:color w:val="0000FF"/>
                  <w:w w:val="79"/>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40" w:type="dxa"/>
            <w:vAlign w:val="bottom"/>
            <w:gridSpan w:val="20"/>
          </w:tcPr>
          <w:p>
            <w:pPr>
              <w:spacing w:after="0"/>
              <w:rPr>
                <w:rFonts w:ascii="Arial" w:cs="Arial" w:eastAsia="Arial" w:hAnsi="Arial"/>
                <w:sz w:val="18"/>
                <w:szCs w:val="18"/>
                <w:color w:val="0000FF"/>
                <w:w w:val="98"/>
              </w:rPr>
            </w:pPr>
            <w:hyperlink w:anchor="page15">
              <w:r>
                <w:rPr>
                  <w:rFonts w:ascii="Arial" w:cs="Arial" w:eastAsia="Arial" w:hAnsi="Arial"/>
                  <w:sz w:val="18"/>
                  <w:szCs w:val="18"/>
                  <w:color w:val="0000FF"/>
                  <w:w w:val="98"/>
                </w:rPr>
                <w:t xml:space="preserve">b) Consolidated Statements of Operations for the three and six months ended </w:t>
              </w:r>
            </w:hyperlink>
            <w:hyperlink w:anchor="page6">
              <w:r>
                <w:rPr>
                  <w:rFonts w:ascii="Arial" w:cs="Arial" w:eastAsia="Arial" w:hAnsi="Arial"/>
                  <w:sz w:val="18"/>
                  <w:szCs w:val="18"/>
                  <w:color w:val="0000FF"/>
                  <w:w w:val="98"/>
                </w:rPr>
                <w:t xml:space="preserve">June 30, </w:t>
              </w:r>
            </w:hyperlink>
            <w:hyperlink w:anchor="page15">
              <w:r>
                <w:rPr>
                  <w:rFonts w:ascii="Arial" w:cs="Arial" w:eastAsia="Arial" w:hAnsi="Arial"/>
                  <w:sz w:val="18"/>
                  <w:szCs w:val="18"/>
                  <w:color w:val="0000FF"/>
                  <w:w w:val="98"/>
                </w:rPr>
                <w:t>2021 and 2020</w:t>
              </w:r>
            </w:hyperlink>
          </w:p>
        </w:tc>
        <w:tc>
          <w:tcPr>
            <w:tcW w:w="1260" w:type="dxa"/>
            <w:vAlign w:val="bottom"/>
            <w:gridSpan w:val="3"/>
          </w:tcPr>
          <w:p>
            <w:pPr>
              <w:spacing w:after="0"/>
              <w:rPr>
                <w:sz w:val="17"/>
                <w:szCs w:val="17"/>
                <w:color w:val="auto"/>
              </w:rPr>
            </w:pPr>
          </w:p>
        </w:tc>
        <w:tc>
          <w:tcPr>
            <w:tcW w:w="540" w:type="dxa"/>
            <w:vAlign w:val="bottom"/>
            <w:gridSpan w:val="2"/>
          </w:tcPr>
          <w:p>
            <w:pPr>
              <w:spacing w:after="0"/>
              <w:rPr>
                <w:sz w:val="17"/>
                <w:szCs w:val="17"/>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40" w:type="dxa"/>
            <w:vAlign w:val="bottom"/>
            <w:gridSpan w:val="21"/>
          </w:tcPr>
          <w:p>
            <w:pPr>
              <w:spacing w:after="0"/>
              <w:rPr>
                <w:rFonts w:ascii="Arial" w:cs="Arial" w:eastAsia="Arial" w:hAnsi="Arial"/>
                <w:sz w:val="18"/>
                <w:szCs w:val="18"/>
                <w:color w:val="0000FF"/>
                <w:w w:val="98"/>
              </w:rPr>
            </w:pPr>
            <w:hyperlink w:anchor="page16">
              <w:r>
                <w:rPr>
                  <w:rFonts w:ascii="Arial" w:cs="Arial" w:eastAsia="Arial" w:hAnsi="Arial"/>
                  <w:sz w:val="18"/>
                  <w:szCs w:val="18"/>
                  <w:color w:val="0000FF"/>
                  <w:w w:val="98"/>
                </w:rPr>
                <w:t xml:space="preserve">c) Consolidated Statements of Comprehensive Income for the three and six months ended </w:t>
              </w:r>
            </w:hyperlink>
            <w:hyperlink w:anchor="page6">
              <w:r>
                <w:rPr>
                  <w:rFonts w:ascii="Arial" w:cs="Arial" w:eastAsia="Arial" w:hAnsi="Arial"/>
                  <w:sz w:val="18"/>
                  <w:szCs w:val="18"/>
                  <w:color w:val="0000FF"/>
                  <w:w w:val="98"/>
                </w:rPr>
                <w:t xml:space="preserve">June 30, </w:t>
              </w:r>
            </w:hyperlink>
            <w:hyperlink w:anchor="page16">
              <w:r>
                <w:rPr>
                  <w:rFonts w:ascii="Arial" w:cs="Arial" w:eastAsia="Arial" w:hAnsi="Arial"/>
                  <w:sz w:val="18"/>
                  <w:szCs w:val="18"/>
                  <w:color w:val="0000FF"/>
                  <w:w w:val="98"/>
                </w:rPr>
                <w:t>2021 and 2020</w:t>
              </w:r>
            </w:hyperlink>
          </w:p>
        </w:tc>
        <w:tc>
          <w:tcPr>
            <w:tcW w:w="26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300" w:type="dxa"/>
            <w:vAlign w:val="bottom"/>
            <w:gridSpan w:val="23"/>
          </w:tcPr>
          <w:p>
            <w:pPr>
              <w:spacing w:after="0"/>
              <w:rPr>
                <w:rFonts w:ascii="Arial" w:cs="Arial" w:eastAsia="Arial" w:hAnsi="Arial"/>
                <w:sz w:val="18"/>
                <w:szCs w:val="18"/>
                <w:color w:val="0000FF"/>
                <w:w w:val="99"/>
              </w:rPr>
            </w:pPr>
            <w:hyperlink w:anchor="page17">
              <w:r>
                <w:rPr>
                  <w:rFonts w:ascii="Arial" w:cs="Arial" w:eastAsia="Arial" w:hAnsi="Arial"/>
                  <w:sz w:val="18"/>
                  <w:szCs w:val="18"/>
                  <w:color w:val="0000FF"/>
                  <w:w w:val="99"/>
                </w:rPr>
                <w:t>d) Consolidated Statements of Capital and Noncontrolling Interests for the three and six months ended June 30, 2021</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17">
              <w:r>
                <w:rPr>
                  <w:rFonts w:ascii="Arial" w:cs="Arial" w:eastAsia="Arial" w:hAnsi="Arial"/>
                  <w:sz w:val="18"/>
                  <w:szCs w:val="18"/>
                  <w:color w:val="0000FF"/>
                </w:rPr>
                <w:t>13</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960" w:type="dxa"/>
            <w:vAlign w:val="bottom"/>
            <w:tcBorders>
              <w:top w:val="single" w:sz="8" w:color="0000FF"/>
            </w:tcBorders>
            <w:gridSpan w:val="20"/>
          </w:tcPr>
          <w:p>
            <w:pPr>
              <w:spacing w:after="0" w:line="153" w:lineRule="exact"/>
              <w:rPr>
                <w:rFonts w:ascii="Arial" w:cs="Arial" w:eastAsia="Arial" w:hAnsi="Arial"/>
                <w:sz w:val="17"/>
                <w:szCs w:val="17"/>
                <w:color w:val="0000FF"/>
              </w:rPr>
            </w:pPr>
            <w:hyperlink w:anchor="page17">
              <w:r>
                <w:rPr>
                  <w:rFonts w:ascii="Arial" w:cs="Arial" w:eastAsia="Arial" w:hAnsi="Arial"/>
                  <w:sz w:val="17"/>
                  <w:szCs w:val="17"/>
                  <w:color w:val="0000FF"/>
                </w:rPr>
                <w:t>and 2020</w:t>
              </w:r>
            </w:hyperlink>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300" w:type="dxa"/>
            <w:vAlign w:val="bottom"/>
            <w:gridSpan w:val="18"/>
          </w:tcPr>
          <w:p>
            <w:pPr>
              <w:spacing w:after="0"/>
              <w:rPr>
                <w:rFonts w:ascii="Arial" w:cs="Arial" w:eastAsia="Arial" w:hAnsi="Arial"/>
                <w:sz w:val="18"/>
                <w:szCs w:val="18"/>
                <w:color w:val="0000FF"/>
                <w:w w:val="98"/>
              </w:rPr>
            </w:pPr>
            <w:hyperlink w:anchor="page19">
              <w:r>
                <w:rPr>
                  <w:rFonts w:ascii="Arial" w:cs="Arial" w:eastAsia="Arial" w:hAnsi="Arial"/>
                  <w:sz w:val="18"/>
                  <w:szCs w:val="18"/>
                  <w:color w:val="0000FF"/>
                  <w:w w:val="98"/>
                </w:rPr>
                <w:t xml:space="preserve">e) Consolidated Statements of Cash Flows for the six months ended </w:t>
              </w:r>
            </w:hyperlink>
            <w:hyperlink w:anchor="page6">
              <w:r>
                <w:rPr>
                  <w:rFonts w:ascii="Arial" w:cs="Arial" w:eastAsia="Arial" w:hAnsi="Arial"/>
                  <w:sz w:val="18"/>
                  <w:szCs w:val="18"/>
                  <w:color w:val="0000FF"/>
                  <w:w w:val="98"/>
                </w:rPr>
                <w:t xml:space="preserve">June 30, </w:t>
              </w:r>
            </w:hyperlink>
            <w:hyperlink w:anchor="page19">
              <w:r>
                <w:rPr>
                  <w:rFonts w:ascii="Arial" w:cs="Arial" w:eastAsia="Arial" w:hAnsi="Arial"/>
                  <w:sz w:val="18"/>
                  <w:szCs w:val="18"/>
                  <w:color w:val="0000FF"/>
                  <w:w w:val="98"/>
                </w:rPr>
                <w:t>2021 and 2020</w:t>
              </w:r>
            </w:hyperlink>
          </w:p>
        </w:tc>
        <w:tc>
          <w:tcPr>
            <w:tcW w:w="2000" w:type="dxa"/>
            <w:vAlign w:val="bottom"/>
            <w:gridSpan w:val="5"/>
          </w:tcPr>
          <w:p>
            <w:pPr>
              <w:spacing w:after="0"/>
              <w:rPr>
                <w:sz w:val="17"/>
                <w:szCs w:val="17"/>
                <w:color w:val="auto"/>
              </w:rPr>
            </w:pPr>
          </w:p>
        </w:tc>
        <w:tc>
          <w:tcPr>
            <w:tcW w:w="540" w:type="dxa"/>
            <w:vAlign w:val="bottom"/>
            <w:gridSpan w:val="2"/>
          </w:tcPr>
          <w:p>
            <w:pPr>
              <w:spacing w:after="0"/>
              <w:rPr>
                <w:sz w:val="17"/>
                <w:szCs w:val="17"/>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10460" w:type="dxa"/>
            <w:vAlign w:val="bottom"/>
            <w:gridSpan w:val="24"/>
          </w:tcPr>
          <w:p>
            <w:pPr>
              <w:spacing w:after="0"/>
              <w:rPr>
                <w:sz w:val="20"/>
                <w:szCs w:val="20"/>
                <w:color w:val="auto"/>
              </w:rPr>
            </w:pPr>
            <w:r>
              <w:rPr>
                <w:rFonts w:ascii="Arial" w:cs="Arial" w:eastAsia="Arial" w:hAnsi="Arial"/>
                <w:sz w:val="18"/>
                <w:szCs w:val="18"/>
                <w:color w:val="auto"/>
              </w:rPr>
              <w:t>Boston Properties, Inc. and Boston Properties Limited Partnership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740" w:type="dxa"/>
            <w:vAlign w:val="bottom"/>
            <w:gridSpan w:val="13"/>
          </w:tcPr>
          <w:p>
            <w:pPr>
              <w:spacing w:after="0" w:line="188" w:lineRule="exact"/>
              <w:rPr>
                <w:rFonts w:ascii="Arial" w:cs="Arial" w:eastAsia="Arial" w:hAnsi="Arial"/>
                <w:sz w:val="18"/>
                <w:szCs w:val="18"/>
                <w:color w:val="0000FF"/>
                <w:w w:val="97"/>
              </w:rPr>
            </w:pPr>
            <w:hyperlink w:anchor="page21">
              <w:r>
                <w:rPr>
                  <w:rFonts w:ascii="Arial" w:cs="Arial" w:eastAsia="Arial" w:hAnsi="Arial"/>
                  <w:sz w:val="18"/>
                  <w:szCs w:val="18"/>
                  <w:color w:val="0000FF"/>
                  <w:w w:val="97"/>
                </w:rPr>
                <w:t>Notes to the Consolidated Financial Statements</w:t>
              </w:r>
            </w:hyperlink>
          </w:p>
        </w:tc>
        <w:tc>
          <w:tcPr>
            <w:tcW w:w="5560" w:type="dxa"/>
            <w:vAlign w:val="bottom"/>
            <w:gridSpan w:val="10"/>
          </w:tcPr>
          <w:p>
            <w:pPr>
              <w:spacing w:after="0"/>
              <w:rPr>
                <w:sz w:val="16"/>
                <w:szCs w:val="16"/>
                <w:color w:val="auto"/>
              </w:rPr>
            </w:pPr>
          </w:p>
        </w:tc>
        <w:tc>
          <w:tcPr>
            <w:tcW w:w="540" w:type="dxa"/>
            <w:vAlign w:val="bottom"/>
            <w:gridSpan w:val="2"/>
          </w:tcPr>
          <w:p>
            <w:pPr>
              <w:spacing w:after="0"/>
              <w:rPr>
                <w:sz w:val="16"/>
                <w:szCs w:val="16"/>
                <w:color w:val="auto"/>
              </w:rPr>
            </w:pPr>
          </w:p>
        </w:tc>
        <w:tc>
          <w:tcPr>
            <w:tcW w:w="220" w:type="dxa"/>
            <w:vAlign w:val="bottom"/>
            <w:gridSpan w:val="3"/>
          </w:tcPr>
          <w:p>
            <w:pPr>
              <w:jc w:val="right"/>
              <w:ind w:right="20"/>
              <w:spacing w:after="0" w:line="188" w:lineRule="exact"/>
              <w:rPr>
                <w:rFonts w:ascii="Arial" w:cs="Arial" w:eastAsia="Arial" w:hAnsi="Arial"/>
                <w:sz w:val="18"/>
                <w:szCs w:val="18"/>
                <w:color w:val="0000FF"/>
                <w:w w:val="89"/>
              </w:rPr>
            </w:pPr>
            <w:hyperlink w:anchor="page21">
              <w:r>
                <w:rPr>
                  <w:rFonts w:ascii="Arial" w:cs="Arial" w:eastAsia="Arial" w:hAnsi="Arial"/>
                  <w:sz w:val="18"/>
                  <w:szCs w:val="18"/>
                  <w:color w:val="0000FF"/>
                  <w:w w:val="89"/>
                </w:rPr>
                <w:t>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6960" w:type="dxa"/>
            <w:vAlign w:val="bottom"/>
            <w:gridSpan w:val="17"/>
          </w:tcPr>
          <w:p>
            <w:pPr>
              <w:spacing w:after="0"/>
              <w:rPr>
                <w:rFonts w:ascii="Arial" w:cs="Arial" w:eastAsia="Arial" w:hAnsi="Arial"/>
                <w:sz w:val="18"/>
                <w:szCs w:val="18"/>
                <w:color w:val="0000FF"/>
                <w:w w:val="97"/>
              </w:rPr>
            </w:pPr>
            <w:hyperlink w:anchor="page50">
              <w:r>
                <w:rPr>
                  <w:rFonts w:ascii="Arial" w:cs="Arial" w:eastAsia="Arial" w:hAnsi="Arial"/>
                  <w:sz w:val="18"/>
                  <w:szCs w:val="18"/>
                  <w:color w:val="0000FF"/>
                  <w:w w:val="97"/>
                </w:rPr>
                <w:t>Management’s Discussion and Analysis of Financial Condition and Results of Operations</w:t>
              </w:r>
            </w:hyperlink>
          </w:p>
        </w:tc>
        <w:tc>
          <w:tcPr>
            <w:tcW w:w="2340" w:type="dxa"/>
            <w:vAlign w:val="bottom"/>
            <w:gridSpan w:val="6"/>
          </w:tcPr>
          <w:p>
            <w:pPr>
              <w:spacing w:after="0"/>
              <w:rPr>
                <w:sz w:val="24"/>
                <w:szCs w:val="24"/>
                <w:color w:val="auto"/>
              </w:rPr>
            </w:pPr>
          </w:p>
        </w:tc>
        <w:tc>
          <w:tcPr>
            <w:tcW w:w="540" w:type="dxa"/>
            <w:vAlign w:val="bottom"/>
            <w:gridSpan w:val="2"/>
          </w:tcPr>
          <w:p>
            <w:pPr>
              <w:spacing w:after="0"/>
              <w:rPr>
                <w:sz w:val="24"/>
                <w:szCs w:val="24"/>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6960" w:type="dxa"/>
            <w:vAlign w:val="bottom"/>
            <w:gridSpan w:val="17"/>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Quantitative and Qualitative Disclosures about Market Risk</w:t>
              </w:r>
            </w:hyperlink>
          </w:p>
        </w:tc>
        <w:tc>
          <w:tcPr>
            <w:tcW w:w="2340" w:type="dxa"/>
            <w:vAlign w:val="bottom"/>
            <w:gridSpan w:val="6"/>
          </w:tcPr>
          <w:p>
            <w:pPr>
              <w:spacing w:after="0"/>
              <w:rPr>
                <w:sz w:val="17"/>
                <w:szCs w:val="17"/>
                <w:color w:val="auto"/>
              </w:rPr>
            </w:pPr>
          </w:p>
        </w:tc>
        <w:tc>
          <w:tcPr>
            <w:tcW w:w="540" w:type="dxa"/>
            <w:vAlign w:val="bottom"/>
            <w:gridSpan w:val="2"/>
          </w:tcPr>
          <w:p>
            <w:pPr>
              <w:spacing w:after="0"/>
              <w:rPr>
                <w:sz w:val="17"/>
                <w:szCs w:val="17"/>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98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4600" w:type="dxa"/>
            <w:vAlign w:val="bottom"/>
            <w:gridSpan w:val="14"/>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Controls and Procedures</w:t>
              </w:r>
            </w:hyperlink>
          </w:p>
        </w:tc>
        <w:tc>
          <w:tcPr>
            <w:tcW w:w="4700" w:type="dxa"/>
            <w:vAlign w:val="bottom"/>
            <w:gridSpan w:val="9"/>
          </w:tcPr>
          <w:p>
            <w:pPr>
              <w:spacing w:after="0"/>
              <w:rPr>
                <w:sz w:val="17"/>
                <w:szCs w:val="17"/>
                <w:color w:val="auto"/>
              </w:rPr>
            </w:pPr>
          </w:p>
        </w:tc>
        <w:tc>
          <w:tcPr>
            <w:tcW w:w="540" w:type="dxa"/>
            <w:vAlign w:val="bottom"/>
            <w:gridSpan w:val="2"/>
          </w:tcPr>
          <w:p>
            <w:pPr>
              <w:spacing w:after="0"/>
              <w:rPr>
                <w:sz w:val="17"/>
                <w:szCs w:val="17"/>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104">
              <w:r>
                <w:rPr>
                  <w:rFonts w:ascii="Arial" w:cs="Arial" w:eastAsia="Arial" w:hAnsi="Arial"/>
                  <w:sz w:val="18"/>
                  <w:szCs w:val="18"/>
                  <w:color w:val="0000FF"/>
                  <w:w w:val="89"/>
                </w:rPr>
                <w:t>99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2640" w:type="dxa"/>
            <w:vAlign w:val="bottom"/>
            <w:tcBorders>
              <w:bottom w:val="single" w:sz="8" w:color="0000FF"/>
            </w:tcBorders>
            <w:gridSpan w:val="9"/>
          </w:tcPr>
          <w:p>
            <w:pPr>
              <w:spacing w:after="0"/>
              <w:rPr>
                <w:rFonts w:ascii="Arial" w:cs="Arial" w:eastAsia="Arial" w:hAnsi="Arial"/>
                <w:sz w:val="18"/>
                <w:szCs w:val="18"/>
                <w:b w:val="1"/>
                <w:bCs w:val="1"/>
                <w:color w:val="0000FF"/>
                <w:w w:val="97"/>
              </w:rPr>
            </w:pPr>
            <w:hyperlink w:anchor="page104">
              <w:r>
                <w:rPr>
                  <w:rFonts w:ascii="Arial" w:cs="Arial" w:eastAsia="Arial" w:hAnsi="Arial"/>
                  <w:sz w:val="18"/>
                  <w:szCs w:val="18"/>
                  <w:b w:val="1"/>
                  <w:bCs w:val="1"/>
                  <w:color w:val="0000FF"/>
                  <w:w w:val="97"/>
                </w:rPr>
                <w:t>PART II. OTHER INFORMATION</w:t>
              </w:r>
            </w:hyperlink>
          </w:p>
        </w:tc>
        <w:tc>
          <w:tcPr>
            <w:tcW w:w="7820" w:type="dxa"/>
            <w:vAlign w:val="bottom"/>
            <w:gridSpan w:val="15"/>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1460" w:type="dxa"/>
            <w:vAlign w:val="bottom"/>
            <w:gridSpan w:val="7"/>
          </w:tcPr>
          <w:p>
            <w:pPr>
              <w:spacing w:after="0"/>
              <w:rPr>
                <w:rFonts w:ascii="Arial" w:cs="Arial" w:eastAsia="Arial" w:hAnsi="Arial"/>
                <w:sz w:val="18"/>
                <w:szCs w:val="18"/>
                <w:color w:val="0000FF"/>
                <w:w w:val="96"/>
              </w:rPr>
            </w:pPr>
            <w:hyperlink w:anchor="page105">
              <w:r>
                <w:rPr>
                  <w:rFonts w:ascii="Arial" w:cs="Arial" w:eastAsia="Arial" w:hAnsi="Arial"/>
                  <w:sz w:val="18"/>
                  <w:szCs w:val="18"/>
                  <w:color w:val="0000FF"/>
                  <w:w w:val="96"/>
                </w:rPr>
                <w:t>Legal Proceedings</w:t>
              </w:r>
            </w:hyperlink>
          </w:p>
        </w:tc>
        <w:tc>
          <w:tcPr>
            <w:tcW w:w="7840" w:type="dxa"/>
            <w:vAlign w:val="bottom"/>
            <w:gridSpan w:val="16"/>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4"/>
          </w:tcPr>
          <w:p>
            <w:pPr>
              <w:jc w:val="right"/>
              <w:ind w:right="20"/>
              <w:spacing w:after="0"/>
              <w:rPr>
                <w:rFonts w:ascii="Arial" w:cs="Arial" w:eastAsia="Arial" w:hAnsi="Arial"/>
                <w:sz w:val="18"/>
                <w:szCs w:val="18"/>
                <w:color w:val="0000FF"/>
                <w:w w:val="93"/>
              </w:rPr>
            </w:pPr>
            <w:hyperlink w:anchor="page105">
              <w:r>
                <w:rPr>
                  <w:rFonts w:ascii="Arial" w:cs="Arial" w:eastAsia="Arial" w:hAnsi="Arial"/>
                  <w:sz w:val="18"/>
                  <w:szCs w:val="18"/>
                  <w:color w:val="0000FF"/>
                  <w:w w:val="93"/>
                </w:rPr>
                <w:t>100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980" w:type="dxa"/>
            <w:vAlign w:val="bottom"/>
            <w:gridSpan w:val="5"/>
          </w:tcPr>
          <w:p>
            <w:pPr>
              <w:spacing w:after="0"/>
              <w:rPr>
                <w:rFonts w:ascii="Arial" w:cs="Arial" w:eastAsia="Arial" w:hAnsi="Arial"/>
                <w:sz w:val="18"/>
                <w:szCs w:val="18"/>
                <w:color w:val="0000FF"/>
                <w:w w:val="95"/>
              </w:rPr>
            </w:pPr>
            <w:hyperlink w:anchor="page105">
              <w:r>
                <w:rPr>
                  <w:rFonts w:ascii="Arial" w:cs="Arial" w:eastAsia="Arial" w:hAnsi="Arial"/>
                  <w:sz w:val="18"/>
                  <w:szCs w:val="18"/>
                  <w:color w:val="0000FF"/>
                  <w:w w:val="95"/>
                </w:rPr>
                <w:t>Risk Factors</w:t>
              </w:r>
            </w:hyperlink>
          </w:p>
        </w:tc>
        <w:tc>
          <w:tcPr>
            <w:tcW w:w="480" w:type="dxa"/>
            <w:vAlign w:val="bottom"/>
            <w:gridSpan w:val="2"/>
          </w:tcPr>
          <w:p>
            <w:pPr>
              <w:spacing w:after="0"/>
              <w:rPr>
                <w:sz w:val="17"/>
                <w:szCs w:val="17"/>
                <w:color w:val="auto"/>
              </w:rPr>
            </w:pPr>
          </w:p>
        </w:tc>
        <w:tc>
          <w:tcPr>
            <w:tcW w:w="7840" w:type="dxa"/>
            <w:vAlign w:val="bottom"/>
            <w:gridSpan w:val="16"/>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4"/>
          </w:tcPr>
          <w:p>
            <w:pPr>
              <w:jc w:val="right"/>
              <w:ind w:right="20"/>
              <w:spacing w:after="0"/>
              <w:rPr>
                <w:rFonts w:ascii="Arial" w:cs="Arial" w:eastAsia="Arial" w:hAnsi="Arial"/>
                <w:sz w:val="18"/>
                <w:szCs w:val="18"/>
                <w:color w:val="0000FF"/>
                <w:w w:val="93"/>
              </w:rPr>
            </w:pPr>
            <w:hyperlink w:anchor="page105">
              <w:r>
                <w:rPr>
                  <w:rFonts w:ascii="Arial" w:cs="Arial" w:eastAsia="Arial" w:hAnsi="Arial"/>
                  <w:sz w:val="18"/>
                  <w:szCs w:val="18"/>
                  <w:color w:val="0000FF"/>
                  <w:w w:val="93"/>
                </w:rPr>
                <w:t>100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3"/>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Unregistered Sales of Equity Securities and Use of Proceeds</w:t>
              </w:r>
            </w:hyperlink>
          </w:p>
        </w:tc>
        <w:tc>
          <w:tcPr>
            <w:tcW w:w="440" w:type="dxa"/>
            <w:vAlign w:val="bottom"/>
          </w:tcPr>
          <w:p>
            <w:pPr>
              <w:spacing w:after="0"/>
              <w:rPr>
                <w:sz w:val="17"/>
                <w:szCs w:val="17"/>
                <w:color w:val="auto"/>
              </w:rPr>
            </w:pPr>
          </w:p>
        </w:tc>
        <w:tc>
          <w:tcPr>
            <w:tcW w:w="320" w:type="dxa"/>
            <w:vAlign w:val="bottom"/>
            <w:gridSpan w:val="4"/>
          </w:tcPr>
          <w:p>
            <w:pPr>
              <w:jc w:val="right"/>
              <w:ind w:right="20"/>
              <w:spacing w:after="0"/>
              <w:rPr>
                <w:rFonts w:ascii="Arial" w:cs="Arial" w:eastAsia="Arial" w:hAnsi="Arial"/>
                <w:sz w:val="18"/>
                <w:szCs w:val="18"/>
                <w:color w:val="0000FF"/>
                <w:w w:val="93"/>
              </w:rPr>
            </w:pPr>
            <w:hyperlink w:anchor="page105">
              <w:r>
                <w:rPr>
                  <w:rFonts w:ascii="Arial" w:cs="Arial" w:eastAsia="Arial" w:hAnsi="Arial"/>
                  <w:sz w:val="18"/>
                  <w:szCs w:val="18"/>
                  <w:color w:val="0000FF"/>
                  <w:w w:val="93"/>
                </w:rPr>
                <w:t>101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800" w:type="dxa"/>
            <w:vAlign w:val="bottom"/>
            <w:gridSpan w:val="1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2500" w:type="dxa"/>
            <w:vAlign w:val="bottom"/>
            <w:gridSpan w:val="11"/>
          </w:tcPr>
          <w:p>
            <w:pPr>
              <w:spacing w:after="0"/>
              <w:rPr>
                <w:rFonts w:ascii="Arial" w:cs="Arial" w:eastAsia="Arial" w:hAnsi="Arial"/>
                <w:sz w:val="18"/>
                <w:szCs w:val="18"/>
                <w:color w:val="0000FF"/>
                <w:w w:val="97"/>
              </w:rPr>
            </w:pPr>
            <w:hyperlink w:anchor="page107">
              <w:r>
                <w:rPr>
                  <w:rFonts w:ascii="Arial" w:cs="Arial" w:eastAsia="Arial" w:hAnsi="Arial"/>
                  <w:sz w:val="18"/>
                  <w:szCs w:val="18"/>
                  <w:color w:val="0000FF"/>
                  <w:w w:val="97"/>
                </w:rPr>
                <w:t>Defaults Upon Senior Securities</w:t>
              </w:r>
            </w:hyperlink>
          </w:p>
        </w:tc>
        <w:tc>
          <w:tcPr>
            <w:tcW w:w="6800" w:type="dxa"/>
            <w:vAlign w:val="bottom"/>
            <w:gridSpan w:val="12"/>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4"/>
          </w:tcPr>
          <w:p>
            <w:pPr>
              <w:jc w:val="right"/>
              <w:ind w:right="20"/>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102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80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2500" w:type="dxa"/>
            <w:vAlign w:val="bottom"/>
            <w:gridSpan w:val="11"/>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Mine Safety Disclosures</w:t>
              </w:r>
            </w:hyperlink>
          </w:p>
        </w:tc>
        <w:tc>
          <w:tcPr>
            <w:tcW w:w="6800" w:type="dxa"/>
            <w:vAlign w:val="bottom"/>
            <w:gridSpan w:val="12"/>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4"/>
          </w:tcPr>
          <w:p>
            <w:pPr>
              <w:jc w:val="right"/>
              <w:ind w:right="20"/>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102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1880" w:type="dxa"/>
            <w:vAlign w:val="bottom"/>
            <w:gridSpan w:val="10"/>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Other Information</w:t>
              </w:r>
            </w:hyperlink>
          </w:p>
        </w:tc>
        <w:tc>
          <w:tcPr>
            <w:tcW w:w="7420" w:type="dxa"/>
            <w:vAlign w:val="bottom"/>
            <w:gridSpan w:val="13"/>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4"/>
          </w:tcPr>
          <w:p>
            <w:pPr>
              <w:jc w:val="right"/>
              <w:ind w:right="20"/>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102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940" w:type="dxa"/>
            <w:vAlign w:val="bottom"/>
            <w:gridSpan w:val="1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1360" w:type="dxa"/>
            <w:vAlign w:val="bottom"/>
            <w:gridSpan w:val="6"/>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Exhibits</w:t>
              </w:r>
            </w:hyperlink>
          </w:p>
        </w:tc>
        <w:tc>
          <w:tcPr>
            <w:tcW w:w="7940" w:type="dxa"/>
            <w:vAlign w:val="bottom"/>
            <w:gridSpan w:val="17"/>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4"/>
          </w:tcPr>
          <w:p>
            <w:pPr>
              <w:jc w:val="right"/>
              <w:ind w:right="20"/>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103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70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10460" w:type="dxa"/>
            <w:vAlign w:val="bottom"/>
            <w:gridSpan w:val="24"/>
          </w:tcPr>
          <w:p>
            <w:pPr>
              <w:spacing w:after="0"/>
              <w:rPr>
                <w:rFonts w:ascii="Arial" w:cs="Arial" w:eastAsia="Arial" w:hAnsi="Arial"/>
                <w:sz w:val="18"/>
                <w:szCs w:val="18"/>
                <w:b w:val="1"/>
                <w:bCs w:val="1"/>
                <w:color w:val="0000FF"/>
              </w:rPr>
            </w:pPr>
            <w:hyperlink w:anchor="page108">
              <w:r>
                <w:rPr>
                  <w:rFonts w:ascii="Arial" w:cs="Arial" w:eastAsia="Arial" w:hAnsi="Arial"/>
                  <w:sz w:val="18"/>
                  <w:szCs w:val="18"/>
                  <w:b w:val="1"/>
                  <w:bCs w:val="1"/>
                  <w:color w:val="0000FF"/>
                </w:rPr>
                <w:t>SIGNATURES</w:t>
              </w:r>
            </w:hyperlink>
          </w:p>
        </w:tc>
        <w:tc>
          <w:tcPr>
            <w:tcW w:w="760" w:type="dxa"/>
            <w:vAlign w:val="bottom"/>
            <w:gridSpan w:val="5"/>
          </w:tcPr>
          <w:p>
            <w:pPr>
              <w:jc w:val="right"/>
              <w:ind w:right="20"/>
              <w:spacing w:after="0"/>
              <w:rPr>
                <w:rFonts w:ascii="Arial" w:cs="Arial" w:eastAsia="Arial" w:hAnsi="Arial"/>
                <w:sz w:val="18"/>
                <w:szCs w:val="18"/>
                <w:color w:val="0000FF"/>
              </w:rPr>
            </w:pPr>
            <w:hyperlink w:anchor="page108">
              <w:r>
                <w:rPr>
                  <w:rFonts w:ascii="Arial" w:cs="Arial" w:eastAsia="Arial" w:hAnsi="Arial"/>
                  <w:sz w:val="18"/>
                  <w:szCs w:val="18"/>
                  <w:color w:val="0000FF"/>
                </w:rPr>
                <w:t>104</w:t>
              </w:r>
            </w:hyperlink>
          </w:p>
        </w:tc>
        <w:tc>
          <w:tcPr>
            <w:tcW w:w="0" w:type="dxa"/>
            <w:vAlign w:val="bottom"/>
          </w:tcPr>
          <w:p>
            <w:pPr>
              <w:spacing w:after="0"/>
              <w:rPr>
                <w:sz w:val="1"/>
                <w:szCs w:val="1"/>
                <w:color w:val="auto"/>
              </w:rPr>
            </w:pPr>
          </w:p>
        </w:tc>
      </w:tr>
      <w:tr>
        <w:trPr>
          <w:trHeight w:val="1369"/>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BOSTON PROPERTIES, INC.</w:t>
      </w:r>
    </w:p>
    <w:p>
      <w:pPr>
        <w:spacing w:after="0" w:line="4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420" w:type="dxa"/>
            <w:vAlign w:val="bottom"/>
          </w:tcPr>
          <w:p>
            <w:pPr>
              <w:jc w:val="right"/>
              <w:ind w:right="2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3"/>
        </w:trPr>
        <w:tc>
          <w:tcPr>
            <w:tcW w:w="7820" w:type="dxa"/>
            <w:vAlign w:val="bottom"/>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20"/>
              <w:spacing w:after="0" w:line="175" w:lineRule="exact"/>
              <w:rPr>
                <w:sz w:val="20"/>
                <w:szCs w:val="20"/>
                <w:color w:val="auto"/>
              </w:rPr>
            </w:pPr>
            <w:r>
              <w:rPr>
                <w:rFonts w:ascii="Arial" w:cs="Arial" w:eastAsia="Arial" w:hAnsi="Arial"/>
                <w:sz w:val="16"/>
                <w:szCs w:val="16"/>
                <w:color w:val="auto"/>
              </w:rPr>
              <w:t>Real estate, at cost (amounts related to variable interest entities (“VIEs”) of $6,664,480 and $6,592,019 at</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Arial" w:cs="Arial" w:eastAsia="Arial" w:hAnsi="Arial"/>
                <w:sz w:val="16"/>
                <w:szCs w:val="16"/>
                <w:color w:val="auto"/>
              </w:rPr>
              <w:t>June 30, 2021 and December 31, 2020, respectively)</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23,417,175</w:t>
            </w:r>
          </w:p>
        </w:tc>
        <w:tc>
          <w:tcPr>
            <w:tcW w:w="2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22,969,110</w:t>
            </w:r>
          </w:p>
        </w:tc>
        <w:tc>
          <w:tcPr>
            <w:tcW w:w="0" w:type="dxa"/>
            <w:vAlign w:val="bottom"/>
          </w:tcPr>
          <w:p>
            <w:pPr>
              <w:spacing w:after="0"/>
              <w:rPr>
                <w:sz w:val="1"/>
                <w:szCs w:val="1"/>
                <w:color w:val="auto"/>
              </w:rPr>
            </w:pPr>
          </w:p>
        </w:tc>
      </w:tr>
      <w:tr>
        <w:trPr>
          <w:trHeight w:val="177"/>
        </w:trPr>
        <w:tc>
          <w:tcPr>
            <w:tcW w:w="78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Right of use assets - finance leases (amounts related to VIEs of $21,000 and $21,000 at June 30, 2021 and</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237,765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237,393</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Right of use assets - operating leases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170,331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146,406</w:t>
            </w:r>
          </w:p>
        </w:tc>
        <w:tc>
          <w:tcPr>
            <w:tcW w:w="0" w:type="dxa"/>
            <w:vAlign w:val="bottom"/>
          </w:tcPr>
          <w:p>
            <w:pPr>
              <w:spacing w:after="0"/>
              <w:rPr>
                <w:sz w:val="1"/>
                <w:szCs w:val="1"/>
                <w:color w:val="auto"/>
              </w:rPr>
            </w:pPr>
          </w:p>
        </w:tc>
      </w:tr>
      <w:tr>
        <w:trPr>
          <w:trHeight w:val="177"/>
        </w:trPr>
        <w:tc>
          <w:tcPr>
            <w:tcW w:w="7820" w:type="dxa"/>
            <w:vAlign w:val="bottom"/>
            <w:shd w:val="clear" w:color="auto" w:fill="CCEEFF"/>
          </w:tcPr>
          <w:p>
            <w:pPr>
              <w:ind w:left="340"/>
              <w:spacing w:after="0" w:line="178" w:lineRule="exact"/>
              <w:rPr>
                <w:sz w:val="20"/>
                <w:szCs w:val="20"/>
                <w:color w:val="auto"/>
              </w:rPr>
            </w:pPr>
            <w:r>
              <w:rPr>
                <w:rFonts w:ascii="Arial" w:cs="Arial" w:eastAsia="Arial" w:hAnsi="Arial"/>
                <w:sz w:val="16"/>
                <w:szCs w:val="16"/>
                <w:color w:val="auto"/>
              </w:rPr>
              <w:t>Less: accumulated depreciation (amounts related to VIEs of $(1,235,346) and $(1,158,548) at June 30,</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2021 and December 31, 2020, respectively)</w:t>
            </w: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(5,752,818)</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(5,534,102)</w:t>
            </w:r>
          </w:p>
        </w:tc>
        <w:tc>
          <w:tcPr>
            <w:tcW w:w="0" w:type="dxa"/>
            <w:vAlign w:val="bottom"/>
          </w:tcPr>
          <w:p>
            <w:pPr>
              <w:spacing w:after="0"/>
              <w:rPr>
                <w:sz w:val="1"/>
                <w:szCs w:val="1"/>
                <w:color w:val="auto"/>
              </w:rPr>
            </w:pPr>
          </w:p>
        </w:tc>
      </w:tr>
      <w:tr>
        <w:trPr>
          <w:trHeight w:val="203"/>
        </w:trPr>
        <w:tc>
          <w:tcPr>
            <w:tcW w:w="7820" w:type="dxa"/>
            <w:vAlign w:val="bottom"/>
          </w:tcPr>
          <w:p>
            <w:pPr>
              <w:ind w:left="660"/>
              <w:spacing w:after="0"/>
              <w:rPr>
                <w:sz w:val="20"/>
                <w:szCs w:val="20"/>
                <w:color w:val="auto"/>
              </w:rPr>
            </w:pPr>
            <w:r>
              <w:rPr>
                <w:rFonts w:ascii="Arial" w:cs="Arial" w:eastAsia="Arial" w:hAnsi="Arial"/>
                <w:sz w:val="16"/>
                <w:szCs w:val="16"/>
                <w:color w:val="auto"/>
              </w:rPr>
              <w:t>Total real estate</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18,072,453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17,818,807</w:t>
            </w:r>
          </w:p>
        </w:tc>
        <w:tc>
          <w:tcPr>
            <w:tcW w:w="0" w:type="dxa"/>
            <w:vAlign w:val="bottom"/>
          </w:tcPr>
          <w:p>
            <w:pPr>
              <w:spacing w:after="0"/>
              <w:rPr>
                <w:sz w:val="1"/>
                <w:szCs w:val="1"/>
                <w:color w:val="auto"/>
              </w:rPr>
            </w:pPr>
          </w:p>
        </w:tc>
      </w:tr>
      <w:tr>
        <w:trPr>
          <w:trHeight w:val="177"/>
        </w:trPr>
        <w:tc>
          <w:tcPr>
            <w:tcW w:w="78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Cash and cash equivalents (amounts related to VIEs of $335,837 and $340,642 at June 30, 2021 and</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557,307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1,668,742</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Cash held in escrows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79,973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50,587</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39,457</w:t>
            </w:r>
          </w:p>
        </w:tc>
        <w:tc>
          <w:tcPr>
            <w:tcW w:w="0" w:type="dxa"/>
            <w:vAlign w:val="bottom"/>
          </w:tcPr>
          <w:p>
            <w:pPr>
              <w:spacing w:after="0"/>
              <w:rPr>
                <w:sz w:val="1"/>
                <w:szCs w:val="1"/>
                <w:color w:val="auto"/>
              </w:rPr>
            </w:pPr>
          </w:p>
        </w:tc>
      </w:tr>
      <w:tr>
        <w:trPr>
          <w:trHeight w:val="175"/>
        </w:trPr>
        <w:tc>
          <w:tcPr>
            <w:tcW w:w="7820" w:type="dxa"/>
            <w:vAlign w:val="bottom"/>
          </w:tcPr>
          <w:p>
            <w:pPr>
              <w:ind w:left="20"/>
              <w:spacing w:after="0" w:line="175" w:lineRule="exact"/>
              <w:rPr>
                <w:sz w:val="20"/>
                <w:szCs w:val="20"/>
                <w:color w:val="auto"/>
              </w:rPr>
            </w:pPr>
            <w:r>
              <w:rPr>
                <w:rFonts w:ascii="Arial" w:cs="Arial" w:eastAsia="Arial" w:hAnsi="Arial"/>
                <w:sz w:val="16"/>
                <w:szCs w:val="16"/>
                <w:color w:val="auto"/>
              </w:rPr>
              <w:t>Tenant and other receivables, net (amounts related to VIEs of $5,298 and $10,911 at June 30, 2021 and</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Arial" w:cs="Arial" w:eastAsia="Arial" w:hAnsi="Arial"/>
                <w:sz w:val="16"/>
                <w:szCs w:val="16"/>
                <w:color w:val="auto"/>
              </w:rPr>
              <w:t>December 31, 2020, respectively)</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58,624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77,411</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note receivable, net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77,552</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Notes receivable, net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19,087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18,729</w:t>
            </w:r>
          </w:p>
        </w:tc>
        <w:tc>
          <w:tcPr>
            <w:tcW w:w="0" w:type="dxa"/>
            <w:vAlign w:val="bottom"/>
          </w:tcPr>
          <w:p>
            <w:pPr>
              <w:spacing w:after="0"/>
              <w:rPr>
                <w:sz w:val="1"/>
                <w:szCs w:val="1"/>
                <w:color w:val="auto"/>
              </w:rPr>
            </w:pPr>
          </w:p>
        </w:tc>
      </w:tr>
      <w:tr>
        <w:trPr>
          <w:trHeight w:val="177"/>
        </w:trPr>
        <w:tc>
          <w:tcPr>
            <w:tcW w:w="78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Accrued rental income, net (amounts related to VIEs of $346,443 and $336,594 at June 30, 2021 and</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1,172,411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1,122,502</w:t>
            </w:r>
          </w:p>
        </w:tc>
        <w:tc>
          <w:tcPr>
            <w:tcW w:w="0" w:type="dxa"/>
            <w:vAlign w:val="bottom"/>
          </w:tcPr>
          <w:p>
            <w:pPr>
              <w:spacing w:after="0"/>
              <w:rPr>
                <w:sz w:val="1"/>
                <w:szCs w:val="1"/>
                <w:color w:val="auto"/>
              </w:rPr>
            </w:pPr>
          </w:p>
        </w:tc>
      </w:tr>
      <w:tr>
        <w:trPr>
          <w:trHeight w:val="175"/>
        </w:trPr>
        <w:tc>
          <w:tcPr>
            <w:tcW w:w="7820" w:type="dxa"/>
            <w:vAlign w:val="bottom"/>
          </w:tcPr>
          <w:p>
            <w:pPr>
              <w:ind w:left="20"/>
              <w:spacing w:after="0" w:line="175" w:lineRule="exact"/>
              <w:rPr>
                <w:sz w:val="20"/>
                <w:szCs w:val="20"/>
                <w:color w:val="auto"/>
              </w:rPr>
            </w:pPr>
            <w:r>
              <w:rPr>
                <w:rFonts w:ascii="Arial" w:cs="Arial" w:eastAsia="Arial" w:hAnsi="Arial"/>
                <w:sz w:val="16"/>
                <w:szCs w:val="16"/>
                <w:color w:val="auto"/>
              </w:rPr>
              <w:t>Deferred charges, net (amounts related to VIEs of $173,578 and $183,306 at June 30, 2021 and</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Arial" w:cs="Arial" w:eastAsia="Arial" w:hAnsi="Arial"/>
                <w:sz w:val="16"/>
                <w:szCs w:val="16"/>
                <w:color w:val="auto"/>
              </w:rPr>
              <w:t>December 31, 2020, respectively)</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627,338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640,085</w:t>
            </w:r>
          </w:p>
        </w:tc>
        <w:tc>
          <w:tcPr>
            <w:tcW w:w="0" w:type="dxa"/>
            <w:vAlign w:val="bottom"/>
          </w:tcPr>
          <w:p>
            <w:pPr>
              <w:spacing w:after="0"/>
              <w:rPr>
                <w:sz w:val="1"/>
                <w:szCs w:val="1"/>
                <w:color w:val="auto"/>
              </w:rPr>
            </w:pPr>
          </w:p>
        </w:tc>
      </w:tr>
      <w:tr>
        <w:trPr>
          <w:trHeight w:val="177"/>
        </w:trPr>
        <w:tc>
          <w:tcPr>
            <w:tcW w:w="78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Prepaid expenses and other assets (amounts related to VIEs of $12,441 and $13,137 at June 30, 2021 and</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46,946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33,840</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1,305,589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1,310,478</w:t>
            </w:r>
          </w:p>
        </w:tc>
        <w:tc>
          <w:tcPr>
            <w:tcW w:w="0" w:type="dxa"/>
            <w:vAlign w:val="bottom"/>
          </w:tcPr>
          <w:p>
            <w:pPr>
              <w:spacing w:after="0"/>
              <w:rPr>
                <w:sz w:val="1"/>
                <w:szCs w:val="1"/>
                <w:color w:val="auto"/>
              </w:rPr>
            </w:pPr>
          </w:p>
        </w:tc>
      </w:tr>
      <w:tr>
        <w:trPr>
          <w:trHeight w:val="231"/>
        </w:trPr>
        <w:tc>
          <w:tcPr>
            <w:tcW w:w="78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22,059,076</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22,858,190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340"/>
              <w:spacing w:after="0" w:line="175" w:lineRule="exact"/>
              <w:rPr>
                <w:sz w:val="20"/>
                <w:szCs w:val="20"/>
                <w:color w:val="auto"/>
              </w:rPr>
            </w:pPr>
            <w:r>
              <w:rPr>
                <w:rFonts w:ascii="Arial" w:cs="Arial" w:eastAsia="Arial" w:hAnsi="Arial"/>
                <w:sz w:val="16"/>
                <w:szCs w:val="16"/>
                <w:color w:val="auto"/>
              </w:rPr>
              <w:t>Mortgage notes payable, net (amounts related to VIEs of $2,901,709 and $2,907,590 at June 30, 2021</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660"/>
              <w:spacing w:after="0"/>
              <w:rPr>
                <w:sz w:val="20"/>
                <w:szCs w:val="20"/>
                <w:color w:val="auto"/>
              </w:rPr>
            </w:pPr>
            <w:r>
              <w:rPr>
                <w:rFonts w:ascii="Arial" w:cs="Arial" w:eastAsia="Arial" w:hAnsi="Arial"/>
                <w:sz w:val="16"/>
                <w:szCs w:val="16"/>
                <w:color w:val="auto"/>
              </w:rPr>
              <w:t>and December 31, 2020, respectively)</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2,901,709</w:t>
            </w:r>
          </w:p>
        </w:tc>
        <w:tc>
          <w:tcPr>
            <w:tcW w:w="2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2,909,081</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Unsecured senior notes, net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9,634,356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9,639,287</w:t>
            </w:r>
          </w:p>
        </w:tc>
        <w:tc>
          <w:tcPr>
            <w:tcW w:w="0" w:type="dxa"/>
            <w:vAlign w:val="bottom"/>
          </w:tcPr>
          <w:p>
            <w:pPr>
              <w:spacing w:after="0"/>
              <w:rPr>
                <w:sz w:val="1"/>
                <w:szCs w:val="1"/>
                <w:color w:val="auto"/>
              </w:rPr>
            </w:pPr>
          </w:p>
        </w:tc>
      </w:tr>
      <w:tr>
        <w:trPr>
          <w:trHeight w:val="210"/>
        </w:trPr>
        <w:tc>
          <w:tcPr>
            <w:tcW w:w="7820" w:type="dxa"/>
            <w:vAlign w:val="bottom"/>
          </w:tcPr>
          <w:p>
            <w:pPr>
              <w:ind w:left="340"/>
              <w:spacing w:after="0"/>
              <w:rPr>
                <w:sz w:val="20"/>
                <w:szCs w:val="20"/>
                <w:color w:val="auto"/>
              </w:rPr>
            </w:pPr>
            <w:r>
              <w:rPr>
                <w:rFonts w:ascii="Arial" w:cs="Arial" w:eastAsia="Arial" w:hAnsi="Arial"/>
                <w:sz w:val="16"/>
                <w:szCs w:val="16"/>
                <w:color w:val="auto"/>
              </w:rPr>
              <w:t>Unsecured line of credit</w:t>
            </w:r>
          </w:p>
        </w:tc>
        <w:tc>
          <w:tcPr>
            <w:tcW w:w="3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Unsecured term loan, net</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499,390</w:t>
            </w:r>
          </w:p>
        </w:tc>
        <w:tc>
          <w:tcPr>
            <w:tcW w:w="0" w:type="dxa"/>
            <w:vAlign w:val="bottom"/>
          </w:tcPr>
          <w:p>
            <w:pPr>
              <w:spacing w:after="0"/>
              <w:rPr>
                <w:sz w:val="1"/>
                <w:szCs w:val="1"/>
                <w:color w:val="auto"/>
              </w:rPr>
            </w:pPr>
          </w:p>
        </w:tc>
      </w:tr>
      <w:tr>
        <w:trPr>
          <w:trHeight w:val="175"/>
        </w:trPr>
        <w:tc>
          <w:tcPr>
            <w:tcW w:w="7820" w:type="dxa"/>
            <w:vAlign w:val="bottom"/>
          </w:tcPr>
          <w:p>
            <w:pPr>
              <w:ind w:left="340"/>
              <w:spacing w:after="0" w:line="175" w:lineRule="exact"/>
              <w:rPr>
                <w:sz w:val="20"/>
                <w:szCs w:val="20"/>
                <w:color w:val="auto"/>
              </w:rPr>
            </w:pPr>
            <w:r>
              <w:rPr>
                <w:rFonts w:ascii="Arial" w:cs="Arial" w:eastAsia="Arial" w:hAnsi="Arial"/>
                <w:sz w:val="16"/>
                <w:szCs w:val="16"/>
                <w:color w:val="auto"/>
              </w:rPr>
              <w:t>Lease liabilities - finance leases (amounts related to VIEs of $20,382 and $20,306 at June 30, 2021</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660"/>
              <w:spacing w:after="0"/>
              <w:rPr>
                <w:sz w:val="20"/>
                <w:szCs w:val="20"/>
                <w:color w:val="auto"/>
              </w:rPr>
            </w:pPr>
            <w:r>
              <w:rPr>
                <w:rFonts w:ascii="Arial" w:cs="Arial" w:eastAsia="Arial" w:hAnsi="Arial"/>
                <w:sz w:val="16"/>
                <w:szCs w:val="16"/>
                <w:color w:val="auto"/>
              </w:rPr>
              <w:t>and December 31, 2020, respectively)</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243,381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236,492</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 liabilities - operating leases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201,713</w:t>
            </w:r>
          </w:p>
        </w:tc>
        <w:tc>
          <w:tcPr>
            <w:tcW w:w="0" w:type="dxa"/>
            <w:vAlign w:val="bottom"/>
          </w:tcPr>
          <w:p>
            <w:pPr>
              <w:spacing w:after="0"/>
              <w:rPr>
                <w:sz w:val="1"/>
                <w:szCs w:val="1"/>
                <w:color w:val="auto"/>
              </w:rPr>
            </w:pPr>
          </w:p>
        </w:tc>
      </w:tr>
      <w:tr>
        <w:trPr>
          <w:trHeight w:val="175"/>
        </w:trPr>
        <w:tc>
          <w:tcPr>
            <w:tcW w:w="7820" w:type="dxa"/>
            <w:vAlign w:val="bottom"/>
          </w:tcPr>
          <w:p>
            <w:pPr>
              <w:ind w:left="340"/>
              <w:spacing w:after="0" w:line="175" w:lineRule="exact"/>
              <w:rPr>
                <w:sz w:val="20"/>
                <w:szCs w:val="20"/>
                <w:color w:val="auto"/>
              </w:rPr>
            </w:pPr>
            <w:r>
              <w:rPr>
                <w:rFonts w:ascii="Arial" w:cs="Arial" w:eastAsia="Arial" w:hAnsi="Arial"/>
                <w:sz w:val="16"/>
                <w:szCs w:val="16"/>
                <w:color w:val="auto"/>
              </w:rPr>
              <w:t>Accounts payable and accrued expenses (amounts related to VIEs of $40,100 and $23,128 at June 30,</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660"/>
              <w:spacing w:after="0"/>
              <w:rPr>
                <w:sz w:val="20"/>
                <w:szCs w:val="20"/>
                <w:color w:val="auto"/>
              </w:rPr>
            </w:pPr>
            <w:r>
              <w:rPr>
                <w:rFonts w:ascii="Arial" w:cs="Arial" w:eastAsia="Arial" w:hAnsi="Arial"/>
                <w:sz w:val="16"/>
                <w:szCs w:val="16"/>
                <w:color w:val="auto"/>
              </w:rPr>
              <w:t>2021 and December 31, 2020, respectively)</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305,969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336,264</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and distributions payable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171,082</w:t>
            </w:r>
          </w:p>
        </w:tc>
        <w:tc>
          <w:tcPr>
            <w:tcW w:w="0" w:type="dxa"/>
            <w:vAlign w:val="bottom"/>
          </w:tcPr>
          <w:p>
            <w:pPr>
              <w:spacing w:after="0"/>
              <w:rPr>
                <w:sz w:val="1"/>
                <w:szCs w:val="1"/>
                <w:color w:val="auto"/>
              </w:rPr>
            </w:pPr>
          </w:p>
        </w:tc>
      </w:tr>
      <w:tr>
        <w:trPr>
          <w:trHeight w:val="210"/>
        </w:trPr>
        <w:tc>
          <w:tcPr>
            <w:tcW w:w="7820" w:type="dxa"/>
            <w:vAlign w:val="bottom"/>
          </w:tcPr>
          <w:p>
            <w:pPr>
              <w:ind w:left="340"/>
              <w:spacing w:after="0"/>
              <w:rPr>
                <w:sz w:val="20"/>
                <w:szCs w:val="20"/>
                <w:color w:val="auto"/>
              </w:rPr>
            </w:pPr>
            <w:r>
              <w:rPr>
                <w:rFonts w:ascii="Arial" w:cs="Arial" w:eastAsia="Arial" w:hAnsi="Arial"/>
                <w:sz w:val="16"/>
                <w:szCs w:val="16"/>
                <w:color w:val="auto"/>
              </w:rPr>
              <w:t>Accrued interest payable</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107,386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106,288</w:t>
            </w:r>
          </w:p>
        </w:tc>
        <w:tc>
          <w:tcPr>
            <w:tcW w:w="0" w:type="dxa"/>
            <w:vAlign w:val="bottom"/>
          </w:tcPr>
          <w:p>
            <w:pPr>
              <w:spacing w:after="0"/>
              <w:rPr>
                <w:sz w:val="1"/>
                <w:szCs w:val="1"/>
                <w:color w:val="auto"/>
              </w:rPr>
            </w:pPr>
          </w:p>
        </w:tc>
      </w:tr>
      <w:tr>
        <w:trPr>
          <w:trHeight w:val="177"/>
        </w:trPr>
        <w:tc>
          <w:tcPr>
            <w:tcW w:w="7820" w:type="dxa"/>
            <w:vAlign w:val="bottom"/>
            <w:shd w:val="clear" w:color="auto" w:fill="CCEEFF"/>
          </w:tcPr>
          <w:p>
            <w:pPr>
              <w:ind w:left="340"/>
              <w:spacing w:after="0" w:line="178" w:lineRule="exact"/>
              <w:rPr>
                <w:sz w:val="20"/>
                <w:szCs w:val="20"/>
                <w:color w:val="auto"/>
              </w:rPr>
            </w:pPr>
            <w:r>
              <w:rPr>
                <w:rFonts w:ascii="Arial" w:cs="Arial" w:eastAsia="Arial" w:hAnsi="Arial"/>
                <w:sz w:val="16"/>
                <w:szCs w:val="16"/>
                <w:color w:val="auto"/>
              </w:rPr>
              <w:t>Other liabilities (amounts related to VIEs of $129,477 and $158,805 at June 30, 2021 and</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December 31, 2020, respectively)</w:t>
            </w: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370,990</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412,084</w:t>
            </w:r>
          </w:p>
        </w:tc>
        <w:tc>
          <w:tcPr>
            <w:tcW w:w="0" w:type="dxa"/>
            <w:vAlign w:val="bottom"/>
          </w:tcPr>
          <w:p>
            <w:pPr>
              <w:spacing w:after="0"/>
              <w:rPr>
                <w:sz w:val="1"/>
                <w:szCs w:val="1"/>
                <w:color w:val="auto"/>
              </w:rPr>
            </w:pPr>
          </w:p>
        </w:tc>
      </w:tr>
      <w:tr>
        <w:trPr>
          <w:trHeight w:val="203"/>
        </w:trPr>
        <w:tc>
          <w:tcPr>
            <w:tcW w:w="78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13,960,103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14,511,681</w:t>
            </w:r>
          </w:p>
        </w:tc>
        <w:tc>
          <w:tcPr>
            <w:tcW w:w="0" w:type="dxa"/>
            <w:vAlign w:val="bottom"/>
          </w:tcPr>
          <w:p>
            <w:pPr>
              <w:spacing w:after="0"/>
              <w:rPr>
                <w:sz w:val="1"/>
                <w:szCs w:val="1"/>
                <w:color w:val="auto"/>
              </w:rPr>
            </w:pPr>
          </w:p>
        </w:tc>
      </w:tr>
      <w:tr>
        <w:trPr>
          <w:trHeight w:val="19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9)</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20"/>
              <w:spacing w:after="0" w:line="175" w:lineRule="exact"/>
              <w:rPr>
                <w:sz w:val="20"/>
                <w:szCs w:val="20"/>
                <w:color w:val="auto"/>
              </w:rPr>
            </w:pPr>
            <w:r>
              <w:rPr>
                <w:rFonts w:ascii="Arial" w:cs="Arial" w:eastAsia="Arial" w:hAnsi="Arial"/>
                <w:sz w:val="16"/>
                <w:szCs w:val="16"/>
                <w:color w:val="auto"/>
              </w:rPr>
              <w:t>Redeemable deferred stock units— 78,362 and 72,966 units outstanding at redemption value at June 30,</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820" w:type="dxa"/>
            <w:vAlign w:val="bottom"/>
          </w:tcPr>
          <w:p>
            <w:pPr>
              <w:ind w:left="340"/>
              <w:spacing w:after="0"/>
              <w:rPr>
                <w:sz w:val="20"/>
                <w:szCs w:val="20"/>
                <w:color w:val="auto"/>
              </w:rPr>
            </w:pPr>
            <w:r>
              <w:rPr>
                <w:rFonts w:ascii="Arial" w:cs="Arial" w:eastAsia="Arial" w:hAnsi="Arial"/>
                <w:sz w:val="16"/>
                <w:szCs w:val="16"/>
                <w:color w:val="auto"/>
              </w:rPr>
              <w:t>2021 and December 31, 2020, respectively</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8,980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BOSTON PROPERTIES, INC.</w:t>
      </w:r>
    </w:p>
    <w:p>
      <w:pPr>
        <w:spacing w:after="0" w:line="4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420" w:type="dxa"/>
            <w:vAlign w:val="bottom"/>
          </w:tcPr>
          <w:p>
            <w:pPr>
              <w:jc w:val="right"/>
              <w:ind w:right="20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2020</w:t>
            </w:r>
          </w:p>
        </w:tc>
      </w:tr>
      <w:tr>
        <w:trPr>
          <w:trHeight w:val="19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Stockholders’ equity attributable to Boston Properties, Inc.:</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Excess stock, $0.01 par value, 150,000,000 shares authorized, none issued or outstanding</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20" w:type="dxa"/>
            <w:vAlign w:val="bottom"/>
          </w:tcPr>
          <w:p>
            <w:pPr>
              <w:ind w:left="340"/>
              <w:spacing w:after="0"/>
              <w:rPr>
                <w:sz w:val="20"/>
                <w:szCs w:val="20"/>
                <w:color w:val="auto"/>
              </w:rPr>
            </w:pPr>
            <w:r>
              <w:rPr>
                <w:rFonts w:ascii="Arial" w:cs="Arial" w:eastAsia="Arial" w:hAnsi="Arial"/>
                <w:sz w:val="16"/>
                <w:szCs w:val="16"/>
                <w:color w:val="auto"/>
              </w:rPr>
              <w:t>Preferred stock, $0.01 par value, 50,000,000 shares authorized;</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77"/>
        </w:trPr>
        <w:tc>
          <w:tcPr>
            <w:tcW w:w="7820" w:type="dxa"/>
            <w:vAlign w:val="bottom"/>
            <w:shd w:val="clear" w:color="auto" w:fill="CCEEFF"/>
          </w:tcPr>
          <w:p>
            <w:pPr>
              <w:ind w:left="660"/>
              <w:spacing w:after="0" w:line="178" w:lineRule="exact"/>
              <w:rPr>
                <w:sz w:val="20"/>
                <w:szCs w:val="20"/>
                <w:color w:val="auto"/>
              </w:rPr>
            </w:pPr>
            <w:r>
              <w:rPr>
                <w:rFonts w:ascii="Arial" w:cs="Arial" w:eastAsia="Arial" w:hAnsi="Arial"/>
                <w:sz w:val="16"/>
                <w:szCs w:val="16"/>
                <w:color w:val="auto"/>
              </w:rPr>
              <w:t>5.25% Series B cumulative redeemable preferred stock, $0.01 par value, liquidation preference</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60"/>
        </w:trPr>
        <w:tc>
          <w:tcPr>
            <w:tcW w:w="7820" w:type="dxa"/>
            <w:vAlign w:val="bottom"/>
            <w:shd w:val="clear" w:color="auto" w:fill="CCEEFF"/>
          </w:tcPr>
          <w:p>
            <w:pPr>
              <w:ind w:left="820"/>
              <w:spacing w:after="0" w:line="160" w:lineRule="exact"/>
              <w:rPr>
                <w:sz w:val="20"/>
                <w:szCs w:val="20"/>
                <w:color w:val="auto"/>
              </w:rPr>
            </w:pPr>
            <w:r>
              <w:rPr>
                <w:rFonts w:ascii="Arial" w:cs="Arial" w:eastAsia="Arial" w:hAnsi="Arial"/>
                <w:sz w:val="16"/>
                <w:szCs w:val="16"/>
                <w:color w:val="auto"/>
              </w:rPr>
              <w:t>$2,500 per share, 92,000 shares authorized, 80,000 shares issued and outstanding at</w:t>
            </w: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98"/>
        </w:trPr>
        <w:tc>
          <w:tcPr>
            <w:tcW w:w="78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December 31, 2020</w:t>
            </w:r>
          </w:p>
        </w:tc>
        <w:tc>
          <w:tcPr>
            <w:tcW w:w="3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175"/>
        </w:trPr>
        <w:tc>
          <w:tcPr>
            <w:tcW w:w="7820" w:type="dxa"/>
            <w:vAlign w:val="bottom"/>
          </w:tcPr>
          <w:p>
            <w:pPr>
              <w:ind w:left="340"/>
              <w:spacing w:after="0" w:line="175" w:lineRule="exact"/>
              <w:rPr>
                <w:sz w:val="20"/>
                <w:szCs w:val="20"/>
                <w:color w:val="auto"/>
              </w:rPr>
            </w:pPr>
            <w:r>
              <w:rPr>
                <w:rFonts w:ascii="Arial" w:cs="Arial" w:eastAsia="Arial" w:hAnsi="Arial"/>
                <w:sz w:val="16"/>
                <w:szCs w:val="16"/>
                <w:color w:val="auto"/>
              </w:rPr>
              <w:t>Common stock, $0.01 par value, 250,000,000 shares authorized, 156,214,859 and 155,797,725 issued</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0"/>
        </w:trPr>
        <w:tc>
          <w:tcPr>
            <w:tcW w:w="7820" w:type="dxa"/>
            <w:vAlign w:val="bottom"/>
          </w:tcPr>
          <w:p>
            <w:pPr>
              <w:ind w:left="660"/>
              <w:spacing w:after="0" w:line="160" w:lineRule="exact"/>
              <w:rPr>
                <w:sz w:val="20"/>
                <w:szCs w:val="20"/>
                <w:color w:val="auto"/>
              </w:rPr>
            </w:pPr>
            <w:r>
              <w:rPr>
                <w:rFonts w:ascii="Arial" w:cs="Arial" w:eastAsia="Arial" w:hAnsi="Arial"/>
                <w:sz w:val="16"/>
                <w:szCs w:val="16"/>
                <w:color w:val="auto"/>
              </w:rPr>
              <w:t>and 156,135,959 and 155,718,825 outstanding at June 30, 2021 and December 31, 2020,</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95"/>
        </w:trPr>
        <w:tc>
          <w:tcPr>
            <w:tcW w:w="7820" w:type="dxa"/>
            <w:vAlign w:val="bottom"/>
          </w:tcPr>
          <w:p>
            <w:pPr>
              <w:ind w:left="660"/>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1,557</w:t>
            </w: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6,405,916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6,356,791</w:t>
            </w:r>
          </w:p>
        </w:tc>
      </w:tr>
      <w:tr>
        <w:trPr>
          <w:trHeight w:val="210"/>
        </w:trPr>
        <w:tc>
          <w:tcPr>
            <w:tcW w:w="7820" w:type="dxa"/>
            <w:vAlign w:val="bottom"/>
          </w:tcPr>
          <w:p>
            <w:pPr>
              <w:ind w:left="340"/>
              <w:spacing w:after="0"/>
              <w:rPr>
                <w:sz w:val="20"/>
                <w:szCs w:val="20"/>
                <w:color w:val="auto"/>
              </w:rPr>
            </w:pPr>
            <w:r>
              <w:rPr>
                <w:rFonts w:ascii="Arial" w:cs="Arial" w:eastAsia="Arial" w:hAnsi="Arial"/>
                <w:sz w:val="16"/>
                <w:szCs w:val="16"/>
                <w:color w:val="auto"/>
              </w:rPr>
              <w:t>Dividends in excess of earnings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(612,247)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(509,653)</w:t>
            </w: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Treasury common stock at cost, 78,900 shares at June 30, 2021 and December 31, 2020</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r>
      <w:tr>
        <w:trPr>
          <w:trHeight w:val="210"/>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(43,166)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(49,890)</w:t>
            </w:r>
          </w:p>
        </w:tc>
      </w:tr>
      <w:tr>
        <w:trPr>
          <w:trHeight w:val="209"/>
        </w:trPr>
        <w:tc>
          <w:tcPr>
            <w:tcW w:w="7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equity attributable to Boston Properties, Inc.</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5,749,342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5,996,083</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units of Boston Properties Limited Partnership</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615,308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616,596</w:t>
            </w:r>
          </w:p>
        </w:tc>
      </w:tr>
      <w:tr>
        <w:trPr>
          <w:trHeight w:val="210"/>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Property partnerships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1,725,343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1,726,933</w:t>
            </w:r>
          </w:p>
        </w:tc>
      </w:tr>
      <w:tr>
        <w:trPr>
          <w:trHeight w:val="209"/>
        </w:trPr>
        <w:tc>
          <w:tcPr>
            <w:tcW w:w="7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equity</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8,089,993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8,339,612</w:t>
            </w:r>
          </w:p>
        </w:tc>
      </w:tr>
      <w:tr>
        <w:trPr>
          <w:trHeight w:val="203"/>
        </w:trPr>
        <w:tc>
          <w:tcPr>
            <w:tcW w:w="7820" w:type="dxa"/>
            <w:vAlign w:val="bottom"/>
          </w:tcPr>
          <w:p>
            <w:pPr>
              <w:ind w:left="66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22,059,076</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22,858,190</w:t>
            </w:r>
          </w:p>
        </w:tc>
      </w:tr>
      <w:tr>
        <w:trPr>
          <w:trHeight w:val="22"/>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w:t>
            </w:r>
          </w:p>
        </w:tc>
        <w:tc>
          <w:tcPr>
            <w:tcW w:w="120" w:type="dxa"/>
            <w:vAlign w:val="bottom"/>
          </w:tcPr>
          <w:p>
            <w:pPr>
              <w:spacing w:after="0"/>
              <w:rPr>
                <w:sz w:val="16"/>
                <w:szCs w:val="16"/>
                <w:color w:val="auto"/>
              </w:rPr>
            </w:pPr>
          </w:p>
        </w:tc>
        <w:tc>
          <w:tcPr>
            <w:tcW w:w="2160" w:type="dxa"/>
            <w:vAlign w:val="bottom"/>
            <w:gridSpan w:val="4"/>
            <w:vMerge w:val="restart"/>
          </w:tcPr>
          <w:p>
            <w:pPr>
              <w:jc w:val="right"/>
              <w:ind w:right="20"/>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13"/>
        </w:trPr>
        <w:tc>
          <w:tcPr>
            <w:tcW w:w="6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3"/>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Lease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684,025</w:t>
            </w:r>
          </w:p>
        </w:tc>
        <w:tc>
          <w:tcPr>
            <w:tcW w:w="4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630,119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1,369,842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1,340,230</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Parking and other</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38,450</w:t>
            </w: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Hotel</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6,924</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16,004</w:t>
            </w:r>
          </w:p>
        </w:tc>
        <w:tc>
          <w:tcPr>
            <w:tcW w:w="0" w:type="dxa"/>
            <w:vAlign w:val="bottom"/>
          </w:tcPr>
          <w:p>
            <w:pPr>
              <w:spacing w:after="0"/>
              <w:rPr>
                <w:sz w:val="1"/>
                <w:szCs w:val="1"/>
                <w:color w:val="auto"/>
              </w:rPr>
            </w:pPr>
          </w:p>
        </w:tc>
      </w:tr>
      <w:tr>
        <w:trPr>
          <w:trHeight w:val="175"/>
        </w:trPr>
        <w:tc>
          <w:tcPr>
            <w:tcW w:w="6460" w:type="dxa"/>
            <w:vAlign w:val="bottom"/>
          </w:tcPr>
          <w:p>
            <w:pPr>
              <w:ind w:left="340"/>
              <w:spacing w:after="0" w:line="175"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4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contracts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6,160</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713,807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654,773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1,427,502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1,407,329</w:t>
            </w:r>
          </w:p>
        </w:tc>
        <w:tc>
          <w:tcPr>
            <w:tcW w:w="0" w:type="dxa"/>
            <w:vAlign w:val="bottom"/>
          </w:tcPr>
          <w:p>
            <w:pPr>
              <w:spacing w:after="0"/>
              <w:rPr>
                <w:sz w:val="1"/>
                <w:szCs w:val="1"/>
                <w:color w:val="auto"/>
              </w:rPr>
            </w:pPr>
          </w:p>
        </w:tc>
      </w:tr>
      <w:tr>
        <w:trPr>
          <w:trHeight w:val="190"/>
        </w:trPr>
        <w:tc>
          <w:tcPr>
            <w:tcW w:w="64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660"/>
              <w:spacing w:after="0"/>
              <w:rPr>
                <w:sz w:val="20"/>
                <w:szCs w:val="20"/>
                <w:color w:val="auto"/>
              </w:rPr>
            </w:pPr>
            <w:r>
              <w:rPr>
                <w:rFonts w:ascii="Arial" w:cs="Arial" w:eastAsia="Arial" w:hAnsi="Arial"/>
                <w:sz w:val="16"/>
                <w:szCs w:val="16"/>
                <w:color w:val="auto"/>
              </w:rPr>
              <w:t>Rental</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248,703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239,787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506,092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502,753</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Hotel</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w:t>
            </w: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38,405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37,743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83,364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74,197</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183,838</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178,188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360,403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349,282</w:t>
            </w:r>
          </w:p>
        </w:tc>
        <w:tc>
          <w:tcPr>
            <w:tcW w:w="0" w:type="dxa"/>
            <w:vAlign w:val="bottom"/>
          </w:tcPr>
          <w:p>
            <w:pPr>
              <w:spacing w:after="0"/>
              <w:rPr>
                <w:sz w:val="1"/>
                <w:szCs w:val="1"/>
                <w:color w:val="auto"/>
              </w:rPr>
            </w:pPr>
          </w:p>
        </w:tc>
      </w:tr>
      <w:tr>
        <w:trPr>
          <w:trHeight w:val="203"/>
        </w:trPr>
        <w:tc>
          <w:tcPr>
            <w:tcW w:w="646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Total expenses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476,348</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460,507</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961,148</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941,694</w:t>
            </w:r>
          </w:p>
        </w:tc>
        <w:tc>
          <w:tcPr>
            <w:tcW w:w="0" w:type="dxa"/>
            <w:vAlign w:val="bottom"/>
          </w:tcPr>
          <w:p>
            <w:pPr>
              <w:spacing w:after="0"/>
              <w:rPr>
                <w:sz w:val="1"/>
                <w:szCs w:val="1"/>
                <w:color w:val="auto"/>
              </w:rPr>
            </w:pPr>
          </w:p>
        </w:tc>
      </w:tr>
      <w:tr>
        <w:trPr>
          <w:trHeight w:val="195"/>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Income (loss) from unconsolidated joint ventures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613,932</w:t>
            </w: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Losses from early extinguishment of debt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(106,319)</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(107,142)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(214,221)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(208,733)</w:t>
            </w:r>
          </w:p>
        </w:tc>
        <w:tc>
          <w:tcPr>
            <w:tcW w:w="0" w:type="dxa"/>
            <w:vAlign w:val="bottom"/>
          </w:tcPr>
          <w:p>
            <w:pPr>
              <w:spacing w:after="0"/>
              <w:rPr>
                <w:sz w:val="1"/>
                <w:szCs w:val="1"/>
                <w:color w:val="auto"/>
              </w:rPr>
            </w:pPr>
          </w:p>
        </w:tc>
      </w:tr>
      <w:tr>
        <w:trPr>
          <w:trHeight w:val="203"/>
        </w:trPr>
        <w:tc>
          <w:tcPr>
            <w:tcW w:w="6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141,250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298,580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269,397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875,726</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(17,164)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(33,631)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(18,719)</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(30,197)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(23,422)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(87,525)</w:t>
            </w:r>
          </w:p>
        </w:tc>
        <w:tc>
          <w:tcPr>
            <w:tcW w:w="0" w:type="dxa"/>
            <w:vAlign w:val="bottom"/>
          </w:tcPr>
          <w:p>
            <w:pPr>
              <w:spacing w:after="0"/>
              <w:rPr>
                <w:sz w:val="1"/>
                <w:szCs w:val="1"/>
                <w:color w:val="auto"/>
              </w:rPr>
            </w:pPr>
          </w:p>
        </w:tc>
      </w:tr>
      <w:tr>
        <w:trPr>
          <w:trHeight w:val="203"/>
        </w:trPr>
        <w:tc>
          <w:tcPr>
            <w:tcW w:w="646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111,703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269,150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212,344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769,482</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dividends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0" w:type="dxa"/>
            <w:vAlign w:val="bottom"/>
          </w:tcPr>
          <w:p>
            <w:pPr>
              <w:spacing w:after="0"/>
              <w:rPr>
                <w:sz w:val="1"/>
                <w:szCs w:val="1"/>
                <w:color w:val="auto"/>
              </w:rPr>
            </w:pPr>
          </w:p>
        </w:tc>
      </w:tr>
      <w:tr>
        <w:trPr>
          <w:trHeight w:val="225"/>
        </w:trPr>
        <w:tc>
          <w:tcPr>
            <w:tcW w:w="6460" w:type="dxa"/>
            <w:vAlign w:val="bottom"/>
          </w:tcPr>
          <w:p>
            <w:pPr>
              <w:ind w:left="340"/>
              <w:spacing w:after="0"/>
              <w:rPr>
                <w:sz w:val="20"/>
                <w:szCs w:val="20"/>
                <w:color w:val="auto"/>
              </w:rPr>
            </w:pPr>
            <w:r>
              <w:rPr>
                <w:rFonts w:ascii="Arial" w:cs="Arial" w:eastAsia="Arial" w:hAnsi="Arial"/>
                <w:sz w:val="16"/>
                <w:szCs w:val="16"/>
                <w:color w:val="auto"/>
              </w:rPr>
              <w:t>Preferred stock redemption charge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111,703</w:t>
            </w:r>
          </w:p>
        </w:tc>
        <w:tc>
          <w:tcPr>
            <w:tcW w:w="44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266,525</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203,372</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764,232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line="164" w:lineRule="exact"/>
              <w:rPr>
                <w:sz w:val="20"/>
                <w:szCs w:val="20"/>
                <w:color w:val="auto"/>
              </w:rPr>
            </w:pPr>
            <w:r>
              <w:rPr>
                <w:rFonts w:ascii="Arial" w:cs="Arial" w:eastAsia="Arial" w:hAnsi="Arial"/>
                <w:sz w:val="16"/>
                <w:szCs w:val="16"/>
                <w:color w:val="auto"/>
              </w:rPr>
              <w:t>Basic earnings per common share attributable to Boston Properties, Inc. common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340"/>
              <w:spacing w:after="0"/>
              <w:rPr>
                <w:sz w:val="20"/>
                <w:szCs w:val="20"/>
                <w:color w:val="auto"/>
              </w:rPr>
            </w:pPr>
            <w:r>
              <w:rPr>
                <w:rFonts w:ascii="Arial" w:cs="Arial" w:eastAsia="Arial" w:hAnsi="Arial"/>
                <w:sz w:val="16"/>
                <w:szCs w:val="16"/>
                <w:color w:val="auto"/>
              </w:rPr>
              <w:t>shareholders: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3"/>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Weighted average number of common shares outstanding</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156,107</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155,386</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156,016</w:t>
            </w:r>
          </w:p>
        </w:tc>
        <w:tc>
          <w:tcPr>
            <w:tcW w:w="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155,199</w:t>
            </w:r>
          </w:p>
        </w:tc>
        <w:tc>
          <w:tcPr>
            <w:tcW w:w="0" w:type="dxa"/>
            <w:vAlign w:val="bottom"/>
          </w:tcPr>
          <w:p>
            <w:pPr>
              <w:spacing w:after="0"/>
              <w:rPr>
                <w:sz w:val="1"/>
                <w:szCs w:val="1"/>
                <w:color w:val="auto"/>
              </w:rPr>
            </w:pPr>
          </w:p>
        </w:tc>
      </w:tr>
      <w:tr>
        <w:trPr>
          <w:trHeight w:val="157"/>
        </w:trPr>
        <w:tc>
          <w:tcPr>
            <w:tcW w:w="64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Diluted earnings per common share attributable to Boston Properties, Inc. common</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shareholders: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0.71</w:t>
            </w:r>
          </w:p>
        </w:tc>
        <w:tc>
          <w:tcPr>
            <w:tcW w:w="4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06"/>
        </w:trPr>
        <w:tc>
          <w:tcPr>
            <w:tcW w:w="6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 average number of common and common equivalent shares outstanding</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156,519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155,407</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156,307</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w:t>
            </w:r>
          </w:p>
        </w:tc>
        <w:tc>
          <w:tcPr>
            <w:tcW w:w="2280" w:type="dxa"/>
            <w:vAlign w:val="bottom"/>
            <w:gridSpan w:val="5"/>
            <w:vMerge w:val="restart"/>
          </w:tcPr>
          <w:p>
            <w:pPr>
              <w:jc w:val="right"/>
              <w:ind w:right="1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6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0"/>
        </w:trPr>
        <w:tc>
          <w:tcPr>
            <w:tcW w:w="64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141,250</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298,580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269,397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875,726</w:t>
            </w:r>
          </w:p>
        </w:tc>
        <w:tc>
          <w:tcPr>
            <w:tcW w:w="0" w:type="dxa"/>
            <w:vAlign w:val="bottom"/>
          </w:tcPr>
          <w:p>
            <w:pPr>
              <w:spacing w:after="0"/>
              <w:rPr>
                <w:sz w:val="1"/>
                <w:szCs w:val="1"/>
                <w:color w:val="auto"/>
              </w:rPr>
            </w:pPr>
          </w:p>
        </w:tc>
      </w:tr>
      <w:tr>
        <w:trPr>
          <w:trHeight w:val="225"/>
        </w:trPr>
        <w:tc>
          <w:tcPr>
            <w:tcW w:w="64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Effective portion of interest rate contracts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Amortization of interest rate contracts (1)</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20"/>
        </w:trPr>
        <w:tc>
          <w:tcPr>
            <w:tcW w:w="6460" w:type="dxa"/>
            <w:vAlign w:val="bottom"/>
            <w:shd w:val="clear" w:color="auto" w:fill="CCEEFF"/>
          </w:tcPr>
          <w:p>
            <w:pPr>
              <w:ind w:left="340"/>
              <w:spacing w:after="0" w:line="206" w:lineRule="exact"/>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19"/>
        </w:trPr>
        <w:tc>
          <w:tcPr>
            <w:tcW w:w="6460" w:type="dxa"/>
            <w:vAlign w:val="bottom"/>
          </w:tcPr>
          <w:p>
            <w:pPr>
              <w:ind w:left="20"/>
              <w:spacing w:after="0" w:line="205" w:lineRule="exact"/>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143,580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299,598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277,143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868,690</w:t>
            </w:r>
          </w:p>
        </w:tc>
        <w:tc>
          <w:tcPr>
            <w:tcW w:w="0" w:type="dxa"/>
            <w:vAlign w:val="bottom"/>
          </w:tcPr>
          <w:p>
            <w:pPr>
              <w:spacing w:after="0"/>
              <w:rPr>
                <w:sz w:val="1"/>
                <w:szCs w:val="1"/>
                <w:color w:val="auto"/>
              </w:rPr>
            </w:pP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(106,244)</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9"/>
        </w:trPr>
        <w:tc>
          <w:tcPr>
            <w:tcW w:w="64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Comprehensive income attributable to Boston Properties, Inc.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113,676</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269,929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219,068</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762,896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 w:lineRule="exact"/>
        <w:rPr>
          <w:sz w:val="20"/>
          <w:szCs w:val="20"/>
          <w:color w:val="auto"/>
        </w:rPr>
      </w:pPr>
    </w:p>
    <w:p>
      <w:pPr>
        <w:ind w:left="320" w:right="60" w:hanging="314"/>
        <w:spacing w:after="0" w:line="252"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Boston Properties, Inc.’s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BOSTON PROPERTIES,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EQUITY</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 and in thousands)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1320" w:type="dxa"/>
            <w:vAlign w:val="bottom"/>
            <w:gridSpan w:val="4"/>
            <w:vMerge w:val="restart"/>
          </w:tcPr>
          <w:p>
            <w:pPr>
              <w:ind w:left="16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Additional</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rPr>
              <w:t>Dividends in</w:t>
            </w:r>
          </w:p>
        </w:tc>
        <w:tc>
          <w:tcPr>
            <w:tcW w:w="740" w:type="dxa"/>
            <w:vAlign w:val="bottom"/>
            <w:gridSpan w:val="3"/>
            <w:vMerge w:val="restart"/>
          </w:tcPr>
          <w:p>
            <w:pPr>
              <w:jc w:val="center"/>
              <w:ind w:right="60"/>
              <w:spacing w:after="0"/>
              <w:rPr>
                <w:sz w:val="20"/>
                <w:szCs w:val="20"/>
                <w:color w:val="auto"/>
              </w:rPr>
            </w:pPr>
            <w:r>
              <w:rPr>
                <w:rFonts w:ascii="Arial" w:cs="Arial" w:eastAsia="Arial" w:hAnsi="Arial"/>
                <w:sz w:val="12"/>
                <w:szCs w:val="12"/>
                <w:b w:val="1"/>
                <w:bCs w:val="1"/>
                <w:color w:val="auto"/>
              </w:rPr>
              <w:t>Treasury</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0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Noncontrolling</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Noncontrolling</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60"/>
              <w:spacing w:after="0" w:line="120" w:lineRule="exact"/>
              <w:rPr>
                <w:sz w:val="20"/>
                <w:szCs w:val="20"/>
                <w:color w:val="auto"/>
              </w:rPr>
            </w:pPr>
            <w:r>
              <w:rPr>
                <w:rFonts w:ascii="Arial" w:cs="Arial" w:eastAsia="Arial" w:hAnsi="Arial"/>
                <w:sz w:val="12"/>
                <w:szCs w:val="12"/>
                <w:b w:val="1"/>
                <w:bCs w:val="1"/>
                <w:color w:val="auto"/>
                <w:w w:val="99"/>
              </w:rPr>
              <w:t>Other</w:t>
            </w:r>
          </w:p>
        </w:tc>
        <w:tc>
          <w:tcPr>
            <w:tcW w:w="10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Interests -</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ind w:left="80"/>
              <w:spacing w:after="0" w:line="120" w:lineRule="exact"/>
              <w:rPr>
                <w:sz w:val="20"/>
                <w:szCs w:val="20"/>
                <w:color w:val="auto"/>
              </w:rPr>
            </w:pPr>
            <w:r>
              <w:rPr>
                <w:rFonts w:ascii="Arial" w:cs="Arial" w:eastAsia="Arial" w:hAnsi="Arial"/>
                <w:sz w:val="12"/>
                <w:szCs w:val="12"/>
                <w:b w:val="1"/>
                <w:bCs w:val="1"/>
                <w:color w:val="auto"/>
              </w:rPr>
              <w:t>Preferred</w:t>
            </w:r>
          </w:p>
        </w:tc>
        <w:tc>
          <w:tcPr>
            <w:tcW w:w="880" w:type="dxa"/>
            <w:vAlign w:val="bottom"/>
            <w:gridSpan w:val="2"/>
            <w:vMerge w:val="restart"/>
          </w:tcPr>
          <w:p>
            <w:pPr>
              <w:jc w:val="center"/>
              <w:ind w:right="80"/>
              <w:spacing w:after="0" w:line="120" w:lineRule="exact"/>
              <w:rPr>
                <w:sz w:val="20"/>
                <w:szCs w:val="20"/>
                <w:color w:val="auto"/>
              </w:rPr>
            </w:pPr>
            <w:r>
              <w:rPr>
                <w:rFonts w:ascii="Arial" w:cs="Arial" w:eastAsia="Arial" w:hAnsi="Arial"/>
                <w:sz w:val="12"/>
                <w:szCs w:val="12"/>
                <w:b w:val="1"/>
                <w:bCs w:val="1"/>
                <w:color w:val="auto"/>
                <w:w w:val="99"/>
              </w:rPr>
              <w:t>Paid-in</w:t>
            </w:r>
          </w:p>
        </w:tc>
        <w:tc>
          <w:tcPr>
            <w:tcW w:w="880" w:type="dxa"/>
            <w:vAlign w:val="bottom"/>
            <w:gridSpan w:val="2"/>
            <w:vMerge w:val="restart"/>
          </w:tcPr>
          <w:p>
            <w:pPr>
              <w:jc w:val="center"/>
              <w:ind w:right="60"/>
              <w:spacing w:after="0" w:line="120" w:lineRule="exact"/>
              <w:rPr>
                <w:sz w:val="20"/>
                <w:szCs w:val="20"/>
                <w:color w:val="auto"/>
              </w:rPr>
            </w:pPr>
            <w:r>
              <w:rPr>
                <w:rFonts w:ascii="Arial" w:cs="Arial" w:eastAsia="Arial" w:hAnsi="Arial"/>
                <w:sz w:val="12"/>
                <w:szCs w:val="12"/>
                <w:b w:val="1"/>
                <w:bCs w:val="1"/>
                <w:color w:val="auto"/>
              </w:rPr>
              <w:t>Excess of</w:t>
            </w:r>
          </w:p>
        </w:tc>
        <w:tc>
          <w:tcPr>
            <w:tcW w:w="120" w:type="dxa"/>
            <w:vAlign w:val="bottom"/>
          </w:tcPr>
          <w:p>
            <w:pPr>
              <w:spacing w:after="0"/>
              <w:rPr>
                <w:sz w:val="2"/>
                <w:szCs w:val="2"/>
                <w:color w:val="auto"/>
              </w:rPr>
            </w:pPr>
          </w:p>
        </w:tc>
        <w:tc>
          <w:tcPr>
            <w:tcW w:w="62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rPr>
              <w:t>Stock,</w:t>
            </w:r>
          </w:p>
        </w:tc>
        <w:tc>
          <w:tcPr>
            <w:tcW w:w="1060" w:type="dxa"/>
            <w:vAlign w:val="bottom"/>
            <w:gridSpan w:val="3"/>
            <w:vMerge w:val="restart"/>
          </w:tcPr>
          <w:p>
            <w:pPr>
              <w:ind w:left="40"/>
              <w:spacing w:after="0" w:line="120"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2"/>
                <w:szCs w:val="2"/>
                <w:color w:val="auto"/>
              </w:rPr>
            </w:pPr>
          </w:p>
        </w:tc>
        <w:tc>
          <w:tcPr>
            <w:tcW w:w="880" w:type="dxa"/>
            <w:vAlign w:val="bottom"/>
            <w:gridSpan w:val="2"/>
            <w:vMerge w:val="restart"/>
          </w:tcPr>
          <w:p>
            <w:pPr>
              <w:ind w:left="40"/>
              <w:spacing w:after="0" w:line="120" w:lineRule="exact"/>
              <w:rPr>
                <w:sz w:val="20"/>
                <w:szCs w:val="20"/>
                <w:color w:val="auto"/>
              </w:rPr>
            </w:pPr>
            <w:r>
              <w:rPr>
                <w:rFonts w:ascii="Arial" w:cs="Arial" w:eastAsia="Arial" w:hAnsi="Arial"/>
                <w:sz w:val="12"/>
                <w:szCs w:val="12"/>
                <w:b w:val="1"/>
                <w:bCs w:val="1"/>
                <w:color w:val="auto"/>
              </w:rPr>
              <w:t>Interests -</w:t>
            </w:r>
          </w:p>
        </w:tc>
        <w:tc>
          <w:tcPr>
            <w:tcW w:w="120" w:type="dxa"/>
            <w:vAlign w:val="bottom"/>
          </w:tcPr>
          <w:p>
            <w:pPr>
              <w:spacing w:after="0"/>
              <w:rPr>
                <w:sz w:val="2"/>
                <w:szCs w:val="2"/>
                <w:color w:val="auto"/>
              </w:rPr>
            </w:pPr>
          </w:p>
        </w:tc>
        <w:tc>
          <w:tcPr>
            <w:tcW w:w="88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rPr>
              <w:t>Property</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720" w:type="dxa"/>
            <w:vAlign w:val="bottom"/>
          </w:tcPr>
          <w:p>
            <w:pPr>
              <w:spacing w:after="0"/>
              <w:rPr>
                <w:sz w:val="6"/>
                <w:szCs w:val="6"/>
                <w:color w:val="auto"/>
              </w:rPr>
            </w:pPr>
          </w:p>
        </w:tc>
        <w:tc>
          <w:tcPr>
            <w:tcW w:w="600" w:type="dxa"/>
            <w:vAlign w:val="bottom"/>
            <w:vMerge w:val="restart"/>
          </w:tcPr>
          <w:p>
            <w:pPr>
              <w:jc w:val="right"/>
              <w:ind w:right="30"/>
              <w:spacing w:after="0"/>
              <w:rPr>
                <w:sz w:val="20"/>
                <w:szCs w:val="20"/>
                <w:color w:val="auto"/>
              </w:rPr>
            </w:pPr>
            <w:r>
              <w:rPr>
                <w:rFonts w:ascii="Arial" w:cs="Arial" w:eastAsia="Arial" w:hAnsi="Arial"/>
                <w:sz w:val="12"/>
                <w:szCs w:val="12"/>
                <w:b w:val="1"/>
                <w:bCs w:val="1"/>
                <w:color w:val="auto"/>
              </w:rPr>
              <w:t>Shares</w:t>
            </w:r>
          </w:p>
        </w:tc>
        <w:tc>
          <w:tcPr>
            <w:tcW w:w="80" w:type="dxa"/>
            <w:vAlign w:val="bottom"/>
            <w:vMerge w:val="restart"/>
          </w:tcPr>
          <w:p>
            <w:pPr>
              <w:spacing w:after="0"/>
              <w:rPr>
                <w:sz w:val="6"/>
                <w:szCs w:val="6"/>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2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rPr>
              <w:t>Stock</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Earnings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rPr>
              <w:t>at cost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2"/>
                <w:szCs w:val="12"/>
                <w:b w:val="1"/>
                <w:bCs w:val="1"/>
                <w:color w:val="auto"/>
                <w:w w:val="99"/>
              </w:rPr>
              <w:t>Loss</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Common Units</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Partnerships</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March 31, 2021</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156,074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$ 1,561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$ 6,392,923</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(570,982)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color w:val="auto"/>
                <w:w w:val="99"/>
              </w:rPr>
              <w:t>(2,722)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620,106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1,725,600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$ 8,121,347</w:t>
            </w:r>
          </w:p>
        </w:tc>
        <w:tc>
          <w:tcPr>
            <w:tcW w:w="0" w:type="dxa"/>
            <w:vAlign w:val="bottom"/>
          </w:tcPr>
          <w:p>
            <w:pPr>
              <w:spacing w:after="0"/>
              <w:rPr>
                <w:sz w:val="1"/>
                <w:szCs w:val="1"/>
                <w:color w:val="auto"/>
              </w:rPr>
            </w:pPr>
          </w:p>
        </w:tc>
      </w:tr>
      <w:tr>
        <w:trPr>
          <w:trHeight w:val="151"/>
        </w:trPr>
        <w:tc>
          <w:tcPr>
            <w:tcW w:w="2720" w:type="dxa"/>
            <w:vAlign w:val="bottom"/>
          </w:tcPr>
          <w:p>
            <w:pPr>
              <w:ind w:left="20"/>
              <w:spacing w:after="0" w:line="151" w:lineRule="exact"/>
              <w:rPr>
                <w:sz w:val="20"/>
                <w:szCs w:val="20"/>
                <w:color w:val="auto"/>
              </w:rPr>
            </w:pPr>
            <w:r>
              <w:rPr>
                <w:rFonts w:ascii="Arial" w:cs="Arial" w:eastAsia="Arial" w:hAnsi="Arial"/>
                <w:sz w:val="14"/>
                <w:szCs w:val="14"/>
                <w:color w:val="auto"/>
              </w:rPr>
              <w:t>Redemption of operating partnership units</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2,087</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(2,087)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4"/>
                <w:szCs w:val="14"/>
                <w:color w:val="auto"/>
              </w:rPr>
              <w:t>to common stock</w:t>
            </w: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year</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111,748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17,164</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141,250</w:t>
            </w:r>
          </w:p>
        </w:tc>
        <w:tc>
          <w:tcPr>
            <w:tcW w:w="0" w:type="dxa"/>
            <w:vAlign w:val="bottom"/>
          </w:tcPr>
          <w:p>
            <w:pPr>
              <w:spacing w:after="0"/>
              <w:rPr>
                <w:sz w:val="1"/>
                <w:szCs w:val="1"/>
                <w:color w:val="auto"/>
              </w:rPr>
            </w:pPr>
          </w:p>
        </w:tc>
      </w:tr>
      <w:tr>
        <w:trPr>
          <w:trHeight w:val="186"/>
        </w:trPr>
        <w:tc>
          <w:tcPr>
            <w:tcW w:w="272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(153,013)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(17,253)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(170,266)</w:t>
            </w:r>
          </w:p>
        </w:tc>
        <w:tc>
          <w:tcPr>
            <w:tcW w:w="0" w:type="dxa"/>
            <w:vAlign w:val="bottom"/>
          </w:tcPr>
          <w:p>
            <w:pPr>
              <w:spacing w:after="0"/>
              <w:rPr>
                <w:sz w:val="1"/>
                <w:szCs w:val="1"/>
                <w:color w:val="auto"/>
              </w:rPr>
            </w:pPr>
          </w:p>
        </w:tc>
      </w:tr>
      <w:tr>
        <w:trPr>
          <w:trHeight w:val="151"/>
        </w:trPr>
        <w:tc>
          <w:tcPr>
            <w:tcW w:w="272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13,191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12,897</w:t>
            </w:r>
          </w:p>
        </w:tc>
        <w:tc>
          <w:tcPr>
            <w:tcW w:w="0" w:type="dxa"/>
            <w:vAlign w:val="bottom"/>
          </w:tcPr>
          <w:p>
            <w:pPr>
              <w:spacing w:after="0"/>
              <w:rPr>
                <w:sz w:val="1"/>
                <w:szCs w:val="1"/>
                <w:color w:val="auto"/>
              </w:rPr>
            </w:pPr>
          </w:p>
        </w:tc>
      </w:tr>
      <w:tr>
        <w:trPr>
          <w:trHeight w:val="168"/>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20" w:type="dxa"/>
            <w:vAlign w:val="bottom"/>
          </w:tcPr>
          <w:p>
            <w:pPr>
              <w:ind w:left="20"/>
              <w:spacing w:after="0" w:line="151" w:lineRule="exact"/>
              <w:rPr>
                <w:sz w:val="20"/>
                <w:szCs w:val="20"/>
                <w:color w:val="auto"/>
              </w:rPr>
            </w:pPr>
            <w:r>
              <w:rPr>
                <w:rFonts w:ascii="Arial" w:cs="Arial" w:eastAsia="Arial" w:hAnsi="Arial"/>
                <w:sz w:val="14"/>
                <w:szCs w:val="14"/>
                <w:color w:val="auto"/>
              </w:rPr>
              <w:t>Contributions from noncontrolling interests</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2,139</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2,139</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4"/>
                <w:szCs w:val="14"/>
                <w:color w:val="auto"/>
              </w:rPr>
              <w:t>in property partnerships</w:t>
            </w:r>
          </w:p>
        </w:tc>
        <w:tc>
          <w:tcPr>
            <w:tcW w:w="6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2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Distributions to noncontrolling interests in</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(19,704)</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(19,704)</w:t>
            </w:r>
          </w:p>
        </w:tc>
        <w:tc>
          <w:tcPr>
            <w:tcW w:w="0" w:type="dxa"/>
            <w:vAlign w:val="bottom"/>
          </w:tcPr>
          <w:p>
            <w:pPr>
              <w:spacing w:after="0"/>
              <w:rPr>
                <w:sz w:val="1"/>
                <w:szCs w:val="1"/>
                <w:color w:val="auto"/>
              </w:rPr>
            </w:pPr>
          </w:p>
        </w:tc>
      </w:tr>
      <w:tr>
        <w:trPr>
          <w:trHeight w:val="168"/>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partnerships</w:t>
            </w:r>
          </w:p>
        </w:tc>
        <w:tc>
          <w:tcPr>
            <w:tcW w:w="6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2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86"/>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186"/>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11,200</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June 30, 2021</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156,136</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$ 1,561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6,405,916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(612,247)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color w:val="auto"/>
                <w:w w:val="99"/>
              </w:rPr>
              <w:t>(2,722)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615,308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1,725,343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$ 8,089,993</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March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155,315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$ 1,553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8"/>
              </w:rPr>
              <w:t>200,000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$ 6,321,475</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(416,740)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color w:val="auto"/>
                <w:w w:val="99"/>
              </w:rPr>
              <w:t>(2,722)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636,572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1,736,445</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$ 8,420,883</w:t>
            </w:r>
          </w:p>
        </w:tc>
        <w:tc>
          <w:tcPr>
            <w:tcW w:w="0" w:type="dxa"/>
            <w:vAlign w:val="bottom"/>
          </w:tcPr>
          <w:p>
            <w:pPr>
              <w:spacing w:after="0"/>
              <w:rPr>
                <w:sz w:val="1"/>
                <w:szCs w:val="1"/>
                <w:color w:val="auto"/>
              </w:rPr>
            </w:pPr>
          </w:p>
        </w:tc>
      </w:tr>
      <w:tr>
        <w:trPr>
          <w:trHeight w:val="151"/>
        </w:trPr>
        <w:tc>
          <w:tcPr>
            <w:tcW w:w="2720" w:type="dxa"/>
            <w:vAlign w:val="bottom"/>
          </w:tcPr>
          <w:p>
            <w:pPr>
              <w:ind w:left="20"/>
              <w:spacing w:after="0" w:line="151" w:lineRule="exact"/>
              <w:rPr>
                <w:sz w:val="20"/>
                <w:szCs w:val="20"/>
                <w:color w:val="auto"/>
              </w:rPr>
            </w:pPr>
            <w:r>
              <w:rPr>
                <w:rFonts w:ascii="Arial" w:cs="Arial" w:eastAsia="Arial" w:hAnsi="Arial"/>
                <w:sz w:val="14"/>
                <w:szCs w:val="14"/>
                <w:color w:val="auto"/>
              </w:rPr>
              <w:t>Redemption of operating partnership units</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303</w:t>
            </w:r>
          </w:p>
        </w:tc>
        <w:tc>
          <w:tcPr>
            <w:tcW w:w="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10,846</w:t>
            </w:r>
          </w:p>
        </w:tc>
        <w:tc>
          <w:tcPr>
            <w:tcW w:w="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(10,849)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4"/>
                <w:szCs w:val="14"/>
                <w:color w:val="auto"/>
              </w:rPr>
              <w:t>to common stock</w:t>
            </w: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(loss) for the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269,361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298,580</w:t>
            </w:r>
          </w:p>
        </w:tc>
        <w:tc>
          <w:tcPr>
            <w:tcW w:w="0" w:type="dxa"/>
            <w:vAlign w:val="bottom"/>
          </w:tcPr>
          <w:p>
            <w:pPr>
              <w:spacing w:after="0"/>
              <w:rPr>
                <w:sz w:val="1"/>
                <w:szCs w:val="1"/>
                <w:color w:val="auto"/>
              </w:rPr>
            </w:pPr>
          </w:p>
        </w:tc>
      </w:tr>
      <w:tr>
        <w:trPr>
          <w:trHeight w:val="186"/>
        </w:trPr>
        <w:tc>
          <w:tcPr>
            <w:tcW w:w="272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(155,132)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(17,194)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(172,326)</w:t>
            </w:r>
          </w:p>
        </w:tc>
        <w:tc>
          <w:tcPr>
            <w:tcW w:w="0" w:type="dxa"/>
            <w:vAlign w:val="bottom"/>
          </w:tcPr>
          <w:p>
            <w:pPr>
              <w:spacing w:after="0"/>
              <w:rPr>
                <w:sz w:val="1"/>
                <w:szCs w:val="1"/>
                <w:color w:val="auto"/>
              </w:rPr>
            </w:pPr>
          </w:p>
        </w:tc>
      </w:tr>
      <w:tr>
        <w:trPr>
          <w:trHeight w:val="151"/>
        </w:trPr>
        <w:tc>
          <w:tcPr>
            <w:tcW w:w="272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9,352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10,225</w:t>
            </w:r>
          </w:p>
        </w:tc>
        <w:tc>
          <w:tcPr>
            <w:tcW w:w="0" w:type="dxa"/>
            <w:vAlign w:val="bottom"/>
          </w:tcPr>
          <w:p>
            <w:pPr>
              <w:spacing w:after="0"/>
              <w:rPr>
                <w:sz w:val="1"/>
                <w:szCs w:val="1"/>
                <w:color w:val="auto"/>
              </w:rPr>
            </w:pPr>
          </w:p>
        </w:tc>
      </w:tr>
      <w:tr>
        <w:trPr>
          <w:trHeight w:val="168"/>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20" w:type="dxa"/>
            <w:vAlign w:val="bottom"/>
          </w:tcPr>
          <w:p>
            <w:pPr>
              <w:ind w:left="20"/>
              <w:spacing w:after="0" w:line="151" w:lineRule="exact"/>
              <w:rPr>
                <w:sz w:val="20"/>
                <w:szCs w:val="20"/>
                <w:color w:val="auto"/>
              </w:rPr>
            </w:pPr>
            <w:r>
              <w:rPr>
                <w:rFonts w:ascii="Arial" w:cs="Arial" w:eastAsia="Arial" w:hAnsi="Arial"/>
                <w:sz w:val="14"/>
                <w:szCs w:val="14"/>
                <w:color w:val="auto"/>
              </w:rPr>
              <w:t>Contributions from noncontrolling interests</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2,081</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2,081</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4"/>
                <w:szCs w:val="14"/>
                <w:color w:val="auto"/>
              </w:rPr>
              <w:t>in property partnerships</w:t>
            </w:r>
          </w:p>
        </w:tc>
        <w:tc>
          <w:tcPr>
            <w:tcW w:w="6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2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Distributions to noncontrolling interests in</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(13,315)</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(13,315)</w:t>
            </w:r>
          </w:p>
        </w:tc>
        <w:tc>
          <w:tcPr>
            <w:tcW w:w="0" w:type="dxa"/>
            <w:vAlign w:val="bottom"/>
          </w:tcPr>
          <w:p>
            <w:pPr>
              <w:spacing w:after="0"/>
              <w:rPr>
                <w:sz w:val="1"/>
                <w:szCs w:val="1"/>
                <w:color w:val="auto"/>
              </w:rPr>
            </w:pPr>
          </w:p>
        </w:tc>
      </w:tr>
      <w:tr>
        <w:trPr>
          <w:trHeight w:val="168"/>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partnerships</w:t>
            </w:r>
          </w:p>
        </w:tc>
        <w:tc>
          <w:tcPr>
            <w:tcW w:w="6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2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186"/>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86"/>
        </w:trPr>
        <w:tc>
          <w:tcPr>
            <w:tcW w:w="2720" w:type="dxa"/>
            <w:vAlign w:val="bottom"/>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7,471</w:t>
            </w: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June 30, 2020</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$ 1,556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8"/>
              </w:rPr>
              <w:t>200,000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6,340,665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(302,511)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99"/>
              </w:rPr>
              <w:t>(2,722)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640,491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1,724,588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$ 8,547,146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10" w:name="page11"/>
    <w:bookmarkEnd w:id="10"/>
    <w:p>
      <w:pPr>
        <w:ind w:left="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BOSTON PROPERTIES,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EQUITY</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and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4"/>
            <w:vMerge w:val="restart"/>
          </w:tcPr>
          <w:p>
            <w:pPr>
              <w:jc w:val="right"/>
              <w:ind w:right="129"/>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2"/>
                <w:szCs w:val="12"/>
                <w:b w:val="1"/>
                <w:bCs w:val="1"/>
                <w:color w:val="auto"/>
              </w:rPr>
              <w:t>Additional</w:t>
            </w:r>
          </w:p>
        </w:tc>
        <w:tc>
          <w:tcPr>
            <w:tcW w:w="880" w:type="dxa"/>
            <w:vAlign w:val="bottom"/>
            <w:gridSpan w:val="3"/>
            <w:vMerge w:val="restart"/>
          </w:tcPr>
          <w:p>
            <w:pPr>
              <w:jc w:val="right"/>
              <w:ind w:right="10"/>
              <w:spacing w:after="0"/>
              <w:rPr>
                <w:sz w:val="20"/>
                <w:szCs w:val="20"/>
                <w:color w:val="auto"/>
              </w:rPr>
            </w:pPr>
            <w:r>
              <w:rPr>
                <w:rFonts w:ascii="Arial" w:cs="Arial" w:eastAsia="Arial" w:hAnsi="Arial"/>
                <w:sz w:val="12"/>
                <w:szCs w:val="12"/>
                <w:b w:val="1"/>
                <w:bCs w:val="1"/>
                <w:color w:val="auto"/>
              </w:rPr>
              <w:t>Dividends 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Treasury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ind w:right="70"/>
              <w:spacing w:after="0"/>
              <w:rPr>
                <w:sz w:val="20"/>
                <w:szCs w:val="20"/>
                <w:color w:val="auto"/>
              </w:rPr>
            </w:pPr>
            <w:r>
              <w:rPr>
                <w:rFonts w:ascii="Arial" w:cs="Arial" w:eastAsia="Arial" w:hAnsi="Arial"/>
                <w:sz w:val="12"/>
                <w:szCs w:val="12"/>
                <w:b w:val="1"/>
                <w:bCs w:val="1"/>
                <w:color w:val="auto"/>
              </w:rPr>
              <w:t>Accumulated</w:t>
            </w:r>
          </w:p>
        </w:tc>
        <w:tc>
          <w:tcPr>
            <w:tcW w:w="10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Noncontrolling</w:t>
            </w:r>
          </w:p>
        </w:tc>
        <w:tc>
          <w:tcPr>
            <w:tcW w:w="1000" w:type="dxa"/>
            <w:vAlign w:val="bottom"/>
            <w:gridSpan w:val="3"/>
          </w:tcPr>
          <w:p>
            <w:pPr>
              <w:jc w:val="right"/>
              <w:spacing w:after="0"/>
              <w:rPr>
                <w:sz w:val="20"/>
                <w:szCs w:val="20"/>
                <w:color w:val="auto"/>
              </w:rPr>
            </w:pPr>
            <w:r>
              <w:rPr>
                <w:rFonts w:ascii="Arial" w:cs="Arial" w:eastAsia="Arial" w:hAnsi="Arial"/>
                <w:sz w:val="12"/>
                <w:szCs w:val="12"/>
                <w:b w:val="1"/>
                <w:bCs w:val="1"/>
                <w:color w:val="auto"/>
              </w:rPr>
              <w:t>Noncontrolling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Other</w:t>
            </w:r>
          </w:p>
        </w:tc>
        <w:tc>
          <w:tcPr>
            <w:tcW w:w="10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Interests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gridSpan w:val="3"/>
            <w:vMerge w:val="restart"/>
          </w:tcPr>
          <w:p>
            <w:pPr>
              <w:ind w:left="80"/>
              <w:spacing w:after="0" w:line="120" w:lineRule="exact"/>
              <w:rPr>
                <w:sz w:val="20"/>
                <w:szCs w:val="20"/>
                <w:color w:val="auto"/>
              </w:rPr>
            </w:pPr>
            <w:r>
              <w:rPr>
                <w:rFonts w:ascii="Arial" w:cs="Arial" w:eastAsia="Arial" w:hAnsi="Arial"/>
                <w:sz w:val="12"/>
                <w:szCs w:val="12"/>
                <w:b w:val="1"/>
                <w:bCs w:val="1"/>
                <w:color w:val="auto"/>
              </w:rPr>
              <w:t>Preferred</w:t>
            </w:r>
          </w:p>
        </w:tc>
        <w:tc>
          <w:tcPr>
            <w:tcW w:w="80" w:type="dxa"/>
            <w:vAlign w:val="bottom"/>
          </w:tcPr>
          <w:p>
            <w:pPr>
              <w:spacing w:after="0"/>
              <w:rPr>
                <w:sz w:val="2"/>
                <w:szCs w:val="2"/>
                <w:color w:val="auto"/>
              </w:rPr>
            </w:pPr>
          </w:p>
        </w:tc>
        <w:tc>
          <w:tcPr>
            <w:tcW w:w="720" w:type="dxa"/>
            <w:vAlign w:val="bottom"/>
            <w:vMerge w:val="restart"/>
          </w:tcPr>
          <w:p>
            <w:pPr>
              <w:jc w:val="right"/>
              <w:ind w:right="91"/>
              <w:spacing w:after="0" w:line="120" w:lineRule="exact"/>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restart"/>
          </w:tcPr>
          <w:p>
            <w:pPr>
              <w:jc w:val="right"/>
              <w:ind w:right="50"/>
              <w:spacing w:after="0" w:line="120" w:lineRule="exact"/>
              <w:rPr>
                <w:sz w:val="20"/>
                <w:szCs w:val="20"/>
                <w:color w:val="auto"/>
              </w:rPr>
            </w:pPr>
            <w:r>
              <w:rPr>
                <w:rFonts w:ascii="Arial" w:cs="Arial" w:eastAsia="Arial" w:hAnsi="Arial"/>
                <w:sz w:val="12"/>
                <w:szCs w:val="12"/>
                <w:b w:val="1"/>
                <w:bCs w:val="1"/>
                <w:color w:val="auto"/>
              </w:rPr>
              <w:t>Excess of</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restart"/>
          </w:tcPr>
          <w:p>
            <w:pPr>
              <w:ind w:left="120"/>
              <w:spacing w:after="0" w:line="120" w:lineRule="exact"/>
              <w:rPr>
                <w:sz w:val="20"/>
                <w:szCs w:val="20"/>
                <w:color w:val="auto"/>
              </w:rPr>
            </w:pPr>
            <w:r>
              <w:rPr>
                <w:rFonts w:ascii="Arial" w:cs="Arial" w:eastAsia="Arial" w:hAnsi="Arial"/>
                <w:sz w:val="12"/>
                <w:szCs w:val="12"/>
                <w:b w:val="1"/>
                <w:bCs w:val="1"/>
                <w:color w:val="auto"/>
              </w:rPr>
              <w:t>Stock,</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vMerge w:val="restart"/>
          </w:tcPr>
          <w:p>
            <w:pPr>
              <w:jc w:val="center"/>
              <w:spacing w:after="0" w:line="120" w:lineRule="exact"/>
              <w:rPr>
                <w:sz w:val="20"/>
                <w:szCs w:val="20"/>
                <w:color w:val="auto"/>
              </w:rPr>
            </w:pPr>
            <w:r>
              <w:rPr>
                <w:rFonts w:ascii="Arial" w:cs="Arial" w:eastAsia="Arial" w:hAnsi="Arial"/>
                <w:sz w:val="12"/>
                <w:szCs w:val="12"/>
                <w:b w:val="1"/>
                <w:bCs w:val="1"/>
                <w:color w:val="auto"/>
              </w:rPr>
              <w:t>Comprehensive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vMerge w:val="restart"/>
          </w:tcPr>
          <w:p>
            <w:pPr>
              <w:jc w:val="right"/>
              <w:ind w:right="90"/>
              <w:spacing w:after="0" w:line="120" w:lineRule="exact"/>
              <w:rPr>
                <w:sz w:val="20"/>
                <w:szCs w:val="20"/>
                <w:color w:val="auto"/>
              </w:rPr>
            </w:pPr>
            <w:r>
              <w:rPr>
                <w:rFonts w:ascii="Arial" w:cs="Arial" w:eastAsia="Arial" w:hAnsi="Arial"/>
                <w:sz w:val="12"/>
                <w:szCs w:val="12"/>
                <w:b w:val="1"/>
                <w:bCs w:val="1"/>
                <w:color w:val="auto"/>
              </w:rPr>
              <w:t>Interests -</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vMerge w:val="restart"/>
          </w:tcPr>
          <w:p>
            <w:pPr>
              <w:jc w:val="center"/>
              <w:spacing w:after="0" w:line="120" w:lineRule="exact"/>
              <w:rPr>
                <w:sz w:val="20"/>
                <w:szCs w:val="20"/>
                <w:color w:val="auto"/>
              </w:rPr>
            </w:pPr>
            <w:r>
              <w:rPr>
                <w:rFonts w:ascii="Arial" w:cs="Arial" w:eastAsia="Arial" w:hAnsi="Arial"/>
                <w:sz w:val="12"/>
                <w:szCs w:val="12"/>
                <w:b w:val="1"/>
                <w:bCs w:val="1"/>
                <w:color w:val="auto"/>
              </w:rPr>
              <w:t>Property</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6"/>
                <w:szCs w:val="6"/>
                <w:color w:val="auto"/>
              </w:rPr>
            </w:pPr>
          </w:p>
        </w:tc>
        <w:tc>
          <w:tcPr>
            <w:tcW w:w="580" w:type="dxa"/>
            <w:vAlign w:val="bottom"/>
            <w:gridSpan w:val="2"/>
            <w:vMerge w:val="restart"/>
          </w:tcPr>
          <w:p>
            <w:pPr>
              <w:jc w:val="right"/>
              <w:ind w:right="29"/>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rPr>
              <w:t>Stock</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Earnings</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at cost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Loss</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Common Units</w:t>
            </w: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Partnerships</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Equity, December 31, 2020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155,719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1,557</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$ 200,000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$6,356,791</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(509,653)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(2,722)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(49,890)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616,596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1,726,933</w:t>
            </w:r>
          </w:p>
        </w:tc>
        <w:tc>
          <w:tcPr>
            <w:tcW w:w="80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w w:val="99"/>
              </w:rPr>
              <w:t>$8,339,612</w:t>
            </w:r>
          </w:p>
        </w:tc>
        <w:tc>
          <w:tcPr>
            <w:tcW w:w="0" w:type="dxa"/>
            <w:vAlign w:val="bottom"/>
          </w:tcPr>
          <w:p>
            <w:pPr>
              <w:spacing w:after="0"/>
              <w:rPr>
                <w:sz w:val="1"/>
                <w:szCs w:val="1"/>
                <w:color w:val="auto"/>
              </w:rPr>
            </w:pPr>
          </w:p>
        </w:tc>
      </w:tr>
      <w:tr>
        <w:trPr>
          <w:trHeight w:val="151"/>
        </w:trPr>
        <w:tc>
          <w:tcPr>
            <w:tcW w:w="2960" w:type="dxa"/>
            <w:vAlign w:val="bottom"/>
            <w:gridSpan w:val="2"/>
          </w:tcPr>
          <w:p>
            <w:pPr>
              <w:spacing w:after="0" w:line="151" w:lineRule="exact"/>
              <w:rPr>
                <w:sz w:val="20"/>
                <w:szCs w:val="20"/>
                <w:color w:val="auto"/>
              </w:rPr>
            </w:pPr>
            <w:r>
              <w:rPr>
                <w:rFonts w:ascii="Arial" w:cs="Arial" w:eastAsia="Arial" w:hAnsi="Arial"/>
                <w:sz w:val="14"/>
                <w:szCs w:val="14"/>
                <w:color w:val="auto"/>
              </w:rPr>
              <w:t>Redemption of operating partnership units to</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6,284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(6,285)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212,344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23,422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33,631</w:t>
            </w:r>
          </w:p>
        </w:tc>
        <w:tc>
          <w:tcPr>
            <w:tcW w:w="80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269,397</w:t>
            </w:r>
          </w:p>
        </w:tc>
        <w:tc>
          <w:tcPr>
            <w:tcW w:w="0" w:type="dxa"/>
            <w:vAlign w:val="bottom"/>
          </w:tcPr>
          <w:p>
            <w:pPr>
              <w:spacing w:after="0"/>
              <w:rPr>
                <w:sz w:val="1"/>
                <w:szCs w:val="1"/>
                <w:color w:val="auto"/>
              </w:rPr>
            </w:pPr>
          </w:p>
        </w:tc>
      </w:tr>
      <w:tr>
        <w:trPr>
          <w:trHeight w:val="186"/>
        </w:trPr>
        <w:tc>
          <w:tcPr>
            <w:tcW w:w="2960" w:type="dxa"/>
            <w:vAlign w:val="bottom"/>
            <w:gridSpan w:val="2"/>
          </w:tcPr>
          <w:p>
            <w:pPr>
              <w:spacing w:after="0"/>
              <w:rPr>
                <w:sz w:val="20"/>
                <w:szCs w:val="20"/>
                <w:color w:val="auto"/>
              </w:rPr>
            </w:pPr>
            <w:r>
              <w:rPr>
                <w:rFonts w:ascii="Arial" w:cs="Arial" w:eastAsia="Arial" w:hAnsi="Arial"/>
                <w:sz w:val="14"/>
                <w:szCs w:val="14"/>
                <w:color w:val="auto"/>
              </w:rPr>
              <w:t>Dividends/distributions declared</w:t>
            </w:r>
          </w:p>
        </w:tc>
        <w:tc>
          <w:tcPr>
            <w:tcW w:w="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(308,526)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(34,540)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(343,066)</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w w:val="98"/>
              </w:rPr>
              <w:t>Shares issued pursuant to stock purchase plan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51"/>
        </w:trPr>
        <w:tc>
          <w:tcPr>
            <w:tcW w:w="2960" w:type="dxa"/>
            <w:vAlign w:val="bottom"/>
            <w:gridSpan w:val="2"/>
          </w:tcPr>
          <w:p>
            <w:pPr>
              <w:spacing w:after="0" w:line="151"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19,708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31,653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tcPr>
          <w:p>
            <w:pPr>
              <w:jc w:val="right"/>
              <w:ind w:right="11"/>
              <w:spacing w:after="0"/>
              <w:rPr>
                <w:sz w:val="20"/>
                <w:szCs w:val="20"/>
                <w:color w:val="auto"/>
              </w:rPr>
            </w:pPr>
            <w:r>
              <w:rPr>
                <w:rFonts w:ascii="Arial" w:cs="Arial" w:eastAsia="Arial" w:hAnsi="Arial"/>
                <w:sz w:val="14"/>
                <w:szCs w:val="14"/>
                <w:color w:val="auto"/>
              </w:rPr>
              <w:t>51,364</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plan</w:t>
            </w: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redemption</w:t>
            </w: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(200,000)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6,377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Preferred stock redemption charge</w:t>
            </w:r>
          </w:p>
        </w:tc>
        <w:tc>
          <w:tcPr>
            <w:tcW w:w="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(6,412)</w:t>
            </w: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29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Contributions from noncontrolling interests in</w:t>
            </w:r>
          </w:p>
        </w:tc>
        <w:tc>
          <w:tcPr>
            <w:tcW w:w="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800" w:type="dxa"/>
            <w:vAlign w:val="bottom"/>
            <w:gridSpan w:val="3"/>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2,420</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partnerships</w:t>
            </w:r>
          </w:p>
        </w:tc>
        <w:tc>
          <w:tcPr>
            <w:tcW w:w="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2900" w:type="dxa"/>
            <w:vAlign w:val="bottom"/>
          </w:tcPr>
          <w:p>
            <w:pPr>
              <w:ind w:left="20"/>
              <w:spacing w:after="0" w:line="151" w:lineRule="exact"/>
              <w:rPr>
                <w:sz w:val="20"/>
                <w:szCs w:val="20"/>
                <w:color w:val="auto"/>
              </w:rPr>
            </w:pPr>
            <w:r>
              <w:rPr>
                <w:rFonts w:ascii="Arial" w:cs="Arial" w:eastAsia="Arial" w:hAnsi="Arial"/>
                <w:sz w:val="14"/>
                <w:szCs w:val="14"/>
                <w:color w:val="auto"/>
              </w:rPr>
              <w:t>Distributions to noncontrolling interests in</w:t>
            </w:r>
          </w:p>
        </w:tc>
        <w:tc>
          <w:tcPr>
            <w:tcW w:w="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(37,929)</w:t>
            </w: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(37,929)</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90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4,394</w:t>
            </w:r>
          </w:p>
        </w:tc>
        <w:tc>
          <w:tcPr>
            <w:tcW w:w="0" w:type="dxa"/>
            <w:vAlign w:val="bottom"/>
          </w:tcPr>
          <w:p>
            <w:pPr>
              <w:spacing w:after="0"/>
              <w:rPr>
                <w:sz w:val="1"/>
                <w:szCs w:val="1"/>
                <w:color w:val="auto"/>
              </w:rPr>
            </w:pPr>
          </w:p>
        </w:tc>
      </w:tr>
      <w:tr>
        <w:trPr>
          <w:trHeight w:val="186"/>
        </w:trPr>
        <w:tc>
          <w:tcPr>
            <w:tcW w:w="2960" w:type="dxa"/>
            <w:vAlign w:val="bottom"/>
            <w:gridSpan w:val="2"/>
          </w:tcPr>
          <w:p>
            <w:pPr>
              <w:spacing w:after="0"/>
              <w:rPr>
                <w:sz w:val="20"/>
                <w:szCs w:val="20"/>
                <w:color w:val="auto"/>
              </w:rPr>
            </w:pPr>
            <w:r>
              <w:rPr>
                <w:rFonts w:ascii="Arial" w:cs="Arial" w:eastAsia="Arial" w:hAnsi="Arial"/>
                <w:sz w:val="14"/>
                <w:szCs w:val="14"/>
                <w:color w:val="auto"/>
              </w:rPr>
              <w:t>Amortization of interest rate contracts</w:t>
            </w:r>
          </w:p>
        </w:tc>
        <w:tc>
          <w:tcPr>
            <w:tcW w:w="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2,762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288</w:t>
            </w:r>
          </w:p>
        </w:tc>
        <w:tc>
          <w:tcPr>
            <w:tcW w:w="800" w:type="dxa"/>
            <w:vAlign w:val="bottom"/>
            <w:gridSpan w:val="3"/>
          </w:tcPr>
          <w:p>
            <w:pPr>
              <w:jc w:val="right"/>
              <w:ind w:right="11"/>
              <w:spacing w:after="0"/>
              <w:rPr>
                <w:sz w:val="20"/>
                <w:szCs w:val="20"/>
                <w:color w:val="auto"/>
              </w:rPr>
            </w:pPr>
            <w:r>
              <w:rPr>
                <w:rFonts w:ascii="Arial" w:cs="Arial" w:eastAsia="Arial" w:hAnsi="Arial"/>
                <w:sz w:val="14"/>
                <w:szCs w:val="14"/>
                <w:color w:val="auto"/>
              </w:rPr>
              <w:t>3,352</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Reallocation of noncontrolling interest</w:t>
            </w:r>
          </w:p>
        </w:tc>
        <w:tc>
          <w:tcPr>
            <w:tcW w:w="4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16,272</w:t>
            </w:r>
          </w:p>
        </w:tc>
        <w:tc>
          <w:tcPr>
            <w:tcW w:w="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(16,272)</w:t>
            </w: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960" w:type="dxa"/>
            <w:vAlign w:val="bottom"/>
            <w:gridSpan w:val="2"/>
          </w:tcPr>
          <w:p>
            <w:pPr>
              <w:spacing w:after="0"/>
              <w:rPr>
                <w:sz w:val="20"/>
                <w:szCs w:val="20"/>
                <w:color w:val="auto"/>
              </w:rPr>
            </w:pPr>
            <w:r>
              <w:rPr>
                <w:rFonts w:ascii="Arial" w:cs="Arial" w:eastAsia="Arial" w:hAnsi="Arial"/>
                <w:sz w:val="14"/>
                <w:szCs w:val="14"/>
                <w:color w:val="auto"/>
              </w:rPr>
              <w:t>Equity, June 30, 2021</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156,136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1,561</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$6,405,916</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(612,247)</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160"/>
              <w:spacing w:after="0"/>
              <w:rPr>
                <w:sz w:val="20"/>
                <w:szCs w:val="20"/>
                <w:color w:val="auto"/>
              </w:rPr>
            </w:pPr>
            <w:r>
              <w:rPr>
                <w:rFonts w:ascii="Arial" w:cs="Arial" w:eastAsia="Arial" w:hAnsi="Arial"/>
                <w:sz w:val="14"/>
                <w:szCs w:val="14"/>
                <w:color w:val="auto"/>
              </w:rPr>
              <w:t>(2,722)</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(43,166)</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615,308</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1,725,343</w:t>
            </w:r>
          </w:p>
        </w:tc>
        <w:tc>
          <w:tcPr>
            <w:tcW w:w="800" w:type="dxa"/>
            <w:vAlign w:val="bottom"/>
            <w:gridSpan w:val="3"/>
          </w:tcPr>
          <w:p>
            <w:pPr>
              <w:jc w:val="right"/>
              <w:ind w:right="11"/>
              <w:spacing w:after="0"/>
              <w:rPr>
                <w:sz w:val="20"/>
                <w:szCs w:val="20"/>
                <w:color w:val="auto"/>
              </w:rPr>
            </w:pPr>
            <w:r>
              <w:rPr>
                <w:rFonts w:ascii="Arial" w:cs="Arial" w:eastAsia="Arial" w:hAnsi="Arial"/>
                <w:sz w:val="14"/>
                <w:szCs w:val="14"/>
                <w:color w:val="auto"/>
                <w:w w:val="99"/>
              </w:rPr>
              <w:t>$8,089,993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 w:type="dxa"/>
            <w:vAlign w:val="bottom"/>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960" w:type="dxa"/>
            <w:vAlign w:val="bottom"/>
            <w:gridSpan w:val="2"/>
          </w:tcPr>
          <w:p>
            <w:pPr>
              <w:spacing w:after="0"/>
              <w:rPr>
                <w:sz w:val="20"/>
                <w:szCs w:val="20"/>
                <w:color w:val="auto"/>
              </w:rPr>
            </w:pPr>
            <w:r>
              <w:rPr>
                <w:rFonts w:ascii="Arial" w:cs="Arial" w:eastAsia="Arial" w:hAnsi="Arial"/>
                <w:sz w:val="14"/>
                <w:szCs w:val="14"/>
                <w:color w:val="auto"/>
              </w:rPr>
              <w:t>Equity, December 31, 2019</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154,790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1,548</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9"/>
              </w:rPr>
              <w:t>$ 200,000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$6,294,719</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(760,523)</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160"/>
              <w:spacing w:after="0"/>
              <w:rPr>
                <w:sz w:val="20"/>
                <w:szCs w:val="20"/>
                <w:color w:val="auto"/>
              </w:rPr>
            </w:pPr>
            <w:r>
              <w:rPr>
                <w:rFonts w:ascii="Arial" w:cs="Arial" w:eastAsia="Arial" w:hAnsi="Arial"/>
                <w:sz w:val="14"/>
                <w:szCs w:val="14"/>
                <w:color w:val="auto"/>
              </w:rPr>
              <w:t>(2,722)</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(48,335)</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600,860</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1,728,689</w:t>
            </w:r>
          </w:p>
        </w:tc>
        <w:tc>
          <w:tcPr>
            <w:tcW w:w="800" w:type="dxa"/>
            <w:vAlign w:val="bottom"/>
            <w:gridSpan w:val="3"/>
          </w:tcPr>
          <w:p>
            <w:pPr>
              <w:jc w:val="right"/>
              <w:ind w:right="11"/>
              <w:spacing w:after="0"/>
              <w:rPr>
                <w:sz w:val="20"/>
                <w:szCs w:val="20"/>
                <w:color w:val="auto"/>
              </w:rPr>
            </w:pPr>
            <w:r>
              <w:rPr>
                <w:rFonts w:ascii="Arial" w:cs="Arial" w:eastAsia="Arial" w:hAnsi="Arial"/>
                <w:sz w:val="14"/>
                <w:szCs w:val="14"/>
                <w:color w:val="auto"/>
                <w:w w:val="99"/>
              </w:rPr>
              <w:t>$8,014,236</w:t>
            </w: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29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Cumulative effect of a change in accounting</w:t>
            </w:r>
          </w:p>
        </w:tc>
        <w:tc>
          <w:tcPr>
            <w:tcW w:w="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principle</w:t>
            </w:r>
          </w:p>
        </w:tc>
        <w:tc>
          <w:tcPr>
            <w:tcW w:w="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60" w:type="dxa"/>
            <w:vAlign w:val="bottom"/>
            <w:gridSpan w:val="2"/>
          </w:tcPr>
          <w:p>
            <w:pPr>
              <w:spacing w:after="0" w:line="151" w:lineRule="exact"/>
              <w:rPr>
                <w:sz w:val="20"/>
                <w:szCs w:val="20"/>
                <w:color w:val="auto"/>
              </w:rPr>
            </w:pPr>
            <w:r>
              <w:rPr>
                <w:rFonts w:ascii="Arial" w:cs="Arial" w:eastAsia="Arial" w:hAnsi="Arial"/>
                <w:sz w:val="14"/>
                <w:szCs w:val="14"/>
                <w:color w:val="auto"/>
              </w:rPr>
              <w:t>Redemption of operating partnership units to</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765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26,336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(26,344)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769,482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87,525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18,719</w:t>
            </w:r>
          </w:p>
        </w:tc>
        <w:tc>
          <w:tcPr>
            <w:tcW w:w="80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875,726</w:t>
            </w:r>
          </w:p>
        </w:tc>
        <w:tc>
          <w:tcPr>
            <w:tcW w:w="0" w:type="dxa"/>
            <w:vAlign w:val="bottom"/>
          </w:tcPr>
          <w:p>
            <w:pPr>
              <w:spacing w:after="0"/>
              <w:rPr>
                <w:sz w:val="1"/>
                <w:szCs w:val="1"/>
                <w:color w:val="auto"/>
              </w:rPr>
            </w:pPr>
          </w:p>
        </w:tc>
      </w:tr>
      <w:tr>
        <w:trPr>
          <w:trHeight w:val="186"/>
        </w:trPr>
        <w:tc>
          <w:tcPr>
            <w:tcW w:w="2960" w:type="dxa"/>
            <w:vAlign w:val="bottom"/>
            <w:gridSpan w:val="2"/>
          </w:tcPr>
          <w:p>
            <w:pPr>
              <w:spacing w:after="0"/>
              <w:rPr>
                <w:sz w:val="20"/>
                <w:szCs w:val="20"/>
                <w:color w:val="auto"/>
              </w:rPr>
            </w:pPr>
            <w:r>
              <w:rPr>
                <w:rFonts w:ascii="Arial" w:cs="Arial" w:eastAsia="Arial" w:hAnsi="Arial"/>
                <w:sz w:val="14"/>
                <w:szCs w:val="14"/>
                <w:color w:val="auto"/>
              </w:rPr>
              <w:t>Dividends/distributions declared</w:t>
            </w:r>
          </w:p>
        </w:tc>
        <w:tc>
          <w:tcPr>
            <w:tcW w:w="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(309,965)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(34,638)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(344,603)</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w w:val="98"/>
              </w:rPr>
              <w:t>Shares issued pursuant to stock purchase plan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51"/>
        </w:trPr>
        <w:tc>
          <w:tcPr>
            <w:tcW w:w="2960" w:type="dxa"/>
            <w:vAlign w:val="bottom"/>
            <w:gridSpan w:val="2"/>
          </w:tcPr>
          <w:p>
            <w:pPr>
              <w:spacing w:after="0" w:line="151"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8,256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25,029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vMerge w:val="restart"/>
          </w:tcPr>
          <w:p>
            <w:pPr>
              <w:jc w:val="right"/>
              <w:ind w:right="11"/>
              <w:spacing w:after="0"/>
              <w:rPr>
                <w:sz w:val="20"/>
                <w:szCs w:val="20"/>
                <w:color w:val="auto"/>
              </w:rPr>
            </w:pPr>
            <w:r>
              <w:rPr>
                <w:rFonts w:ascii="Arial" w:cs="Arial" w:eastAsia="Arial" w:hAnsi="Arial"/>
                <w:sz w:val="14"/>
                <w:szCs w:val="14"/>
                <w:color w:val="auto"/>
              </w:rPr>
              <w:t>33,285</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plan</w:t>
            </w: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29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Contributions from noncontrolling interests in</w:t>
            </w:r>
          </w:p>
        </w:tc>
        <w:tc>
          <w:tcPr>
            <w:tcW w:w="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5,957</w:t>
            </w:r>
          </w:p>
        </w:tc>
        <w:tc>
          <w:tcPr>
            <w:tcW w:w="800" w:type="dxa"/>
            <w:vAlign w:val="bottom"/>
            <w:gridSpan w:val="3"/>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5,957</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partnerships</w:t>
            </w:r>
          </w:p>
        </w:tc>
        <w:tc>
          <w:tcPr>
            <w:tcW w:w="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2900" w:type="dxa"/>
            <w:vAlign w:val="bottom"/>
          </w:tcPr>
          <w:p>
            <w:pPr>
              <w:ind w:left="20"/>
              <w:spacing w:after="0" w:line="151" w:lineRule="exact"/>
              <w:rPr>
                <w:sz w:val="20"/>
                <w:szCs w:val="20"/>
                <w:color w:val="auto"/>
              </w:rPr>
            </w:pPr>
            <w:r>
              <w:rPr>
                <w:rFonts w:ascii="Arial" w:cs="Arial" w:eastAsia="Arial" w:hAnsi="Arial"/>
                <w:sz w:val="14"/>
                <w:szCs w:val="14"/>
                <w:color w:val="auto"/>
              </w:rPr>
              <w:t>Distributions to noncontrolling interests in</w:t>
            </w:r>
          </w:p>
        </w:tc>
        <w:tc>
          <w:tcPr>
            <w:tcW w:w="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(29,065)</w:t>
            </w: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(29,065)</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90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(10,379)</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288</w:t>
            </w:r>
          </w:p>
        </w:tc>
        <w:tc>
          <w:tcPr>
            <w:tcW w:w="800" w:type="dxa"/>
            <w:vAlign w:val="bottom"/>
            <w:gridSpan w:val="3"/>
          </w:tcPr>
          <w:p>
            <w:pPr>
              <w:jc w:val="right"/>
              <w:ind w:right="11"/>
              <w:spacing w:after="0"/>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Reallocation of noncontrolling interest</w:t>
            </w:r>
          </w:p>
        </w:tc>
        <w:tc>
          <w:tcPr>
            <w:tcW w:w="4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11,029</w:t>
            </w: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(11,029)</w:t>
            </w: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960" w:type="dxa"/>
            <w:vAlign w:val="bottom"/>
            <w:gridSpan w:val="2"/>
          </w:tcPr>
          <w:p>
            <w:pPr>
              <w:spacing w:after="0"/>
              <w:rPr>
                <w:sz w:val="20"/>
                <w:szCs w:val="20"/>
                <w:color w:val="auto"/>
              </w:rPr>
            </w:pPr>
            <w:r>
              <w:rPr>
                <w:rFonts w:ascii="Arial" w:cs="Arial" w:eastAsia="Arial" w:hAnsi="Arial"/>
                <w:sz w:val="14"/>
                <w:szCs w:val="14"/>
                <w:color w:val="auto"/>
              </w:rPr>
              <w:t>Equity, June 30, 2020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155,622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1,556</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9"/>
              </w:rPr>
              <w:t>$ 200,000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$6,340,665</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(302,511)</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160"/>
              <w:spacing w:after="0"/>
              <w:rPr>
                <w:sz w:val="20"/>
                <w:szCs w:val="20"/>
                <w:color w:val="auto"/>
              </w:rPr>
            </w:pPr>
            <w:r>
              <w:rPr>
                <w:rFonts w:ascii="Arial" w:cs="Arial" w:eastAsia="Arial" w:hAnsi="Arial"/>
                <w:sz w:val="14"/>
                <w:szCs w:val="14"/>
                <w:color w:val="auto"/>
              </w:rPr>
              <w:t>(2,722)</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(54,921)</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640,491</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1,724,588</w:t>
            </w:r>
          </w:p>
        </w:tc>
        <w:tc>
          <w:tcPr>
            <w:tcW w:w="800" w:type="dxa"/>
            <w:vAlign w:val="bottom"/>
            <w:gridSpan w:val="3"/>
          </w:tcPr>
          <w:p>
            <w:pPr>
              <w:jc w:val="right"/>
              <w:ind w:right="11"/>
              <w:spacing w:after="0"/>
              <w:rPr>
                <w:sz w:val="20"/>
                <w:szCs w:val="20"/>
                <w:color w:val="auto"/>
              </w:rPr>
            </w:pPr>
            <w:r>
              <w:rPr>
                <w:rFonts w:ascii="Arial" w:cs="Arial" w:eastAsia="Arial" w:hAnsi="Arial"/>
                <w:sz w:val="14"/>
                <w:szCs w:val="14"/>
                <w:color w:val="auto"/>
                <w:w w:val="99"/>
              </w:rPr>
              <w:t>$8,547,146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59055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260" w:top="298" w:right="4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79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2020</w:t>
            </w:r>
          </w:p>
        </w:tc>
      </w:tr>
      <w:tr>
        <w:trPr>
          <w:trHeight w:val="19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269,397</w:t>
            </w:r>
          </w:p>
        </w:tc>
        <w:tc>
          <w:tcPr>
            <w:tcW w:w="140" w:type="dxa"/>
            <w:vAlign w:val="bottom"/>
          </w:tcPr>
          <w:p>
            <w:pPr>
              <w:spacing w:after="0"/>
              <w:rPr>
                <w:sz w:val="18"/>
                <w:szCs w:val="18"/>
                <w:color w:val="auto"/>
              </w:rPr>
            </w:pP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875,726</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360,403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349,282</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right of use assets - operating leases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Non-cash compensation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34,370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27,899</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Income from unconsolidated joint ventures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14,387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13,382</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(Gains) losses from investments in securities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Allowance for current expected credit losses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portion of interest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11,483</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Settlement of accreted debt discount on redemption of unsecured senior notes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(6,290)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Losses from early extinguishments of debt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Gains on sales of real estate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(7,756)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(613,932)</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assets and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Tenant and other receivables,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18,516</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Notes receivable,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Accrued rental income,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(39,434)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(43,399)</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(12,057)</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Lease liabilities - operating leases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(20,493)</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Accrued interest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5,262</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(21,912)</w:t>
            </w:r>
          </w:p>
        </w:tc>
      </w:tr>
      <w:tr>
        <w:trPr>
          <w:trHeight w:val="210"/>
        </w:trPr>
        <w:tc>
          <w:tcPr>
            <w:tcW w:w="79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Tenant leasing costs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(37,068)</w:t>
            </w:r>
          </w:p>
        </w:tc>
      </w:tr>
      <w:tr>
        <w:trPr>
          <w:trHeight w:val="209"/>
        </w:trPr>
        <w:tc>
          <w:tcPr>
            <w:tcW w:w="79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Total adjustments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291,079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(321,454)</w:t>
            </w:r>
          </w:p>
        </w:tc>
      </w:tr>
      <w:tr>
        <w:trPr>
          <w:trHeight w:val="203"/>
        </w:trPr>
        <w:tc>
          <w:tcPr>
            <w:tcW w:w="798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560,476</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554,272</w:t>
            </w:r>
          </w:p>
        </w:tc>
      </w:tr>
      <w:tr>
        <w:trPr>
          <w:trHeight w:val="19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Acquisitions of real estate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(100,176)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(133,406)</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Construction in progress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(235,577)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(247,615)</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Building and other capital improvements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(66,033)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(68,386)</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Tenant improvements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(118,903)</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Proceeds from sales of real estate</w:t>
            </w:r>
          </w:p>
        </w:tc>
        <w:tc>
          <w:tcPr>
            <w:tcW w:w="3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506,337</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Capital contributions to unconsolidated joint ventures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(106,168)</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Capital distributions from unconsolidated joint ventures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54,413</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Issuance of notes receivable, net</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Proceeds from sale of investment in unconsolidated joint venture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Investments in securities, net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3,006</w:t>
            </w:r>
          </w:p>
        </w:tc>
      </w:tr>
      <w:tr>
        <w:trPr>
          <w:trHeight w:val="203"/>
        </w:trPr>
        <w:tc>
          <w:tcPr>
            <w:tcW w:w="798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(563,611)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(120,522)</w:t>
            </w:r>
          </w:p>
        </w:tc>
      </w:tr>
      <w:tr>
        <w:trPr>
          <w:trHeight w:val="19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Repayments of mortgage notes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(8,477)</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unsecured senior notes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846,345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1,248,125</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Redemption of unsecured senior notes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(843,710)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on unsecured line of credit</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265,000</w:t>
            </w:r>
          </w:p>
        </w:tc>
      </w:tr>
      <w:tr>
        <w:trPr>
          <w:trHeight w:val="208"/>
        </w:trPr>
        <w:tc>
          <w:tcPr>
            <w:tcW w:w="7980" w:type="dxa"/>
            <w:vAlign w:val="bottom"/>
          </w:tcPr>
          <w:p>
            <w:pPr>
              <w:ind w:left="340"/>
              <w:spacing w:after="0"/>
              <w:rPr>
                <w:sz w:val="20"/>
                <w:szCs w:val="20"/>
                <w:color w:val="auto"/>
              </w:rPr>
            </w:pPr>
            <w:r>
              <w:rPr>
                <w:rFonts w:ascii="Arial" w:cs="Arial" w:eastAsia="Arial" w:hAnsi="Arial"/>
                <w:sz w:val="16"/>
                <w:szCs w:val="16"/>
                <w:color w:val="auto"/>
              </w:rPr>
              <w:t>Repayments of unsecured line of credit</w:t>
            </w:r>
          </w:p>
        </w:tc>
        <w:tc>
          <w:tcPr>
            <w:tcW w:w="3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(265,000)</w:t>
            </w:r>
          </w:p>
        </w:tc>
      </w:tr>
    </w:tbl>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79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2020</w:t>
            </w:r>
          </w:p>
        </w:tc>
      </w:tr>
      <w:tr>
        <w:trPr>
          <w:trHeight w:val="206"/>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 of unsecured term loan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Redemption of preferred stock</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finance lease obligations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Deferred financing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(13,642)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(9,465)</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Debt prepayment and extinguishment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Net proceeds from equity transactions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19,580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3,183</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and distributions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(343,117)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(344,239)</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Contributions from noncontrolling interests in property partnerships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5,957</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(37,929)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(29,065)</w:t>
            </w:r>
          </w:p>
        </w:tc>
      </w:tr>
      <w:tr>
        <w:trPr>
          <w:trHeight w:val="203"/>
        </w:trPr>
        <w:tc>
          <w:tcPr>
            <w:tcW w:w="798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(1,078,914)</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866,019</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and cash held in escrows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(1,082,049)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1,299,769</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1,719,329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691,886</w:t>
            </w:r>
          </w:p>
        </w:tc>
      </w:tr>
      <w:tr>
        <w:trPr>
          <w:trHeight w:val="231"/>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637,280</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1,991,655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2"/>
        </w:trPr>
        <w:tc>
          <w:tcPr>
            <w:tcW w:w="7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1,668,742</w:t>
            </w:r>
          </w:p>
        </w:tc>
        <w:tc>
          <w:tcPr>
            <w:tcW w:w="140" w:type="dxa"/>
            <w:vAlign w:val="bottom"/>
          </w:tcPr>
          <w:p>
            <w:pPr>
              <w:spacing w:after="0"/>
              <w:rPr>
                <w:sz w:val="18"/>
                <w:szCs w:val="18"/>
                <w:color w:val="auto"/>
              </w:rPr>
            </w:pP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644,950</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held in escrows,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50,587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46,936</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1,719,329</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691,886</w:t>
            </w:r>
          </w:p>
        </w:tc>
      </w:tr>
      <w:tr>
        <w:trPr>
          <w:trHeight w:val="235"/>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557,307</w:t>
            </w:r>
          </w:p>
        </w:tc>
        <w:tc>
          <w:tcPr>
            <w:tcW w:w="140" w:type="dxa"/>
            <w:vAlign w:val="bottom"/>
          </w:tcPr>
          <w:p>
            <w:pPr>
              <w:spacing w:after="0"/>
              <w:rPr>
                <w:sz w:val="18"/>
                <w:szCs w:val="18"/>
                <w:color w:val="auto"/>
              </w:rPr>
            </w:pP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1,691,047</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held in escrows, end of period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79,973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300,608</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and cash equivalents and cash held in escrows, end of period</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637,280</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1,991,655</w:t>
            </w:r>
          </w:p>
        </w:tc>
      </w:tr>
      <w:tr>
        <w:trPr>
          <w:trHeight w:val="235"/>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Supplemental disclosures: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226,367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213,754</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capitalized</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25,046</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27,866</w:t>
            </w:r>
          </w:p>
        </w:tc>
      </w:tr>
      <w:tr>
        <w:trPr>
          <w:trHeight w:val="235"/>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Write-off of fully depreciated real estate</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(98,672)</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(50,141)</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(22,822)</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(25,461)</w:t>
            </w:r>
          </w:p>
        </w:tc>
      </w:tr>
      <w:tr>
        <w:trPr>
          <w:trHeight w:val="209"/>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Right-of-use assets obtained in exchange for lease liabilities</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26,887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Accrued rental income, net deconsolidated</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(4,558)</w:t>
            </w:r>
          </w:p>
        </w:tc>
      </w:tr>
      <w:tr>
        <w:trPr>
          <w:trHeight w:val="209"/>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leasing costs, net deconsolidated</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Building and other capital improvements, net deconsolidated</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(111,889)</w:t>
            </w:r>
          </w:p>
        </w:tc>
      </w:tr>
      <w:tr>
        <w:trPr>
          <w:trHeight w:val="209"/>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improvements, net deconsolidated</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(12,331)</w:t>
            </w:r>
          </w:p>
        </w:tc>
      </w:tr>
      <w:tr>
        <w:trPr>
          <w:trHeight w:val="203"/>
        </w:trPr>
        <w:tc>
          <w:tcPr>
            <w:tcW w:w="7980" w:type="dxa"/>
            <w:vAlign w:val="bottom"/>
          </w:tcPr>
          <w:p>
            <w:pPr>
              <w:ind w:left="340"/>
              <w:spacing w:after="0"/>
              <w:rPr>
                <w:sz w:val="20"/>
                <w:szCs w:val="20"/>
                <w:color w:val="auto"/>
              </w:rPr>
            </w:pPr>
            <w:r>
              <w:rPr>
                <w:rFonts w:ascii="Arial" w:cs="Arial" w:eastAsia="Arial" w:hAnsi="Arial"/>
                <w:sz w:val="16"/>
                <w:szCs w:val="16"/>
                <w:color w:val="auto"/>
              </w:rPr>
              <w:t>Investment in unconsolidated joint venture recorded upon deconsolidation</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347,898</w:t>
            </w:r>
          </w:p>
        </w:tc>
      </w:tr>
      <w:tr>
        <w:trPr>
          <w:trHeight w:val="209"/>
        </w:trPr>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Dividends and distributions declared but not paid</w:t>
            </w:r>
          </w:p>
        </w:tc>
        <w:tc>
          <w:tcPr>
            <w:tcW w:w="3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169,718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171,077</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Conversions of noncontrolling interests to stockholders’ equity</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6,285</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26,344</w:t>
            </w:r>
          </w:p>
        </w:tc>
      </w:tr>
      <w:tr>
        <w:trPr>
          <w:trHeight w:val="206"/>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42,515</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43,462</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tbl>
      <w:tblPr>
        <w:tblLayout w:type="fixed"/>
        <w:tblInd w:w="0" w:type="dxa"/>
        <w:tblCellMar>
          <w:top w:w="0" w:type="dxa"/>
          <w:left w:w="0" w:type="dxa"/>
          <w:bottom w:w="0" w:type="dxa"/>
          <w:right w:w="0" w:type="dxa"/>
        </w:tblCellMar>
      </w:tblPr>
      <w:tr>
        <w:trPr>
          <w:trHeight w:val="180"/>
        </w:trPr>
        <w:tc>
          <w:tcPr>
            <w:tcW w:w="2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ind w:left="180"/>
              <w:spacing w:after="0" w:line="180" w:lineRule="exact"/>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5"/>
                <w:szCs w:val="15"/>
                <w:color w:val="auto"/>
              </w:rPr>
            </w:pPr>
          </w:p>
        </w:tc>
        <w:tc>
          <w:tcPr>
            <w:tcW w:w="1420" w:type="dxa"/>
            <w:vAlign w:val="bottom"/>
          </w:tcPr>
          <w:p>
            <w:pPr>
              <w:jc w:val="right"/>
              <w:ind w:right="200"/>
              <w:spacing w:after="0" w:line="180"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320" w:type="dxa"/>
            <w:vAlign w:val="bottom"/>
            <w:gridSpan w:val="3"/>
            <w:shd w:val="clear" w:color="auto" w:fill="CCEEFF"/>
          </w:tcPr>
          <w:p>
            <w:pPr>
              <w:jc w:val="center"/>
              <w:ind w:right="3660"/>
              <w:spacing w:after="0" w:line="153" w:lineRule="exact"/>
              <w:rPr>
                <w:sz w:val="20"/>
                <w:szCs w:val="20"/>
                <w:color w:val="auto"/>
              </w:rPr>
            </w:pPr>
            <w:r>
              <w:rPr>
                <w:rFonts w:ascii="Arial" w:cs="Arial" w:eastAsia="Arial" w:hAnsi="Arial"/>
                <w:sz w:val="16"/>
                <w:szCs w:val="16"/>
                <w:b w:val="1"/>
                <w:bCs w:val="1"/>
                <w:color w:val="auto"/>
                <w:w w:val="96"/>
              </w:rPr>
              <w:t>ASSETS</w:t>
            </w: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8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7820" w:type="dxa"/>
            <w:vAlign w:val="bottom"/>
            <w:gridSpan w:val="5"/>
          </w:tcPr>
          <w:p>
            <w:pPr>
              <w:ind w:left="20"/>
              <w:spacing w:after="0" w:line="175" w:lineRule="exact"/>
              <w:rPr>
                <w:sz w:val="20"/>
                <w:szCs w:val="20"/>
                <w:color w:val="auto"/>
              </w:rPr>
            </w:pPr>
            <w:r>
              <w:rPr>
                <w:rFonts w:ascii="Arial" w:cs="Arial" w:eastAsia="Arial" w:hAnsi="Arial"/>
                <w:sz w:val="16"/>
                <w:szCs w:val="16"/>
                <w:color w:val="auto"/>
              </w:rPr>
              <w:t>Real estate, at cost (amounts related to variable interest entities (“VIEs”) of $6,664,480 and $6,592,019 at</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gridSpan w:val="5"/>
          </w:tcPr>
          <w:p>
            <w:pPr>
              <w:ind w:left="340"/>
              <w:spacing w:after="0"/>
              <w:rPr>
                <w:sz w:val="20"/>
                <w:szCs w:val="20"/>
                <w:color w:val="auto"/>
              </w:rPr>
            </w:pPr>
            <w:r>
              <w:rPr>
                <w:rFonts w:ascii="Arial" w:cs="Arial" w:eastAsia="Arial" w:hAnsi="Arial"/>
                <w:sz w:val="16"/>
                <w:szCs w:val="16"/>
                <w:color w:val="auto"/>
              </w:rPr>
              <w:t>June 30, 2021 and December 31, 2020, respectively)</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23,041,680</w:t>
            </w:r>
          </w:p>
        </w:tc>
        <w:tc>
          <w:tcPr>
            <w:tcW w:w="2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22,592,301</w:t>
            </w:r>
          </w:p>
        </w:tc>
        <w:tc>
          <w:tcPr>
            <w:tcW w:w="0" w:type="dxa"/>
            <w:vAlign w:val="bottom"/>
          </w:tcPr>
          <w:p>
            <w:pPr>
              <w:spacing w:after="0"/>
              <w:rPr>
                <w:sz w:val="1"/>
                <w:szCs w:val="1"/>
                <w:color w:val="auto"/>
              </w:rPr>
            </w:pPr>
          </w:p>
        </w:tc>
      </w:tr>
      <w:tr>
        <w:trPr>
          <w:trHeight w:val="177"/>
        </w:trPr>
        <w:tc>
          <w:tcPr>
            <w:tcW w:w="7820" w:type="dxa"/>
            <w:vAlign w:val="bottom"/>
            <w:gridSpan w:val="5"/>
            <w:shd w:val="clear" w:color="auto" w:fill="CCEEFF"/>
          </w:tcPr>
          <w:p>
            <w:pPr>
              <w:ind w:left="20"/>
              <w:spacing w:after="0" w:line="178" w:lineRule="exact"/>
              <w:rPr>
                <w:sz w:val="20"/>
                <w:szCs w:val="20"/>
                <w:color w:val="auto"/>
              </w:rPr>
            </w:pPr>
            <w:r>
              <w:rPr>
                <w:rFonts w:ascii="Arial" w:cs="Arial" w:eastAsia="Arial" w:hAnsi="Arial"/>
                <w:sz w:val="16"/>
                <w:szCs w:val="16"/>
                <w:color w:val="auto"/>
              </w:rPr>
              <w:t>Right of use assets - finance leases (amounts related to VIEs of $21,000 and $21,000 at June 30, 2021 and</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237,765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237,393</w:t>
            </w:r>
          </w:p>
        </w:tc>
        <w:tc>
          <w:tcPr>
            <w:tcW w:w="0" w:type="dxa"/>
            <w:vAlign w:val="bottom"/>
          </w:tcPr>
          <w:p>
            <w:pPr>
              <w:spacing w:after="0"/>
              <w:rPr>
                <w:sz w:val="1"/>
                <w:szCs w:val="1"/>
                <w:color w:val="auto"/>
              </w:rPr>
            </w:pPr>
          </w:p>
        </w:tc>
      </w:tr>
      <w:tr>
        <w:trPr>
          <w:trHeight w:val="210"/>
        </w:trPr>
        <w:tc>
          <w:tcPr>
            <w:tcW w:w="7820" w:type="dxa"/>
            <w:vAlign w:val="bottom"/>
            <w:gridSpan w:val="5"/>
          </w:tcPr>
          <w:p>
            <w:pPr>
              <w:ind w:left="20"/>
              <w:spacing w:after="0"/>
              <w:rPr>
                <w:sz w:val="20"/>
                <w:szCs w:val="20"/>
                <w:color w:val="auto"/>
              </w:rPr>
            </w:pPr>
            <w:r>
              <w:rPr>
                <w:rFonts w:ascii="Arial" w:cs="Arial" w:eastAsia="Arial" w:hAnsi="Arial"/>
                <w:sz w:val="16"/>
                <w:szCs w:val="16"/>
                <w:color w:val="auto"/>
              </w:rPr>
              <w:t>Right of use assets - operating leases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170,331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146,406</w:t>
            </w:r>
          </w:p>
        </w:tc>
        <w:tc>
          <w:tcPr>
            <w:tcW w:w="0" w:type="dxa"/>
            <w:vAlign w:val="bottom"/>
          </w:tcPr>
          <w:p>
            <w:pPr>
              <w:spacing w:after="0"/>
              <w:rPr>
                <w:sz w:val="1"/>
                <w:szCs w:val="1"/>
                <w:color w:val="auto"/>
              </w:rPr>
            </w:pPr>
          </w:p>
        </w:tc>
      </w:tr>
      <w:tr>
        <w:trPr>
          <w:trHeight w:val="177"/>
        </w:trPr>
        <w:tc>
          <w:tcPr>
            <w:tcW w:w="7820" w:type="dxa"/>
            <w:vAlign w:val="bottom"/>
            <w:gridSpan w:val="5"/>
            <w:shd w:val="clear" w:color="auto" w:fill="CCEEFF"/>
          </w:tcPr>
          <w:p>
            <w:pPr>
              <w:ind w:left="340"/>
              <w:spacing w:after="0" w:line="178" w:lineRule="exact"/>
              <w:rPr>
                <w:sz w:val="20"/>
                <w:szCs w:val="20"/>
                <w:color w:val="auto"/>
              </w:rPr>
            </w:pPr>
            <w:r>
              <w:rPr>
                <w:rFonts w:ascii="Arial" w:cs="Arial" w:eastAsia="Arial" w:hAnsi="Arial"/>
                <w:sz w:val="16"/>
                <w:szCs w:val="16"/>
                <w:color w:val="auto"/>
              </w:rPr>
              <w:t>Less: accumulated depreciation (amounts related to VIEs of $(1,235,346) and $(1,158,548) at</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gridSpan w:val="5"/>
            <w:shd w:val="clear" w:color="auto" w:fill="CCEEFF"/>
          </w:tcPr>
          <w:p>
            <w:pPr>
              <w:ind w:left="660"/>
              <w:spacing w:after="0"/>
              <w:rPr>
                <w:sz w:val="20"/>
                <w:szCs w:val="20"/>
                <w:color w:val="auto"/>
              </w:rPr>
            </w:pPr>
            <w:r>
              <w:rPr>
                <w:rFonts w:ascii="Arial" w:cs="Arial" w:eastAsia="Arial" w:hAnsi="Arial"/>
                <w:sz w:val="16"/>
                <w:szCs w:val="16"/>
                <w:color w:val="auto"/>
              </w:rPr>
              <w:t>June 30, 2021 and December 31, 2020, respectively)</w:t>
            </w: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(5,643,781)</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(5,428,576)</w:t>
            </w:r>
          </w:p>
        </w:tc>
        <w:tc>
          <w:tcPr>
            <w:tcW w:w="0" w:type="dxa"/>
            <w:vAlign w:val="bottom"/>
          </w:tcPr>
          <w:p>
            <w:pPr>
              <w:spacing w:after="0"/>
              <w:rPr>
                <w:sz w:val="1"/>
                <w:szCs w:val="1"/>
                <w:color w:val="auto"/>
              </w:rPr>
            </w:pPr>
          </w:p>
        </w:tc>
      </w:tr>
      <w:tr>
        <w:trPr>
          <w:trHeight w:val="203"/>
        </w:trPr>
        <w:tc>
          <w:tcPr>
            <w:tcW w:w="7820" w:type="dxa"/>
            <w:vAlign w:val="bottom"/>
            <w:gridSpan w:val="5"/>
          </w:tcPr>
          <w:p>
            <w:pPr>
              <w:ind w:left="660"/>
              <w:spacing w:after="0"/>
              <w:rPr>
                <w:sz w:val="20"/>
                <w:szCs w:val="20"/>
                <w:color w:val="auto"/>
              </w:rPr>
            </w:pPr>
            <w:r>
              <w:rPr>
                <w:rFonts w:ascii="Arial" w:cs="Arial" w:eastAsia="Arial" w:hAnsi="Arial"/>
                <w:sz w:val="16"/>
                <w:szCs w:val="16"/>
                <w:color w:val="auto"/>
              </w:rPr>
              <w:t>Total real estate</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17,805,995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17,547,524</w:t>
            </w:r>
          </w:p>
        </w:tc>
        <w:tc>
          <w:tcPr>
            <w:tcW w:w="0" w:type="dxa"/>
            <w:vAlign w:val="bottom"/>
          </w:tcPr>
          <w:p>
            <w:pPr>
              <w:spacing w:after="0"/>
              <w:rPr>
                <w:sz w:val="1"/>
                <w:szCs w:val="1"/>
                <w:color w:val="auto"/>
              </w:rPr>
            </w:pPr>
          </w:p>
        </w:tc>
      </w:tr>
      <w:tr>
        <w:trPr>
          <w:trHeight w:val="177"/>
        </w:trPr>
        <w:tc>
          <w:tcPr>
            <w:tcW w:w="7820" w:type="dxa"/>
            <w:vAlign w:val="bottom"/>
            <w:gridSpan w:val="5"/>
            <w:shd w:val="clear" w:color="auto" w:fill="CCEEFF"/>
          </w:tcPr>
          <w:p>
            <w:pPr>
              <w:ind w:left="20"/>
              <w:spacing w:after="0" w:line="178" w:lineRule="exact"/>
              <w:rPr>
                <w:sz w:val="20"/>
                <w:szCs w:val="20"/>
                <w:color w:val="auto"/>
              </w:rPr>
            </w:pPr>
            <w:r>
              <w:rPr>
                <w:rFonts w:ascii="Arial" w:cs="Arial" w:eastAsia="Arial" w:hAnsi="Arial"/>
                <w:sz w:val="16"/>
                <w:szCs w:val="16"/>
                <w:color w:val="auto"/>
              </w:rPr>
              <w:t>Cash and cash equivalents (amounts related to VIEs of $335,837 and $340,642 at June 30, 2021 and</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557,307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1,668,742</w:t>
            </w:r>
          </w:p>
        </w:tc>
        <w:tc>
          <w:tcPr>
            <w:tcW w:w="0" w:type="dxa"/>
            <w:vAlign w:val="bottom"/>
          </w:tcPr>
          <w:p>
            <w:pPr>
              <w:spacing w:after="0"/>
              <w:rPr>
                <w:sz w:val="1"/>
                <w:szCs w:val="1"/>
                <w:color w:val="auto"/>
              </w:rPr>
            </w:pPr>
          </w:p>
        </w:tc>
      </w:tr>
      <w:tr>
        <w:trPr>
          <w:trHeight w:val="210"/>
        </w:trPr>
        <w:tc>
          <w:tcPr>
            <w:tcW w:w="7820" w:type="dxa"/>
            <w:vAlign w:val="bottom"/>
            <w:gridSpan w:val="5"/>
          </w:tcPr>
          <w:p>
            <w:pPr>
              <w:ind w:left="20"/>
              <w:spacing w:after="0"/>
              <w:rPr>
                <w:sz w:val="20"/>
                <w:szCs w:val="20"/>
                <w:color w:val="auto"/>
              </w:rPr>
            </w:pPr>
            <w:r>
              <w:rPr>
                <w:rFonts w:ascii="Arial" w:cs="Arial" w:eastAsia="Arial" w:hAnsi="Arial"/>
                <w:sz w:val="16"/>
                <w:szCs w:val="16"/>
                <w:color w:val="auto"/>
              </w:rPr>
              <w:t>Cash held in escrows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79,973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50,587</w:t>
            </w:r>
          </w:p>
        </w:tc>
        <w:tc>
          <w:tcPr>
            <w:tcW w:w="0" w:type="dxa"/>
            <w:vAlign w:val="bottom"/>
          </w:tcPr>
          <w:p>
            <w:pPr>
              <w:spacing w:after="0"/>
              <w:rPr>
                <w:sz w:val="1"/>
                <w:szCs w:val="1"/>
                <w:color w:val="auto"/>
              </w:rPr>
            </w:pPr>
          </w:p>
        </w:tc>
      </w:tr>
      <w:tr>
        <w:trPr>
          <w:trHeight w:val="215"/>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39,457</w:t>
            </w:r>
          </w:p>
        </w:tc>
        <w:tc>
          <w:tcPr>
            <w:tcW w:w="0" w:type="dxa"/>
            <w:vAlign w:val="bottom"/>
          </w:tcPr>
          <w:p>
            <w:pPr>
              <w:spacing w:after="0"/>
              <w:rPr>
                <w:sz w:val="1"/>
                <w:szCs w:val="1"/>
                <w:color w:val="auto"/>
              </w:rPr>
            </w:pPr>
          </w:p>
        </w:tc>
      </w:tr>
      <w:tr>
        <w:trPr>
          <w:trHeight w:val="175"/>
        </w:trPr>
        <w:tc>
          <w:tcPr>
            <w:tcW w:w="7820" w:type="dxa"/>
            <w:vAlign w:val="bottom"/>
            <w:gridSpan w:val="5"/>
          </w:tcPr>
          <w:p>
            <w:pPr>
              <w:ind w:left="20"/>
              <w:spacing w:after="0" w:line="175" w:lineRule="exact"/>
              <w:rPr>
                <w:sz w:val="20"/>
                <w:szCs w:val="20"/>
                <w:color w:val="auto"/>
              </w:rPr>
            </w:pPr>
            <w:r>
              <w:rPr>
                <w:rFonts w:ascii="Arial" w:cs="Arial" w:eastAsia="Arial" w:hAnsi="Arial"/>
                <w:sz w:val="16"/>
                <w:szCs w:val="16"/>
                <w:color w:val="auto"/>
              </w:rPr>
              <w:t>Tenant and other receivables, net (amounts related to VIEs of $5,298 and $10,911 at June 30, 2021 and</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gridSpan w:val="5"/>
          </w:tcPr>
          <w:p>
            <w:pPr>
              <w:ind w:left="340"/>
              <w:spacing w:after="0"/>
              <w:rPr>
                <w:sz w:val="20"/>
                <w:szCs w:val="20"/>
                <w:color w:val="auto"/>
              </w:rPr>
            </w:pPr>
            <w:r>
              <w:rPr>
                <w:rFonts w:ascii="Arial" w:cs="Arial" w:eastAsia="Arial" w:hAnsi="Arial"/>
                <w:sz w:val="16"/>
                <w:szCs w:val="16"/>
                <w:color w:val="auto"/>
              </w:rPr>
              <w:t>December 31, 2020, respectively)</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58,624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77,411</w:t>
            </w:r>
          </w:p>
        </w:tc>
        <w:tc>
          <w:tcPr>
            <w:tcW w:w="0" w:type="dxa"/>
            <w:vAlign w:val="bottom"/>
          </w:tcPr>
          <w:p>
            <w:pPr>
              <w:spacing w:after="0"/>
              <w:rPr>
                <w:sz w:val="1"/>
                <w:szCs w:val="1"/>
                <w:color w:val="auto"/>
              </w:rPr>
            </w:pPr>
          </w:p>
        </w:tc>
      </w:tr>
      <w:tr>
        <w:trPr>
          <w:trHeight w:val="215"/>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Related party note receivable, net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77,552</w:t>
            </w:r>
          </w:p>
        </w:tc>
        <w:tc>
          <w:tcPr>
            <w:tcW w:w="0" w:type="dxa"/>
            <w:vAlign w:val="bottom"/>
          </w:tcPr>
          <w:p>
            <w:pPr>
              <w:spacing w:after="0"/>
              <w:rPr>
                <w:sz w:val="1"/>
                <w:szCs w:val="1"/>
                <w:color w:val="auto"/>
              </w:rPr>
            </w:pPr>
          </w:p>
        </w:tc>
      </w:tr>
      <w:tr>
        <w:trPr>
          <w:trHeight w:val="210"/>
        </w:trPr>
        <w:tc>
          <w:tcPr>
            <w:tcW w:w="7820" w:type="dxa"/>
            <w:vAlign w:val="bottom"/>
            <w:gridSpan w:val="5"/>
          </w:tcPr>
          <w:p>
            <w:pPr>
              <w:ind w:left="20"/>
              <w:spacing w:after="0"/>
              <w:rPr>
                <w:sz w:val="20"/>
                <w:szCs w:val="20"/>
                <w:color w:val="auto"/>
              </w:rPr>
            </w:pPr>
            <w:r>
              <w:rPr>
                <w:rFonts w:ascii="Arial" w:cs="Arial" w:eastAsia="Arial" w:hAnsi="Arial"/>
                <w:sz w:val="16"/>
                <w:szCs w:val="16"/>
                <w:color w:val="auto"/>
              </w:rPr>
              <w:t>Notes receivable, net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19,087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18,729</w:t>
            </w:r>
          </w:p>
        </w:tc>
        <w:tc>
          <w:tcPr>
            <w:tcW w:w="0" w:type="dxa"/>
            <w:vAlign w:val="bottom"/>
          </w:tcPr>
          <w:p>
            <w:pPr>
              <w:spacing w:after="0"/>
              <w:rPr>
                <w:sz w:val="1"/>
                <w:szCs w:val="1"/>
                <w:color w:val="auto"/>
              </w:rPr>
            </w:pPr>
          </w:p>
        </w:tc>
      </w:tr>
      <w:tr>
        <w:trPr>
          <w:trHeight w:val="177"/>
        </w:trPr>
        <w:tc>
          <w:tcPr>
            <w:tcW w:w="7820" w:type="dxa"/>
            <w:vAlign w:val="bottom"/>
            <w:gridSpan w:val="5"/>
            <w:shd w:val="clear" w:color="auto" w:fill="CCEEFF"/>
          </w:tcPr>
          <w:p>
            <w:pPr>
              <w:ind w:left="20"/>
              <w:spacing w:after="0" w:line="178" w:lineRule="exact"/>
              <w:rPr>
                <w:sz w:val="20"/>
                <w:szCs w:val="20"/>
                <w:color w:val="auto"/>
              </w:rPr>
            </w:pPr>
            <w:r>
              <w:rPr>
                <w:rFonts w:ascii="Arial" w:cs="Arial" w:eastAsia="Arial" w:hAnsi="Arial"/>
                <w:sz w:val="16"/>
                <w:szCs w:val="16"/>
                <w:color w:val="auto"/>
              </w:rPr>
              <w:t>Accrued rental income, net (amounts related to VIEs of $346,443 and $336,594 at June 30, 2021 and</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1,172,411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1,122,502</w:t>
            </w:r>
          </w:p>
        </w:tc>
        <w:tc>
          <w:tcPr>
            <w:tcW w:w="0" w:type="dxa"/>
            <w:vAlign w:val="bottom"/>
          </w:tcPr>
          <w:p>
            <w:pPr>
              <w:spacing w:after="0"/>
              <w:rPr>
                <w:sz w:val="1"/>
                <w:szCs w:val="1"/>
                <w:color w:val="auto"/>
              </w:rPr>
            </w:pPr>
          </w:p>
        </w:tc>
      </w:tr>
      <w:tr>
        <w:trPr>
          <w:trHeight w:val="175"/>
        </w:trPr>
        <w:tc>
          <w:tcPr>
            <w:tcW w:w="7820" w:type="dxa"/>
            <w:vAlign w:val="bottom"/>
            <w:gridSpan w:val="5"/>
          </w:tcPr>
          <w:p>
            <w:pPr>
              <w:ind w:left="20"/>
              <w:spacing w:after="0" w:line="175" w:lineRule="exact"/>
              <w:rPr>
                <w:sz w:val="20"/>
                <w:szCs w:val="20"/>
                <w:color w:val="auto"/>
              </w:rPr>
            </w:pPr>
            <w:r>
              <w:rPr>
                <w:rFonts w:ascii="Arial" w:cs="Arial" w:eastAsia="Arial" w:hAnsi="Arial"/>
                <w:sz w:val="16"/>
                <w:szCs w:val="16"/>
                <w:color w:val="auto"/>
              </w:rPr>
              <w:t>Deferred charges, net (amounts related to VIEs of $173,578 and $183,306 at June 30, 2021 and</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gridSpan w:val="5"/>
          </w:tcPr>
          <w:p>
            <w:pPr>
              <w:ind w:left="340"/>
              <w:spacing w:after="0"/>
              <w:rPr>
                <w:sz w:val="20"/>
                <w:szCs w:val="20"/>
                <w:color w:val="auto"/>
              </w:rPr>
            </w:pPr>
            <w:r>
              <w:rPr>
                <w:rFonts w:ascii="Arial" w:cs="Arial" w:eastAsia="Arial" w:hAnsi="Arial"/>
                <w:sz w:val="16"/>
                <w:szCs w:val="16"/>
                <w:color w:val="auto"/>
              </w:rPr>
              <w:t>December 31, 2020, respectively)</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627,338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640,085</w:t>
            </w:r>
          </w:p>
        </w:tc>
        <w:tc>
          <w:tcPr>
            <w:tcW w:w="0" w:type="dxa"/>
            <w:vAlign w:val="bottom"/>
          </w:tcPr>
          <w:p>
            <w:pPr>
              <w:spacing w:after="0"/>
              <w:rPr>
                <w:sz w:val="1"/>
                <w:szCs w:val="1"/>
                <w:color w:val="auto"/>
              </w:rPr>
            </w:pPr>
          </w:p>
        </w:tc>
      </w:tr>
      <w:tr>
        <w:trPr>
          <w:trHeight w:val="177"/>
        </w:trPr>
        <w:tc>
          <w:tcPr>
            <w:tcW w:w="7820" w:type="dxa"/>
            <w:vAlign w:val="bottom"/>
            <w:gridSpan w:val="5"/>
            <w:shd w:val="clear" w:color="auto" w:fill="CCEEFF"/>
          </w:tcPr>
          <w:p>
            <w:pPr>
              <w:ind w:left="20"/>
              <w:spacing w:after="0" w:line="178" w:lineRule="exact"/>
              <w:rPr>
                <w:sz w:val="20"/>
                <w:szCs w:val="20"/>
                <w:color w:val="auto"/>
              </w:rPr>
            </w:pPr>
            <w:r>
              <w:rPr>
                <w:rFonts w:ascii="Arial" w:cs="Arial" w:eastAsia="Arial" w:hAnsi="Arial"/>
                <w:sz w:val="16"/>
                <w:szCs w:val="16"/>
                <w:color w:val="auto"/>
              </w:rPr>
              <w:t>Prepaid expenses and other assets (amounts related to VIEs of $12,441 and $13,137 at June 30, 2021 and</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December 31, 2020, respectively)</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46,946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33,840</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1,305,589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1,310,478</w:t>
            </w:r>
          </w:p>
        </w:tc>
        <w:tc>
          <w:tcPr>
            <w:tcW w:w="0" w:type="dxa"/>
            <w:vAlign w:val="bottom"/>
          </w:tcPr>
          <w:p>
            <w:pPr>
              <w:spacing w:after="0"/>
              <w:rPr>
                <w:sz w:val="1"/>
                <w:szCs w:val="1"/>
                <w:color w:val="auto"/>
              </w:rPr>
            </w:pPr>
          </w:p>
        </w:tc>
      </w:tr>
      <w:tr>
        <w:trPr>
          <w:trHeight w:val="231"/>
        </w:trPr>
        <w:tc>
          <w:tcPr>
            <w:tcW w:w="7820" w:type="dxa"/>
            <w:vAlign w:val="bottom"/>
            <w:tcBorders>
              <w:bottom w:val="single" w:sz="8" w:color="CCEEFF"/>
            </w:tcBorders>
            <w:gridSpan w:val="5"/>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21,792,618</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22,586,907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line="20" w:lineRule="exact"/>
              <w:rPr>
                <w:sz w:val="1"/>
                <w:szCs w:val="1"/>
                <w:color w:val="auto"/>
              </w:rPr>
            </w:pPr>
          </w:p>
        </w:tc>
        <w:tc>
          <w:tcPr>
            <w:tcW w:w="5000" w:type="dxa"/>
            <w:vAlign w:val="bottom"/>
            <w:tcBorders>
              <w:top w:val="single" w:sz="8" w:color="CCEEFF"/>
              <w:bottom w:val="single" w:sz="8" w:color="CCEEFF"/>
            </w:tcBorders>
            <w:gridSpan w:val="4"/>
            <w:vMerge w:val="restart"/>
          </w:tcPr>
          <w:p>
            <w:pPr>
              <w:jc w:val="center"/>
              <w:ind w:right="2980"/>
              <w:spacing w:after="0" w:line="162" w:lineRule="exact"/>
              <w:rPr>
                <w:sz w:val="20"/>
                <w:szCs w:val="20"/>
                <w:color w:val="auto"/>
              </w:rPr>
            </w:pPr>
            <w:r>
              <w:rPr>
                <w:rFonts w:ascii="Arial" w:cs="Arial" w:eastAsia="Arial" w:hAnsi="Arial"/>
                <w:sz w:val="16"/>
                <w:szCs w:val="16"/>
                <w:b w:val="1"/>
                <w:bCs w:val="1"/>
                <w:color w:val="auto"/>
                <w:w w:val="98"/>
              </w:rPr>
              <w:t>LIABILITIES AND CAPITAL</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820" w:type="dxa"/>
            <w:vAlign w:val="bottom"/>
            <w:vMerge w:val="continue"/>
          </w:tcPr>
          <w:p>
            <w:pPr>
              <w:spacing w:after="0"/>
              <w:rPr>
                <w:sz w:val="11"/>
                <w:szCs w:val="11"/>
                <w:color w:val="auto"/>
              </w:rPr>
            </w:pPr>
          </w:p>
        </w:tc>
        <w:tc>
          <w:tcPr>
            <w:tcW w:w="500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20" w:type="dxa"/>
            <w:vAlign w:val="bottom"/>
            <w:tcBorders>
              <w:top w:val="single" w:sz="8" w:color="auto"/>
            </w:tcBorders>
            <w:gridSpan w:val="3"/>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20" w:type="dxa"/>
            <w:vAlign w:val="bottom"/>
            <w:gridSpan w:val="5"/>
          </w:tcPr>
          <w:p>
            <w:pPr>
              <w:ind w:left="340"/>
              <w:spacing w:after="0" w:line="175" w:lineRule="exact"/>
              <w:rPr>
                <w:sz w:val="20"/>
                <w:szCs w:val="20"/>
                <w:color w:val="auto"/>
              </w:rPr>
            </w:pPr>
            <w:r>
              <w:rPr>
                <w:rFonts w:ascii="Arial" w:cs="Arial" w:eastAsia="Arial" w:hAnsi="Arial"/>
                <w:sz w:val="16"/>
                <w:szCs w:val="16"/>
                <w:color w:val="auto"/>
              </w:rPr>
              <w:t>Mortgage notes payable, net (amounts related to VIEs of $2,901,709 and $2,907,590 at June 30, 2021</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gridSpan w:val="5"/>
          </w:tcPr>
          <w:p>
            <w:pPr>
              <w:ind w:left="660"/>
              <w:spacing w:after="0"/>
              <w:rPr>
                <w:sz w:val="20"/>
                <w:szCs w:val="20"/>
                <w:color w:val="auto"/>
              </w:rPr>
            </w:pPr>
            <w:r>
              <w:rPr>
                <w:rFonts w:ascii="Arial" w:cs="Arial" w:eastAsia="Arial" w:hAnsi="Arial"/>
                <w:sz w:val="16"/>
                <w:szCs w:val="16"/>
                <w:color w:val="auto"/>
              </w:rPr>
              <w:t>and December 31, 2020, respectively)</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2,901,709</w:t>
            </w:r>
          </w:p>
        </w:tc>
        <w:tc>
          <w:tcPr>
            <w:tcW w:w="2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2,909,081</w:t>
            </w:r>
          </w:p>
        </w:tc>
        <w:tc>
          <w:tcPr>
            <w:tcW w:w="0" w:type="dxa"/>
            <w:vAlign w:val="bottom"/>
          </w:tcPr>
          <w:p>
            <w:pPr>
              <w:spacing w:after="0"/>
              <w:rPr>
                <w:sz w:val="1"/>
                <w:szCs w:val="1"/>
                <w:color w:val="auto"/>
              </w:rPr>
            </w:pPr>
          </w:p>
        </w:tc>
      </w:tr>
      <w:tr>
        <w:trPr>
          <w:trHeight w:val="215"/>
        </w:trPr>
        <w:tc>
          <w:tcPr>
            <w:tcW w:w="782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Unsecured senior notes, net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9,634,356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9,639,287</w:t>
            </w:r>
          </w:p>
        </w:tc>
        <w:tc>
          <w:tcPr>
            <w:tcW w:w="0" w:type="dxa"/>
            <w:vAlign w:val="bottom"/>
          </w:tcPr>
          <w:p>
            <w:pPr>
              <w:spacing w:after="0"/>
              <w:rPr>
                <w:sz w:val="1"/>
                <w:szCs w:val="1"/>
                <w:color w:val="auto"/>
              </w:rPr>
            </w:pPr>
          </w:p>
        </w:tc>
      </w:tr>
      <w:tr>
        <w:trPr>
          <w:trHeight w:val="210"/>
        </w:trPr>
        <w:tc>
          <w:tcPr>
            <w:tcW w:w="7820" w:type="dxa"/>
            <w:vAlign w:val="bottom"/>
            <w:gridSpan w:val="5"/>
          </w:tcPr>
          <w:p>
            <w:pPr>
              <w:ind w:left="340"/>
              <w:spacing w:after="0"/>
              <w:rPr>
                <w:sz w:val="20"/>
                <w:szCs w:val="20"/>
                <w:color w:val="auto"/>
              </w:rPr>
            </w:pPr>
            <w:r>
              <w:rPr>
                <w:rFonts w:ascii="Arial" w:cs="Arial" w:eastAsia="Arial" w:hAnsi="Arial"/>
                <w:sz w:val="16"/>
                <w:szCs w:val="16"/>
                <w:color w:val="auto"/>
              </w:rPr>
              <w:t>Unsecured line of credit</w:t>
            </w:r>
          </w:p>
        </w:tc>
        <w:tc>
          <w:tcPr>
            <w:tcW w:w="3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82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Unsecured term loan, net</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499,390</w:t>
            </w:r>
          </w:p>
        </w:tc>
        <w:tc>
          <w:tcPr>
            <w:tcW w:w="0" w:type="dxa"/>
            <w:vAlign w:val="bottom"/>
          </w:tcPr>
          <w:p>
            <w:pPr>
              <w:spacing w:after="0"/>
              <w:rPr>
                <w:sz w:val="1"/>
                <w:szCs w:val="1"/>
                <w:color w:val="auto"/>
              </w:rPr>
            </w:pPr>
          </w:p>
        </w:tc>
      </w:tr>
      <w:tr>
        <w:trPr>
          <w:trHeight w:val="175"/>
        </w:trPr>
        <w:tc>
          <w:tcPr>
            <w:tcW w:w="7820" w:type="dxa"/>
            <w:vAlign w:val="bottom"/>
            <w:gridSpan w:val="5"/>
          </w:tcPr>
          <w:p>
            <w:pPr>
              <w:ind w:left="340"/>
              <w:spacing w:after="0" w:line="175" w:lineRule="exact"/>
              <w:rPr>
                <w:sz w:val="20"/>
                <w:szCs w:val="20"/>
                <w:color w:val="auto"/>
              </w:rPr>
            </w:pPr>
            <w:r>
              <w:rPr>
                <w:rFonts w:ascii="Arial" w:cs="Arial" w:eastAsia="Arial" w:hAnsi="Arial"/>
                <w:sz w:val="16"/>
                <w:szCs w:val="16"/>
                <w:color w:val="auto"/>
              </w:rPr>
              <w:t>Lease liabilities - finance leases (amounts related to VIEs of $20,382 and $20,306 at June 30, 2021</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gridSpan w:val="5"/>
          </w:tcPr>
          <w:p>
            <w:pPr>
              <w:ind w:left="660"/>
              <w:spacing w:after="0"/>
              <w:rPr>
                <w:sz w:val="20"/>
                <w:szCs w:val="20"/>
                <w:color w:val="auto"/>
              </w:rPr>
            </w:pPr>
            <w:r>
              <w:rPr>
                <w:rFonts w:ascii="Arial" w:cs="Arial" w:eastAsia="Arial" w:hAnsi="Arial"/>
                <w:sz w:val="16"/>
                <w:szCs w:val="16"/>
                <w:color w:val="auto"/>
              </w:rPr>
              <w:t>and December 31, 2020, respectively)</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243,381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236,492</w:t>
            </w:r>
          </w:p>
        </w:tc>
        <w:tc>
          <w:tcPr>
            <w:tcW w:w="0" w:type="dxa"/>
            <w:vAlign w:val="bottom"/>
          </w:tcPr>
          <w:p>
            <w:pPr>
              <w:spacing w:after="0"/>
              <w:rPr>
                <w:sz w:val="1"/>
                <w:szCs w:val="1"/>
                <w:color w:val="auto"/>
              </w:rPr>
            </w:pPr>
          </w:p>
        </w:tc>
      </w:tr>
      <w:tr>
        <w:trPr>
          <w:trHeight w:val="215"/>
        </w:trPr>
        <w:tc>
          <w:tcPr>
            <w:tcW w:w="782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Lease liabilities - operating leases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201,713</w:t>
            </w:r>
          </w:p>
        </w:tc>
        <w:tc>
          <w:tcPr>
            <w:tcW w:w="0" w:type="dxa"/>
            <w:vAlign w:val="bottom"/>
          </w:tcPr>
          <w:p>
            <w:pPr>
              <w:spacing w:after="0"/>
              <w:rPr>
                <w:sz w:val="1"/>
                <w:szCs w:val="1"/>
                <w:color w:val="auto"/>
              </w:rPr>
            </w:pPr>
          </w:p>
        </w:tc>
      </w:tr>
      <w:tr>
        <w:trPr>
          <w:trHeight w:val="175"/>
        </w:trPr>
        <w:tc>
          <w:tcPr>
            <w:tcW w:w="7820" w:type="dxa"/>
            <w:vAlign w:val="bottom"/>
            <w:gridSpan w:val="5"/>
          </w:tcPr>
          <w:p>
            <w:pPr>
              <w:ind w:left="340"/>
              <w:spacing w:after="0" w:line="175" w:lineRule="exact"/>
              <w:rPr>
                <w:sz w:val="20"/>
                <w:szCs w:val="20"/>
                <w:color w:val="auto"/>
              </w:rPr>
            </w:pPr>
            <w:r>
              <w:rPr>
                <w:rFonts w:ascii="Arial" w:cs="Arial" w:eastAsia="Arial" w:hAnsi="Arial"/>
                <w:sz w:val="16"/>
                <w:szCs w:val="16"/>
                <w:color w:val="auto"/>
              </w:rPr>
              <w:t>Accounts payable and accrued expenses (amounts related to VIEs of $40,100 and $23,128 at June 30,</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gridSpan w:val="5"/>
          </w:tcPr>
          <w:p>
            <w:pPr>
              <w:ind w:left="660"/>
              <w:spacing w:after="0"/>
              <w:rPr>
                <w:sz w:val="20"/>
                <w:szCs w:val="20"/>
                <w:color w:val="auto"/>
              </w:rPr>
            </w:pPr>
            <w:r>
              <w:rPr>
                <w:rFonts w:ascii="Arial" w:cs="Arial" w:eastAsia="Arial" w:hAnsi="Arial"/>
                <w:sz w:val="16"/>
                <w:szCs w:val="16"/>
                <w:color w:val="auto"/>
              </w:rPr>
              <w:t>2021 and December 31, 2020, respectively)</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305,969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336,264</w:t>
            </w:r>
          </w:p>
        </w:tc>
        <w:tc>
          <w:tcPr>
            <w:tcW w:w="0" w:type="dxa"/>
            <w:vAlign w:val="bottom"/>
          </w:tcPr>
          <w:p>
            <w:pPr>
              <w:spacing w:after="0"/>
              <w:rPr>
                <w:sz w:val="1"/>
                <w:szCs w:val="1"/>
                <w:color w:val="auto"/>
              </w:rPr>
            </w:pPr>
          </w:p>
        </w:tc>
      </w:tr>
      <w:tr>
        <w:trPr>
          <w:trHeight w:val="215"/>
        </w:trPr>
        <w:tc>
          <w:tcPr>
            <w:tcW w:w="782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Dividends and distributions payable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171,082</w:t>
            </w:r>
          </w:p>
        </w:tc>
        <w:tc>
          <w:tcPr>
            <w:tcW w:w="0" w:type="dxa"/>
            <w:vAlign w:val="bottom"/>
          </w:tcPr>
          <w:p>
            <w:pPr>
              <w:spacing w:after="0"/>
              <w:rPr>
                <w:sz w:val="1"/>
                <w:szCs w:val="1"/>
                <w:color w:val="auto"/>
              </w:rPr>
            </w:pPr>
          </w:p>
        </w:tc>
      </w:tr>
      <w:tr>
        <w:trPr>
          <w:trHeight w:val="210"/>
        </w:trPr>
        <w:tc>
          <w:tcPr>
            <w:tcW w:w="7820" w:type="dxa"/>
            <w:vAlign w:val="bottom"/>
            <w:gridSpan w:val="5"/>
          </w:tcPr>
          <w:p>
            <w:pPr>
              <w:ind w:left="340"/>
              <w:spacing w:after="0"/>
              <w:rPr>
                <w:sz w:val="20"/>
                <w:szCs w:val="20"/>
                <w:color w:val="auto"/>
              </w:rPr>
            </w:pPr>
            <w:r>
              <w:rPr>
                <w:rFonts w:ascii="Arial" w:cs="Arial" w:eastAsia="Arial" w:hAnsi="Arial"/>
                <w:sz w:val="16"/>
                <w:szCs w:val="16"/>
                <w:color w:val="auto"/>
              </w:rPr>
              <w:t>Accrued interest payable</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107,386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106,288</w:t>
            </w:r>
          </w:p>
        </w:tc>
        <w:tc>
          <w:tcPr>
            <w:tcW w:w="0" w:type="dxa"/>
            <w:vAlign w:val="bottom"/>
          </w:tcPr>
          <w:p>
            <w:pPr>
              <w:spacing w:after="0"/>
              <w:rPr>
                <w:sz w:val="1"/>
                <w:szCs w:val="1"/>
                <w:color w:val="auto"/>
              </w:rPr>
            </w:pPr>
          </w:p>
        </w:tc>
      </w:tr>
      <w:tr>
        <w:trPr>
          <w:trHeight w:val="177"/>
        </w:trPr>
        <w:tc>
          <w:tcPr>
            <w:tcW w:w="7820" w:type="dxa"/>
            <w:vAlign w:val="bottom"/>
            <w:gridSpan w:val="5"/>
            <w:shd w:val="clear" w:color="auto" w:fill="CCEEFF"/>
          </w:tcPr>
          <w:p>
            <w:pPr>
              <w:ind w:left="340"/>
              <w:spacing w:after="0" w:line="178" w:lineRule="exact"/>
              <w:rPr>
                <w:sz w:val="20"/>
                <w:szCs w:val="20"/>
                <w:color w:val="auto"/>
              </w:rPr>
            </w:pPr>
            <w:r>
              <w:rPr>
                <w:rFonts w:ascii="Arial" w:cs="Arial" w:eastAsia="Arial" w:hAnsi="Arial"/>
                <w:sz w:val="16"/>
                <w:szCs w:val="16"/>
                <w:color w:val="auto"/>
              </w:rPr>
              <w:t>Other liabilities (amounts related to VIEs of $129,477 and $158,805 at June 30, 2021 and</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gridSpan w:val="5"/>
            <w:shd w:val="clear" w:color="auto" w:fill="CCEEFF"/>
          </w:tcPr>
          <w:p>
            <w:pPr>
              <w:ind w:left="660"/>
              <w:spacing w:after="0"/>
              <w:rPr>
                <w:sz w:val="20"/>
                <w:szCs w:val="20"/>
                <w:color w:val="auto"/>
              </w:rPr>
            </w:pPr>
            <w:r>
              <w:rPr>
                <w:rFonts w:ascii="Arial" w:cs="Arial" w:eastAsia="Arial" w:hAnsi="Arial"/>
                <w:sz w:val="16"/>
                <w:szCs w:val="16"/>
                <w:color w:val="auto"/>
              </w:rPr>
              <w:t>December 31, 2020, respectively)</w:t>
            </w: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370,990</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412,084</w:t>
            </w:r>
          </w:p>
        </w:tc>
        <w:tc>
          <w:tcPr>
            <w:tcW w:w="0" w:type="dxa"/>
            <w:vAlign w:val="bottom"/>
          </w:tcPr>
          <w:p>
            <w:pPr>
              <w:spacing w:after="0"/>
              <w:rPr>
                <w:sz w:val="1"/>
                <w:szCs w:val="1"/>
                <w:color w:val="auto"/>
              </w:rPr>
            </w:pPr>
          </w:p>
        </w:tc>
      </w:tr>
      <w:tr>
        <w:trPr>
          <w:trHeight w:val="203"/>
        </w:trPr>
        <w:tc>
          <w:tcPr>
            <w:tcW w:w="7820" w:type="dxa"/>
            <w:vAlign w:val="bottom"/>
            <w:tcBorders>
              <w:bottom w:val="single" w:sz="8" w:color="CCEEFF"/>
            </w:tcBorders>
            <w:gridSpan w:val="5"/>
          </w:tcPr>
          <w:p>
            <w:pPr>
              <w:ind w:left="66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13,960,103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14,511,681</w:t>
            </w:r>
          </w:p>
        </w:tc>
        <w:tc>
          <w:tcPr>
            <w:tcW w:w="0" w:type="dxa"/>
            <w:vAlign w:val="bottom"/>
          </w:tcPr>
          <w:p>
            <w:pPr>
              <w:spacing w:after="0"/>
              <w:rPr>
                <w:sz w:val="1"/>
                <w:szCs w:val="1"/>
                <w:color w:val="auto"/>
              </w:rPr>
            </w:pPr>
          </w:p>
        </w:tc>
      </w:tr>
      <w:tr>
        <w:trPr>
          <w:trHeight w:val="195"/>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9)</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820" w:type="dxa"/>
            <w:vAlign w:val="bottom"/>
            <w:gridSpan w:val="5"/>
          </w:tcPr>
          <w:p>
            <w:pPr>
              <w:ind w:left="20"/>
              <w:spacing w:after="0" w:line="175" w:lineRule="exact"/>
              <w:rPr>
                <w:sz w:val="20"/>
                <w:szCs w:val="20"/>
                <w:color w:val="auto"/>
              </w:rPr>
            </w:pPr>
            <w:r>
              <w:rPr>
                <w:rFonts w:ascii="Arial" w:cs="Arial" w:eastAsia="Arial" w:hAnsi="Arial"/>
                <w:sz w:val="16"/>
                <w:szCs w:val="16"/>
                <w:color w:val="auto"/>
              </w:rPr>
              <w:t>Redeemable deferred stock units— 78,362 and 72,966 units outstanding at redemption value at June 30,</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20" w:type="dxa"/>
            <w:vAlign w:val="bottom"/>
            <w:gridSpan w:val="5"/>
          </w:tcPr>
          <w:p>
            <w:pPr>
              <w:ind w:left="340"/>
              <w:spacing w:after="0"/>
              <w:rPr>
                <w:sz w:val="20"/>
                <w:szCs w:val="20"/>
                <w:color w:val="auto"/>
              </w:rPr>
            </w:pPr>
            <w:r>
              <w:rPr>
                <w:rFonts w:ascii="Arial" w:cs="Arial" w:eastAsia="Arial" w:hAnsi="Arial"/>
                <w:sz w:val="16"/>
                <w:szCs w:val="16"/>
                <w:color w:val="auto"/>
              </w:rPr>
              <w:t>2021 and December 31, 2020, respectively</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8,980</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ind w:left="180"/>
              <w:spacing w:after="0" w:line="180" w:lineRule="exact"/>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5"/>
                <w:szCs w:val="15"/>
                <w:color w:val="auto"/>
              </w:rPr>
            </w:pPr>
          </w:p>
        </w:tc>
        <w:tc>
          <w:tcPr>
            <w:tcW w:w="1420" w:type="dxa"/>
            <w:vAlign w:val="bottom"/>
          </w:tcPr>
          <w:p>
            <w:pPr>
              <w:jc w:val="right"/>
              <w:ind w:right="200"/>
              <w:spacing w:after="0" w:line="180" w:lineRule="exact"/>
              <w:rPr>
                <w:sz w:val="20"/>
                <w:szCs w:val="20"/>
                <w:color w:val="auto"/>
              </w:rPr>
            </w:pPr>
            <w:r>
              <w:rPr>
                <w:rFonts w:ascii="Arial" w:cs="Arial" w:eastAsia="Arial" w:hAnsi="Arial"/>
                <w:sz w:val="16"/>
                <w:szCs w:val="16"/>
                <w:b w:val="1"/>
                <w:bCs w:val="1"/>
                <w:color w:val="auto"/>
              </w:rPr>
              <w:t>December 31,</w:t>
            </w:r>
          </w:p>
        </w:tc>
      </w:tr>
      <w:tr>
        <w:trPr>
          <w:trHeight w:val="213"/>
        </w:trPr>
        <w:tc>
          <w:tcPr>
            <w:tcW w:w="7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2020</w:t>
            </w:r>
          </w:p>
        </w:tc>
      </w:tr>
      <w:tr>
        <w:trPr>
          <w:trHeight w:val="19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5"/>
        </w:trPr>
        <w:tc>
          <w:tcPr>
            <w:tcW w:w="7820" w:type="dxa"/>
            <w:vAlign w:val="bottom"/>
          </w:tcPr>
          <w:p>
            <w:pPr>
              <w:ind w:left="340"/>
              <w:spacing w:after="0" w:line="175" w:lineRule="exact"/>
              <w:rPr>
                <w:sz w:val="20"/>
                <w:szCs w:val="20"/>
                <w:color w:val="auto"/>
              </w:rPr>
            </w:pPr>
            <w:r>
              <w:rPr>
                <w:rFonts w:ascii="Arial" w:cs="Arial" w:eastAsia="Arial" w:hAnsi="Arial"/>
                <w:sz w:val="16"/>
                <w:szCs w:val="16"/>
                <w:color w:val="auto"/>
              </w:rPr>
              <w:t>Redeemable partnership units— 16,038,056 and 16,037,121 common units and 1,489,456 and</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0"/>
        </w:trPr>
        <w:tc>
          <w:tcPr>
            <w:tcW w:w="7820" w:type="dxa"/>
            <w:vAlign w:val="bottom"/>
          </w:tcPr>
          <w:p>
            <w:pPr>
              <w:ind w:left="660"/>
              <w:spacing w:after="0" w:line="160" w:lineRule="exact"/>
              <w:rPr>
                <w:sz w:val="20"/>
                <w:szCs w:val="20"/>
                <w:color w:val="auto"/>
              </w:rPr>
            </w:pPr>
            <w:r>
              <w:rPr>
                <w:rFonts w:ascii="Arial" w:cs="Arial" w:eastAsia="Arial" w:hAnsi="Arial"/>
                <w:sz w:val="16"/>
                <w:szCs w:val="16"/>
                <w:color w:val="auto"/>
              </w:rPr>
              <w:t>1,336,115 long term incentive units outstanding at redemption value at June 30, 2021 and</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95"/>
        </w:trPr>
        <w:tc>
          <w:tcPr>
            <w:tcW w:w="78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December 31, 2020, respectively</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2,008,478</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1,643,024</w:t>
            </w:r>
          </w:p>
        </w:tc>
      </w:tr>
      <w:tr>
        <w:trPr>
          <w:trHeight w:val="19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5"/>
        </w:trPr>
        <w:tc>
          <w:tcPr>
            <w:tcW w:w="7820" w:type="dxa"/>
            <w:vAlign w:val="bottom"/>
          </w:tcPr>
          <w:p>
            <w:pPr>
              <w:ind w:left="340"/>
              <w:spacing w:after="0" w:line="175" w:lineRule="exact"/>
              <w:rPr>
                <w:sz w:val="20"/>
                <w:szCs w:val="20"/>
                <w:color w:val="auto"/>
              </w:rPr>
            </w:pPr>
            <w:r>
              <w:rPr>
                <w:rFonts w:ascii="Arial" w:cs="Arial" w:eastAsia="Arial" w:hAnsi="Arial"/>
                <w:sz w:val="16"/>
                <w:szCs w:val="16"/>
                <w:color w:val="auto"/>
              </w:rPr>
              <w:t>5.25% Series B cumulative redeemable preferred units, liquidation preference $2,500 per unit, 80,000</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5"/>
        </w:trPr>
        <w:tc>
          <w:tcPr>
            <w:tcW w:w="7820" w:type="dxa"/>
            <w:vAlign w:val="bottom"/>
          </w:tcPr>
          <w:p>
            <w:pPr>
              <w:ind w:left="660"/>
              <w:spacing w:after="0"/>
              <w:rPr>
                <w:sz w:val="20"/>
                <w:szCs w:val="20"/>
                <w:color w:val="auto"/>
              </w:rPr>
            </w:pPr>
            <w:r>
              <w:rPr>
                <w:rFonts w:ascii="Arial" w:cs="Arial" w:eastAsia="Arial" w:hAnsi="Arial"/>
                <w:sz w:val="16"/>
                <w:szCs w:val="16"/>
                <w:color w:val="auto"/>
              </w:rPr>
              <w:t>units issued and outstanding at December 31, 2020</w:t>
            </w:r>
          </w:p>
        </w:tc>
        <w:tc>
          <w:tcPr>
            <w:tcW w:w="30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193,623</w:t>
            </w:r>
          </w:p>
        </w:tc>
      </w:tr>
      <w:tr>
        <w:trPr>
          <w:trHeight w:val="177"/>
        </w:trPr>
        <w:tc>
          <w:tcPr>
            <w:tcW w:w="7820" w:type="dxa"/>
            <w:vAlign w:val="bottom"/>
            <w:shd w:val="clear" w:color="auto" w:fill="CCEEFF"/>
          </w:tcPr>
          <w:p>
            <w:pPr>
              <w:ind w:left="340"/>
              <w:spacing w:after="0" w:line="178" w:lineRule="exact"/>
              <w:rPr>
                <w:sz w:val="20"/>
                <w:szCs w:val="20"/>
                <w:color w:val="auto"/>
              </w:rPr>
            </w:pPr>
            <w:r>
              <w:rPr>
                <w:rFonts w:ascii="Arial" w:cs="Arial" w:eastAsia="Arial" w:hAnsi="Arial"/>
                <w:sz w:val="16"/>
                <w:szCs w:val="16"/>
                <w:color w:val="auto"/>
              </w:rPr>
              <w:t>Boston Properties Limited Partnership partners’ capital— 1,736,635 and 1,730,921 general partner</w:t>
            </w: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60"/>
        </w:trPr>
        <w:tc>
          <w:tcPr>
            <w:tcW w:w="7820" w:type="dxa"/>
            <w:vAlign w:val="bottom"/>
            <w:shd w:val="clear" w:color="auto" w:fill="CCEEFF"/>
          </w:tcPr>
          <w:p>
            <w:pPr>
              <w:ind w:left="660"/>
              <w:spacing w:after="0" w:line="160" w:lineRule="exact"/>
              <w:rPr>
                <w:sz w:val="20"/>
                <w:szCs w:val="20"/>
                <w:color w:val="auto"/>
              </w:rPr>
            </w:pPr>
            <w:r>
              <w:rPr>
                <w:rFonts w:ascii="Arial" w:cs="Arial" w:eastAsia="Arial" w:hAnsi="Arial"/>
                <w:sz w:val="16"/>
                <w:szCs w:val="16"/>
                <w:color w:val="auto"/>
              </w:rPr>
              <w:t>units and 154,399,324 and 153,987,904 limited partner units outstanding at June 30, 2021 and</w:t>
            </w: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98"/>
        </w:trPr>
        <w:tc>
          <w:tcPr>
            <w:tcW w:w="7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December 31, 2020, respectively</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4,132,880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4,554,639</w:t>
            </w:r>
          </w:p>
        </w:tc>
      </w:tr>
      <w:tr>
        <w:trPr>
          <w:trHeight w:val="210"/>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(43,166)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(49,890)</w:t>
            </w:r>
          </w:p>
        </w:tc>
      </w:tr>
      <w:tr>
        <w:trPr>
          <w:trHeight w:val="209"/>
        </w:trPr>
        <w:tc>
          <w:tcPr>
            <w:tcW w:w="7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partners’ capital</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4,089,714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4,698,372</w:t>
            </w:r>
          </w:p>
        </w:tc>
      </w:tr>
      <w:tr>
        <w:trPr>
          <w:trHeight w:val="210"/>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1,725,343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1,726,933</w:t>
            </w:r>
          </w:p>
        </w:tc>
      </w:tr>
      <w:tr>
        <w:trPr>
          <w:trHeight w:val="209"/>
        </w:trPr>
        <w:tc>
          <w:tcPr>
            <w:tcW w:w="7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capital</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5,815,057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6,425,305</w:t>
            </w:r>
          </w:p>
        </w:tc>
      </w:tr>
      <w:tr>
        <w:trPr>
          <w:trHeight w:val="203"/>
        </w:trPr>
        <w:tc>
          <w:tcPr>
            <w:tcW w:w="7820" w:type="dxa"/>
            <w:vAlign w:val="bottom"/>
          </w:tcPr>
          <w:p>
            <w:pPr>
              <w:ind w:left="660"/>
              <w:spacing w:after="0"/>
              <w:rPr>
                <w:sz w:val="20"/>
                <w:szCs w:val="20"/>
                <w:color w:val="auto"/>
              </w:rPr>
            </w:pPr>
            <w:r>
              <w:rPr>
                <w:rFonts w:ascii="Arial" w:cs="Arial" w:eastAsia="Arial" w:hAnsi="Arial"/>
                <w:sz w:val="16"/>
                <w:szCs w:val="16"/>
                <w:color w:val="auto"/>
              </w:rPr>
              <w:t>Total liabilities and capital</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21,792,618</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22,586,907</w:t>
            </w:r>
          </w:p>
        </w:tc>
      </w:tr>
      <w:tr>
        <w:trPr>
          <w:trHeight w:val="22"/>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per unit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w:t>
            </w:r>
          </w:p>
        </w:tc>
        <w:tc>
          <w:tcPr>
            <w:tcW w:w="120" w:type="dxa"/>
            <w:vAlign w:val="bottom"/>
          </w:tcPr>
          <w:p>
            <w:pPr>
              <w:spacing w:after="0"/>
              <w:rPr>
                <w:sz w:val="16"/>
                <w:szCs w:val="16"/>
                <w:color w:val="auto"/>
              </w:rPr>
            </w:pPr>
          </w:p>
        </w:tc>
        <w:tc>
          <w:tcPr>
            <w:tcW w:w="2160" w:type="dxa"/>
            <w:vAlign w:val="bottom"/>
            <w:gridSpan w:val="4"/>
            <w:vMerge w:val="restart"/>
          </w:tcPr>
          <w:p>
            <w:pPr>
              <w:jc w:val="right"/>
              <w:ind w:right="20"/>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13"/>
        </w:trPr>
        <w:tc>
          <w:tcPr>
            <w:tcW w:w="6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3"/>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Lease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684,025</w:t>
            </w:r>
          </w:p>
        </w:tc>
        <w:tc>
          <w:tcPr>
            <w:tcW w:w="4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630,119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1,369,842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1,340,230</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Parking and other</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38,450</w:t>
            </w: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Hotel</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6,924</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16,004</w:t>
            </w:r>
          </w:p>
        </w:tc>
        <w:tc>
          <w:tcPr>
            <w:tcW w:w="0" w:type="dxa"/>
            <w:vAlign w:val="bottom"/>
          </w:tcPr>
          <w:p>
            <w:pPr>
              <w:spacing w:after="0"/>
              <w:rPr>
                <w:sz w:val="1"/>
                <w:szCs w:val="1"/>
                <w:color w:val="auto"/>
              </w:rPr>
            </w:pPr>
          </w:p>
        </w:tc>
      </w:tr>
      <w:tr>
        <w:trPr>
          <w:trHeight w:val="175"/>
        </w:trPr>
        <w:tc>
          <w:tcPr>
            <w:tcW w:w="6460" w:type="dxa"/>
            <w:vAlign w:val="bottom"/>
          </w:tcPr>
          <w:p>
            <w:pPr>
              <w:ind w:left="340"/>
              <w:spacing w:after="0" w:line="175"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4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contracts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6,160</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713,807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654,773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1,427,502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1,407,329</w:t>
            </w:r>
          </w:p>
        </w:tc>
        <w:tc>
          <w:tcPr>
            <w:tcW w:w="0" w:type="dxa"/>
            <w:vAlign w:val="bottom"/>
          </w:tcPr>
          <w:p>
            <w:pPr>
              <w:spacing w:after="0"/>
              <w:rPr>
                <w:sz w:val="1"/>
                <w:szCs w:val="1"/>
                <w:color w:val="auto"/>
              </w:rPr>
            </w:pPr>
          </w:p>
        </w:tc>
      </w:tr>
      <w:tr>
        <w:trPr>
          <w:trHeight w:val="190"/>
        </w:trPr>
        <w:tc>
          <w:tcPr>
            <w:tcW w:w="64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660"/>
              <w:spacing w:after="0"/>
              <w:rPr>
                <w:sz w:val="20"/>
                <w:szCs w:val="20"/>
                <w:color w:val="auto"/>
              </w:rPr>
            </w:pPr>
            <w:r>
              <w:rPr>
                <w:rFonts w:ascii="Arial" w:cs="Arial" w:eastAsia="Arial" w:hAnsi="Arial"/>
                <w:sz w:val="16"/>
                <w:szCs w:val="16"/>
                <w:color w:val="auto"/>
              </w:rPr>
              <w:t>Rental</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248,703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239,787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506,092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502,753</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Hotel</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w:t>
            </w: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38,405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37,743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83,364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74,197</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182,078</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176,409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355,578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345,694</w:t>
            </w:r>
          </w:p>
        </w:tc>
        <w:tc>
          <w:tcPr>
            <w:tcW w:w="0" w:type="dxa"/>
            <w:vAlign w:val="bottom"/>
          </w:tcPr>
          <w:p>
            <w:pPr>
              <w:spacing w:after="0"/>
              <w:rPr>
                <w:sz w:val="1"/>
                <w:szCs w:val="1"/>
                <w:color w:val="auto"/>
              </w:rPr>
            </w:pPr>
          </w:p>
        </w:tc>
      </w:tr>
      <w:tr>
        <w:trPr>
          <w:trHeight w:val="203"/>
        </w:trPr>
        <w:tc>
          <w:tcPr>
            <w:tcW w:w="646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Total expenses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474,588</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458,728</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956,323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938,106</w:t>
            </w:r>
          </w:p>
        </w:tc>
        <w:tc>
          <w:tcPr>
            <w:tcW w:w="0" w:type="dxa"/>
            <w:vAlign w:val="bottom"/>
          </w:tcPr>
          <w:p>
            <w:pPr>
              <w:spacing w:after="0"/>
              <w:rPr>
                <w:sz w:val="1"/>
                <w:szCs w:val="1"/>
                <w:color w:val="auto"/>
              </w:rPr>
            </w:pPr>
          </w:p>
        </w:tc>
      </w:tr>
      <w:tr>
        <w:trPr>
          <w:trHeight w:val="195"/>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Income (loss) from unconsolidated joint ventures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626,895</w:t>
            </w: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Losses from early extinguishment of debt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(106,319)</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(107,142)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(214,221)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(208,733)</w:t>
            </w:r>
          </w:p>
        </w:tc>
        <w:tc>
          <w:tcPr>
            <w:tcW w:w="0" w:type="dxa"/>
            <w:vAlign w:val="bottom"/>
          </w:tcPr>
          <w:p>
            <w:pPr>
              <w:spacing w:after="0"/>
              <w:rPr>
                <w:sz w:val="1"/>
                <w:szCs w:val="1"/>
                <w:color w:val="auto"/>
              </w:rPr>
            </w:pPr>
          </w:p>
        </w:tc>
      </w:tr>
      <w:tr>
        <w:trPr>
          <w:trHeight w:val="203"/>
        </w:trPr>
        <w:tc>
          <w:tcPr>
            <w:tcW w:w="6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143,010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303,833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274,222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892,277</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(17,164)</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(33,631)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(18,719)</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125,846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873,558</w:t>
            </w: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Preferred distributions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(5,250)</w:t>
            </w: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unit redemption charge</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6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Limited Partnership common unitholders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125,846</w:t>
            </w:r>
          </w:p>
        </w:tc>
        <w:tc>
          <w:tcPr>
            <w:tcW w:w="4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301,975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231,619</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868,308</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Basic earnings per common unit attributable to Boston Properties Limited Partnership</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0.73</w:t>
            </w:r>
          </w:p>
        </w:tc>
        <w:tc>
          <w:tcPr>
            <w:tcW w:w="4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9"/>
        </w:trPr>
        <w:tc>
          <w:tcPr>
            <w:tcW w:w="6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 average number of common units outstanding</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173,150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172,659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173,034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172,604</w:t>
            </w:r>
          </w:p>
        </w:tc>
        <w:tc>
          <w:tcPr>
            <w:tcW w:w="0" w:type="dxa"/>
            <w:vAlign w:val="bottom"/>
          </w:tcPr>
          <w:p>
            <w:pPr>
              <w:spacing w:after="0"/>
              <w:rPr>
                <w:sz w:val="1"/>
                <w:szCs w:val="1"/>
                <w:color w:val="auto"/>
              </w:rPr>
            </w:pPr>
          </w:p>
        </w:tc>
      </w:tr>
      <w:tr>
        <w:trPr>
          <w:trHeight w:val="190"/>
        </w:trPr>
        <w:tc>
          <w:tcPr>
            <w:tcW w:w="6460" w:type="dxa"/>
            <w:vAlign w:val="bottom"/>
          </w:tcPr>
          <w:p>
            <w:pPr>
              <w:ind w:left="20"/>
              <w:spacing w:after="0"/>
              <w:rPr>
                <w:sz w:val="20"/>
                <w:szCs w:val="20"/>
                <w:color w:val="auto"/>
              </w:rPr>
            </w:pPr>
            <w:r>
              <w:rPr>
                <w:rFonts w:ascii="Arial" w:cs="Arial" w:eastAsia="Arial" w:hAnsi="Arial"/>
                <w:sz w:val="16"/>
                <w:szCs w:val="16"/>
                <w:color w:val="auto"/>
              </w:rPr>
              <w:t>Diluted earnings per common unit attributable to Boston Properties Limited Partnership</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3"/>
        </w:trPr>
        <w:tc>
          <w:tcPr>
            <w:tcW w:w="6460" w:type="dxa"/>
            <w:vAlign w:val="bottom"/>
          </w:tcPr>
          <w:p>
            <w:pPr>
              <w:ind w:left="340"/>
              <w:spacing w:after="0"/>
              <w:rPr>
                <w:sz w:val="20"/>
                <w:szCs w:val="20"/>
                <w:color w:val="auto"/>
              </w:rPr>
            </w:pPr>
            <w:r>
              <w:rPr>
                <w:rFonts w:ascii="Arial" w:cs="Arial" w:eastAsia="Arial" w:hAnsi="Arial"/>
                <w:sz w:val="16"/>
                <w:szCs w:val="16"/>
                <w:color w:val="auto"/>
              </w:rPr>
              <w:t>Weighted average number of common and common equivalent units outstanding</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173,562</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172,680</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173,325</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172,738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258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220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08"/>
        </w:trPr>
        <w:tc>
          <w:tcPr>
            <w:tcW w:w="6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r>
      <w:tr>
        <w:trPr>
          <w:trHeight w:val="220"/>
        </w:trPr>
        <w:tc>
          <w:tcPr>
            <w:tcW w:w="63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143,010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303,833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274,222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892,277</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Effective portion of interest rate contracts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w:t>
            </w:r>
          </w:p>
        </w:tc>
      </w:tr>
      <w:tr>
        <w:trPr>
          <w:trHeight w:val="225"/>
        </w:trPr>
        <w:tc>
          <w:tcPr>
            <w:tcW w:w="6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Amortization of interest rate contracts (1)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w:t>
            </w:r>
          </w:p>
        </w:tc>
      </w:tr>
      <w:tr>
        <w:trPr>
          <w:trHeight w:val="220"/>
        </w:trPr>
        <w:tc>
          <w:tcPr>
            <w:tcW w:w="6340" w:type="dxa"/>
            <w:vAlign w:val="bottom"/>
            <w:shd w:val="clear" w:color="auto" w:fill="CCEEFF"/>
          </w:tcPr>
          <w:p>
            <w:pPr>
              <w:ind w:left="340"/>
              <w:spacing w:after="0" w:line="206" w:lineRule="exact"/>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w:t>
            </w:r>
          </w:p>
        </w:tc>
      </w:tr>
      <w:tr>
        <w:trPr>
          <w:trHeight w:val="219"/>
        </w:trPr>
        <w:tc>
          <w:tcPr>
            <w:tcW w:w="6340" w:type="dxa"/>
            <w:vAlign w:val="bottom"/>
          </w:tcPr>
          <w:p>
            <w:pPr>
              <w:ind w:left="20"/>
              <w:spacing w:after="0" w:line="205" w:lineRule="exact"/>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145,340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304,851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281,968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885,241</w:t>
            </w:r>
          </w:p>
        </w:tc>
      </w:tr>
      <w:tr>
        <w:trPr>
          <w:trHeight w:val="22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(17,308)</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(33,919)</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(19,007)</w:t>
            </w:r>
          </w:p>
        </w:tc>
      </w:tr>
      <w:tr>
        <w:trPr>
          <w:trHeight w:val="219"/>
        </w:trPr>
        <w:tc>
          <w:tcPr>
            <w:tcW w:w="6340" w:type="dxa"/>
            <w:vAlign w:val="bottom"/>
          </w:tcPr>
          <w:p>
            <w:pPr>
              <w:ind w:left="20"/>
              <w:spacing w:after="0" w:line="205" w:lineRule="exact"/>
              <w:rPr>
                <w:sz w:val="20"/>
                <w:szCs w:val="20"/>
                <w:color w:val="auto"/>
              </w:rPr>
            </w:pPr>
            <w:r>
              <w:rPr>
                <w:rFonts w:ascii="Arial" w:cs="Arial" w:eastAsia="Arial" w:hAnsi="Arial"/>
                <w:sz w:val="18"/>
                <w:szCs w:val="18"/>
                <w:color w:val="auto"/>
              </w:rPr>
              <w:t>Comprehensive income attributable to Boston Properties Limited Partnership</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128,032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305,474</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248,049</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866,234</w:t>
            </w: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 w:lineRule="exact"/>
        <w:rPr>
          <w:sz w:val="20"/>
          <w:szCs w:val="20"/>
          <w:color w:val="auto"/>
        </w:rPr>
      </w:pPr>
    </w:p>
    <w:p>
      <w:pPr>
        <w:ind w:left="320" w:right="1080" w:hanging="314"/>
        <w:spacing w:after="0" w:line="252"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Boston Properties Limited Partnership’s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60" w:right="2460"/>
        <w:spacing w:after="0" w:line="314"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92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w w:val="99"/>
              </w:rPr>
              <w:t>Units</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Partners’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9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Noncontrolling</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spacing w:after="0" w:line="120" w:lineRule="exact"/>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50"/>
              <w:spacing w:after="0" w:line="120" w:lineRule="exact"/>
              <w:rPr>
                <w:sz w:val="20"/>
                <w:szCs w:val="20"/>
                <w:color w:val="auto"/>
              </w:rPr>
            </w:pPr>
            <w:r>
              <w:rPr>
                <w:rFonts w:ascii="Arial" w:cs="Arial" w:eastAsia="Arial" w:hAnsi="Arial"/>
                <w:sz w:val="12"/>
                <w:szCs w:val="12"/>
                <w:b w:val="1"/>
                <w:bCs w:val="1"/>
                <w:color w:val="auto"/>
              </w:rPr>
              <w:t>Interests -</w:t>
            </w: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General</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Limited</w:t>
            </w:r>
          </w:p>
        </w:tc>
        <w:tc>
          <w:tcPr>
            <w:tcW w:w="1100" w:type="dxa"/>
            <w:vAlign w:val="bottom"/>
            <w:gridSpan w:val="3"/>
          </w:tcPr>
          <w:p>
            <w:pPr>
              <w:ind w:left="20"/>
              <w:spacing w:after="0" w:line="120" w:lineRule="exact"/>
              <w:rPr>
                <w:sz w:val="20"/>
                <w:szCs w:val="20"/>
                <w:color w:val="auto"/>
              </w:rPr>
            </w:pPr>
            <w:r>
              <w:rPr>
                <w:rFonts w:ascii="Arial" w:cs="Arial" w:eastAsia="Arial" w:hAnsi="Arial"/>
                <w:sz w:val="12"/>
                <w:szCs w:val="12"/>
                <w:b w:val="1"/>
                <w:bCs w:val="1"/>
                <w:color w:val="auto"/>
              </w:rPr>
              <w:t>Capital (General</w:t>
            </w:r>
          </w:p>
        </w:tc>
        <w:tc>
          <w:tcPr>
            <w:tcW w:w="8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Interests -</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50"/>
              <w:spacing w:after="0" w:line="120" w:lineRule="exact"/>
              <w:rPr>
                <w:sz w:val="20"/>
                <w:szCs w:val="20"/>
                <w:color w:val="auto"/>
              </w:rPr>
            </w:pPr>
            <w:r>
              <w:rPr>
                <w:rFonts w:ascii="Arial" w:cs="Arial" w:eastAsia="Arial" w:hAnsi="Arial"/>
                <w:sz w:val="12"/>
                <w:szCs w:val="12"/>
                <w:b w:val="1"/>
                <w:bCs w:val="1"/>
                <w:color w:val="auto"/>
              </w:rPr>
              <w:t>Redeemable</w:t>
            </w: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and Limited</w:t>
            </w:r>
          </w:p>
        </w:tc>
        <w:tc>
          <w:tcPr>
            <w:tcW w:w="800" w:type="dxa"/>
            <w:vAlign w:val="bottom"/>
            <w:gridSpan w:val="3"/>
            <w:vMerge w:val="continue"/>
          </w:tcPr>
          <w:p>
            <w:pPr>
              <w:spacing w:after="0"/>
              <w:rPr>
                <w:sz w:val="10"/>
                <w:szCs w:val="10"/>
                <w:color w:val="auto"/>
              </w:rPr>
            </w:pPr>
          </w:p>
        </w:tc>
        <w:tc>
          <w:tcPr>
            <w:tcW w:w="112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Property</w:t>
            </w: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 Capital</w:t>
            </w:r>
          </w:p>
        </w:tc>
        <w:tc>
          <w:tcPr>
            <w:tcW w:w="1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50"/>
              <w:spacing w:after="0" w:line="120" w:lineRule="exact"/>
              <w:rPr>
                <w:sz w:val="20"/>
                <w:szCs w:val="20"/>
                <w:color w:val="auto"/>
              </w:rPr>
            </w:pPr>
            <w:r>
              <w:rPr>
                <w:rFonts w:ascii="Arial" w:cs="Arial" w:eastAsia="Arial" w:hAnsi="Arial"/>
                <w:sz w:val="12"/>
                <w:szCs w:val="12"/>
                <w:b w:val="1"/>
                <w:bCs w:val="1"/>
                <w:color w:val="auto"/>
              </w:rPr>
              <w:t>Partnership</w:t>
            </w:r>
          </w:p>
        </w:tc>
        <w:tc>
          <w:tcPr>
            <w:tcW w:w="0" w:type="dxa"/>
            <w:vAlign w:val="bottom"/>
          </w:tcPr>
          <w:p>
            <w:pPr>
              <w:spacing w:after="0"/>
              <w:rPr>
                <w:sz w:val="1"/>
                <w:szCs w:val="1"/>
                <w:color w:val="auto"/>
              </w:rPr>
            </w:pPr>
          </w:p>
        </w:tc>
      </w:tr>
      <w:tr>
        <w:trPr>
          <w:trHeight w:val="168"/>
        </w:trPr>
        <w:tc>
          <w:tcPr>
            <w:tcW w:w="3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Partner</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Partner</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Partners)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Units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Loss</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Partnerships</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Units</w:t>
            </w:r>
          </w:p>
        </w:tc>
        <w:tc>
          <w:tcPr>
            <w:tcW w:w="0" w:type="dxa"/>
            <w:vAlign w:val="bottom"/>
          </w:tcPr>
          <w:p>
            <w:pPr>
              <w:spacing w:after="0"/>
              <w:rPr>
                <w:sz w:val="1"/>
                <w:szCs w:val="1"/>
                <w:color w:val="auto"/>
              </w:rPr>
            </w:pPr>
          </w:p>
        </w:tc>
      </w:tr>
      <w:tr>
        <w:trPr>
          <w:trHeight w:val="185"/>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Equity, March 31, 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8"/>
              </w:rPr>
              <w:t>154,338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4,392,624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1,725,600</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7"/>
              </w:rPr>
              <w:t>$ 6,073,085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1,780,044</w:t>
            </w:r>
          </w:p>
        </w:tc>
        <w:tc>
          <w:tcPr>
            <w:tcW w:w="0" w:type="dxa"/>
            <w:vAlign w:val="bottom"/>
          </w:tcPr>
          <w:p>
            <w:pPr>
              <w:spacing w:after="0"/>
              <w:rPr>
                <w:sz w:val="1"/>
                <w:szCs w:val="1"/>
                <w:color w:val="auto"/>
              </w:rPr>
            </w:pPr>
          </w:p>
        </w:tc>
      </w:tr>
      <w:tr>
        <w:trPr>
          <w:trHeight w:val="151"/>
        </w:trPr>
        <w:tc>
          <w:tcPr>
            <w:tcW w:w="3480" w:type="dxa"/>
            <w:vAlign w:val="bottom"/>
          </w:tcPr>
          <w:p>
            <w:pPr>
              <w:spacing w:after="0" w:line="151" w:lineRule="exact"/>
              <w:rPr>
                <w:sz w:val="20"/>
                <w:szCs w:val="20"/>
                <w:color w:val="auto"/>
              </w:rPr>
            </w:pPr>
            <w:r>
              <w:rPr>
                <w:rFonts w:ascii="Arial" w:cs="Arial" w:eastAsia="Arial" w:hAnsi="Arial"/>
                <w:sz w:val="14"/>
                <w:szCs w:val="14"/>
                <w:color w:val="auto"/>
              </w:rPr>
              <w:t>Net activity from contributions and unearned</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(294)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13,191</w:t>
            </w:r>
          </w:p>
        </w:tc>
        <w:tc>
          <w:tcPr>
            <w:tcW w:w="0" w:type="dxa"/>
            <w:vAlign w:val="bottom"/>
          </w:tcPr>
          <w:p>
            <w:pPr>
              <w:spacing w:after="0"/>
              <w:rPr>
                <w:sz w:val="1"/>
                <w:szCs w:val="1"/>
                <w:color w:val="auto"/>
              </w:rPr>
            </w:pPr>
          </w:p>
        </w:tc>
      </w:tr>
      <w:tr>
        <w:trPr>
          <w:trHeight w:val="168"/>
        </w:trPr>
        <w:tc>
          <w:tcPr>
            <w:tcW w:w="348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113,508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17,164</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130,672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12,338</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(153,013)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(153,013)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(17,253)</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Conversion of redeemable partnership units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2,087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51"/>
        </w:trPr>
        <w:tc>
          <w:tcPr>
            <w:tcW w:w="3480" w:type="dxa"/>
            <w:vAlign w:val="bottom"/>
          </w:tcPr>
          <w:p>
            <w:pPr>
              <w:spacing w:after="0" w:line="151"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(222,032)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(222,032)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222,032</w:t>
            </w:r>
          </w:p>
        </w:tc>
        <w:tc>
          <w:tcPr>
            <w:tcW w:w="0" w:type="dxa"/>
            <w:vAlign w:val="bottom"/>
          </w:tcPr>
          <w:p>
            <w:pPr>
              <w:spacing w:after="0"/>
              <w:rPr>
                <w:sz w:val="1"/>
                <w:szCs w:val="1"/>
                <w:color w:val="auto"/>
              </w:rPr>
            </w:pPr>
          </w:p>
        </w:tc>
      </w:tr>
      <w:tr>
        <w:trPr>
          <w:trHeight w:val="168"/>
        </w:trPr>
        <w:tc>
          <w:tcPr>
            <w:tcW w:w="3480" w:type="dxa"/>
            <w:vAlign w:val="bottom"/>
          </w:tcPr>
          <w:p>
            <w:pPr>
              <w:ind w:left="8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1,380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1,524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51"/>
        </w:trPr>
        <w:tc>
          <w:tcPr>
            <w:tcW w:w="34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Contributions from noncontrolling interests in property</w:t>
            </w:r>
          </w:p>
        </w:tc>
        <w:tc>
          <w:tcPr>
            <w:tcW w:w="9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2,139</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2,139</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480" w:type="dxa"/>
            <w:vAlign w:val="bottom"/>
          </w:tcPr>
          <w:p>
            <w:pPr>
              <w:spacing w:after="0" w:line="151" w:lineRule="exact"/>
              <w:rPr>
                <w:sz w:val="20"/>
                <w:szCs w:val="20"/>
                <w:color w:val="auto"/>
              </w:rPr>
            </w:pPr>
            <w:r>
              <w:rPr>
                <w:rFonts w:ascii="Arial" w:cs="Arial" w:eastAsia="Arial" w:hAnsi="Arial"/>
                <w:sz w:val="14"/>
                <w:szCs w:val="14"/>
                <w:color w:val="auto"/>
              </w:rPr>
              <w:t>Distributions to noncontrolling interests in property</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(19,704)</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(19,704)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partnerships</w:t>
            </w: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Equity, June 30, 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8"/>
              </w:rPr>
              <w:t>154,399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4,132,880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1,725,343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5,815,057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2,008,478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Equity, March 31, 2020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8"/>
              </w:rPr>
              <w:t>153,584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4,626,627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1,736,445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7"/>
              </w:rPr>
              <w:t>$ 6,500,995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1,639,855</w:t>
            </w:r>
          </w:p>
        </w:tc>
        <w:tc>
          <w:tcPr>
            <w:tcW w:w="0" w:type="dxa"/>
            <w:vAlign w:val="bottom"/>
          </w:tcPr>
          <w:p>
            <w:pPr>
              <w:spacing w:after="0"/>
              <w:rPr>
                <w:sz w:val="1"/>
                <w:szCs w:val="1"/>
                <w:color w:val="auto"/>
              </w:rPr>
            </w:pPr>
          </w:p>
        </w:tc>
      </w:tr>
      <w:tr>
        <w:trPr>
          <w:trHeight w:val="151"/>
        </w:trPr>
        <w:tc>
          <w:tcPr>
            <w:tcW w:w="3480" w:type="dxa"/>
            <w:vAlign w:val="bottom"/>
          </w:tcPr>
          <w:p>
            <w:pPr>
              <w:spacing w:after="0" w:line="151" w:lineRule="exact"/>
              <w:rPr>
                <w:sz w:val="20"/>
                <w:szCs w:val="20"/>
                <w:color w:val="auto"/>
              </w:rPr>
            </w:pPr>
            <w:r>
              <w:rPr>
                <w:rFonts w:ascii="Arial" w:cs="Arial" w:eastAsia="Arial" w:hAnsi="Arial"/>
                <w:sz w:val="14"/>
                <w:szCs w:val="14"/>
                <w:color w:val="auto"/>
              </w:rPr>
              <w:t>Net activity from contributions and unearned</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873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873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9,352</w:t>
            </w:r>
          </w:p>
        </w:tc>
        <w:tc>
          <w:tcPr>
            <w:tcW w:w="0" w:type="dxa"/>
            <w:vAlign w:val="bottom"/>
          </w:tcPr>
          <w:p>
            <w:pPr>
              <w:spacing w:after="0"/>
              <w:rPr>
                <w:sz w:val="1"/>
                <w:szCs w:val="1"/>
                <w:color w:val="auto"/>
              </w:rPr>
            </w:pPr>
          </w:p>
        </w:tc>
      </w:tr>
      <w:tr>
        <w:trPr>
          <w:trHeight w:val="168"/>
        </w:trPr>
        <w:tc>
          <w:tcPr>
            <w:tcW w:w="348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(loss) for the period</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271,989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273,847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29,986</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(152,507)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(155,132)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(17,194)</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Conversion of redeemable partnership units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10,849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10,849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(10,849)</w:t>
            </w:r>
          </w:p>
        </w:tc>
        <w:tc>
          <w:tcPr>
            <w:tcW w:w="0" w:type="dxa"/>
            <w:vAlign w:val="bottom"/>
          </w:tcPr>
          <w:p>
            <w:pPr>
              <w:spacing w:after="0"/>
              <w:rPr>
                <w:sz w:val="1"/>
                <w:szCs w:val="1"/>
                <w:color w:val="auto"/>
              </w:rPr>
            </w:pPr>
          </w:p>
        </w:tc>
      </w:tr>
      <w:tr>
        <w:trPr>
          <w:trHeight w:val="151"/>
        </w:trPr>
        <w:tc>
          <w:tcPr>
            <w:tcW w:w="3480" w:type="dxa"/>
            <w:vAlign w:val="bottom"/>
          </w:tcPr>
          <w:p>
            <w:pPr>
              <w:spacing w:after="0" w:line="151"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70,235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70,235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(70,235)</w:t>
            </w:r>
          </w:p>
        </w:tc>
        <w:tc>
          <w:tcPr>
            <w:tcW w:w="0" w:type="dxa"/>
            <w:vAlign w:val="bottom"/>
          </w:tcPr>
          <w:p>
            <w:pPr>
              <w:spacing w:after="0"/>
              <w:rPr>
                <w:sz w:val="1"/>
                <w:szCs w:val="1"/>
                <w:color w:val="auto"/>
              </w:rPr>
            </w:pPr>
          </w:p>
        </w:tc>
      </w:tr>
      <w:tr>
        <w:trPr>
          <w:trHeight w:val="168"/>
        </w:trPr>
        <w:tc>
          <w:tcPr>
            <w:tcW w:w="3480" w:type="dxa"/>
            <w:vAlign w:val="bottom"/>
          </w:tcPr>
          <w:p>
            <w:pPr>
              <w:ind w:left="8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1,380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1,524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1"/>
        </w:trPr>
        <w:tc>
          <w:tcPr>
            <w:tcW w:w="34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Contributions from noncontrolling interests in property</w:t>
            </w:r>
          </w:p>
        </w:tc>
        <w:tc>
          <w:tcPr>
            <w:tcW w:w="9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2,081</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2,081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480" w:type="dxa"/>
            <w:vAlign w:val="bottom"/>
          </w:tcPr>
          <w:p>
            <w:pPr>
              <w:spacing w:after="0" w:line="151" w:lineRule="exact"/>
              <w:rPr>
                <w:sz w:val="20"/>
                <w:szCs w:val="20"/>
                <w:color w:val="auto"/>
              </w:rPr>
            </w:pPr>
            <w:r>
              <w:rPr>
                <w:rFonts w:ascii="Arial" w:cs="Arial" w:eastAsia="Arial" w:hAnsi="Arial"/>
                <w:sz w:val="14"/>
                <w:szCs w:val="14"/>
                <w:color w:val="auto"/>
              </w:rPr>
              <w:t>Distributions to noncontrolling interests in property</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(13,315)</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(13,315)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480" w:type="dxa"/>
            <w:vAlign w:val="bottom"/>
          </w:tcPr>
          <w:p>
            <w:pPr>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Equity, June 30,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8"/>
              </w:rPr>
              <w:t>153,891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4,828,066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1,724,588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6,691,356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1,581,010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7" w:lineRule="exact"/>
        <w:rPr>
          <w:sz w:val="20"/>
          <w:szCs w:val="20"/>
          <w:color w:val="auto"/>
        </w:rPr>
      </w:pPr>
    </w:p>
    <w:p>
      <w:pPr>
        <w:jc w:val="center"/>
        <w:ind w:left="360" w:right="2460"/>
        <w:spacing w:after="0" w:line="314"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92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w w:val="99"/>
              </w:rPr>
              <w:t>Units</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Partners’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9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Noncontrolling</w:t>
            </w: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50"/>
              <w:spacing w:after="0" w:line="120" w:lineRule="exact"/>
              <w:rPr>
                <w:sz w:val="20"/>
                <w:szCs w:val="20"/>
                <w:color w:val="auto"/>
              </w:rPr>
            </w:pPr>
            <w:r>
              <w:rPr>
                <w:rFonts w:ascii="Arial" w:cs="Arial" w:eastAsia="Arial" w:hAnsi="Arial"/>
                <w:sz w:val="12"/>
                <w:szCs w:val="12"/>
                <w:b w:val="1"/>
                <w:bCs w:val="1"/>
                <w:color w:val="auto"/>
              </w:rPr>
              <w:t>Interests -</w:t>
            </w: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General</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Limited</w:t>
            </w:r>
          </w:p>
        </w:tc>
        <w:tc>
          <w:tcPr>
            <w:tcW w:w="1100" w:type="dxa"/>
            <w:vAlign w:val="bottom"/>
            <w:gridSpan w:val="3"/>
          </w:tcPr>
          <w:p>
            <w:pPr>
              <w:ind w:left="20"/>
              <w:spacing w:after="0" w:line="120" w:lineRule="exact"/>
              <w:rPr>
                <w:sz w:val="20"/>
                <w:szCs w:val="20"/>
                <w:color w:val="auto"/>
              </w:rPr>
            </w:pPr>
            <w:r>
              <w:rPr>
                <w:rFonts w:ascii="Arial" w:cs="Arial" w:eastAsia="Arial" w:hAnsi="Arial"/>
                <w:sz w:val="12"/>
                <w:szCs w:val="12"/>
                <w:b w:val="1"/>
                <w:bCs w:val="1"/>
                <w:color w:val="auto"/>
              </w:rPr>
              <w:t>Capital (General</w:t>
            </w: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Interests -</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50"/>
              <w:spacing w:after="0" w:line="120" w:lineRule="exact"/>
              <w:rPr>
                <w:sz w:val="20"/>
                <w:szCs w:val="20"/>
                <w:color w:val="auto"/>
              </w:rPr>
            </w:pPr>
            <w:r>
              <w:rPr>
                <w:rFonts w:ascii="Arial" w:cs="Arial" w:eastAsia="Arial" w:hAnsi="Arial"/>
                <w:sz w:val="12"/>
                <w:szCs w:val="12"/>
                <w:b w:val="1"/>
                <w:bCs w:val="1"/>
                <w:color w:val="auto"/>
              </w:rPr>
              <w:t>Redeemable</w:t>
            </w: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and Limited</w:t>
            </w:r>
          </w:p>
        </w:tc>
        <w:tc>
          <w:tcPr>
            <w:tcW w:w="800" w:type="dxa"/>
            <w:vAlign w:val="bottom"/>
            <w:gridSpan w:val="3"/>
            <w:vMerge w:val="continue"/>
          </w:tcPr>
          <w:p>
            <w:pPr>
              <w:spacing w:after="0"/>
              <w:rPr>
                <w:sz w:val="10"/>
                <w:szCs w:val="10"/>
                <w:color w:val="auto"/>
              </w:rPr>
            </w:pPr>
          </w:p>
        </w:tc>
        <w:tc>
          <w:tcPr>
            <w:tcW w:w="112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Property</w:t>
            </w:r>
          </w:p>
        </w:tc>
        <w:tc>
          <w:tcPr>
            <w:tcW w:w="10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Total Capital</w:t>
            </w:r>
          </w:p>
        </w:tc>
        <w:tc>
          <w:tcPr>
            <w:tcW w:w="100" w:type="dxa"/>
            <w:vAlign w:val="bottom"/>
          </w:tcPr>
          <w:p>
            <w:pPr>
              <w:spacing w:after="0"/>
              <w:rPr>
                <w:sz w:val="10"/>
                <w:szCs w:val="10"/>
                <w:color w:val="auto"/>
              </w:rPr>
            </w:pPr>
          </w:p>
        </w:tc>
        <w:tc>
          <w:tcPr>
            <w:tcW w:w="920" w:type="dxa"/>
            <w:vAlign w:val="bottom"/>
          </w:tcPr>
          <w:p>
            <w:pPr>
              <w:jc w:val="center"/>
              <w:ind w:right="50"/>
              <w:spacing w:after="0" w:line="120" w:lineRule="exact"/>
              <w:rPr>
                <w:sz w:val="20"/>
                <w:szCs w:val="20"/>
                <w:color w:val="auto"/>
              </w:rPr>
            </w:pPr>
            <w:r>
              <w:rPr>
                <w:rFonts w:ascii="Arial" w:cs="Arial" w:eastAsia="Arial" w:hAnsi="Arial"/>
                <w:sz w:val="12"/>
                <w:szCs w:val="12"/>
                <w:b w:val="1"/>
                <w:bCs w:val="1"/>
                <w:color w:val="auto"/>
              </w:rPr>
              <w:t>Partnership</w:t>
            </w: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Partner</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Partner</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Partners)</w:t>
            </w:r>
          </w:p>
        </w:tc>
        <w:tc>
          <w:tcPr>
            <w:tcW w:w="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Units</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Loss</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Partnerships</w:t>
            </w: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50"/>
              <w:spacing w:after="0"/>
              <w:rPr>
                <w:sz w:val="20"/>
                <w:szCs w:val="20"/>
                <w:color w:val="auto"/>
              </w:rPr>
            </w:pPr>
            <w:r>
              <w:rPr>
                <w:rFonts w:ascii="Arial" w:cs="Arial" w:eastAsia="Arial" w:hAnsi="Arial"/>
                <w:sz w:val="12"/>
                <w:szCs w:val="12"/>
                <w:b w:val="1"/>
                <w:bCs w:val="1"/>
                <w:color w:val="auto"/>
              </w:rPr>
              <w:t>Units</w:t>
            </w:r>
          </w:p>
        </w:tc>
        <w:tc>
          <w:tcPr>
            <w:tcW w:w="0" w:type="dxa"/>
            <w:vAlign w:val="bottom"/>
          </w:tcPr>
          <w:p>
            <w:pPr>
              <w:spacing w:after="0"/>
              <w:rPr>
                <w:sz w:val="1"/>
                <w:szCs w:val="1"/>
                <w:color w:val="auto"/>
              </w:rPr>
            </w:pPr>
          </w:p>
        </w:tc>
      </w:tr>
      <w:tr>
        <w:trPr>
          <w:trHeight w:val="185"/>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Equity, December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8"/>
              </w:rPr>
              <w:t>153,988</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4,554,639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(49,890)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1,726,933</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7"/>
              </w:rPr>
              <w:t>$ 6,425,305</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1,643,024</w:t>
            </w:r>
          </w:p>
        </w:tc>
        <w:tc>
          <w:tcPr>
            <w:tcW w:w="0" w:type="dxa"/>
            <w:vAlign w:val="bottom"/>
          </w:tcPr>
          <w:p>
            <w:pPr>
              <w:spacing w:after="0"/>
              <w:rPr>
                <w:sz w:val="1"/>
                <w:szCs w:val="1"/>
                <w:color w:val="auto"/>
              </w:rPr>
            </w:pPr>
          </w:p>
        </w:tc>
      </w:tr>
      <w:tr>
        <w:trPr>
          <w:trHeight w:val="151"/>
        </w:trPr>
        <w:tc>
          <w:tcPr>
            <w:tcW w:w="3480" w:type="dxa"/>
            <w:vAlign w:val="bottom"/>
          </w:tcPr>
          <w:p>
            <w:pPr>
              <w:spacing w:after="0" w:line="151" w:lineRule="exact"/>
              <w:rPr>
                <w:sz w:val="20"/>
                <w:szCs w:val="20"/>
                <w:color w:val="auto"/>
              </w:rPr>
            </w:pPr>
            <w:r>
              <w:rPr>
                <w:rFonts w:ascii="Arial" w:cs="Arial" w:eastAsia="Arial" w:hAnsi="Arial"/>
                <w:sz w:val="14"/>
                <w:szCs w:val="14"/>
                <w:color w:val="auto"/>
              </w:rPr>
              <w:t>Net activity from contributions and unearned</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235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20,195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20,195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31,653</w:t>
            </w:r>
          </w:p>
        </w:tc>
        <w:tc>
          <w:tcPr>
            <w:tcW w:w="0" w:type="dxa"/>
            <w:vAlign w:val="bottom"/>
          </w:tcPr>
          <w:p>
            <w:pPr>
              <w:spacing w:after="0"/>
              <w:rPr>
                <w:sz w:val="1"/>
                <w:szCs w:val="1"/>
                <w:color w:val="auto"/>
              </w:rPr>
            </w:pPr>
          </w:p>
        </w:tc>
      </w:tr>
      <w:tr>
        <w:trPr>
          <w:trHeight w:val="168"/>
        </w:trPr>
        <w:tc>
          <w:tcPr>
            <w:tcW w:w="3480" w:type="dxa"/>
            <w:vAlign w:val="bottom"/>
          </w:tcPr>
          <w:p>
            <w:pPr>
              <w:spacing w:after="0"/>
              <w:rPr>
                <w:sz w:val="20"/>
                <w:szCs w:val="20"/>
                <w:color w:val="auto"/>
              </w:rPr>
            </w:pPr>
            <w:r>
              <w:rPr>
                <w:rFonts w:ascii="Arial" w:cs="Arial" w:eastAsia="Arial" w:hAnsi="Arial"/>
                <w:sz w:val="14"/>
                <w:szCs w:val="14"/>
                <w:color w:val="auto"/>
              </w:rPr>
              <w:t>compensation</w:t>
            </w: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214,609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33,631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250,800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23,422</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(305,966)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(308,526)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(34,540)</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Preferred unit redemption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color w:val="auto"/>
              </w:rPr>
              <w:t>Preferred unit redemption charge</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(6,412)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Conversion of redeemable partnership units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6,285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6,285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(6,285)</w:t>
            </w:r>
          </w:p>
        </w:tc>
        <w:tc>
          <w:tcPr>
            <w:tcW w:w="0" w:type="dxa"/>
            <w:vAlign w:val="bottom"/>
          </w:tcPr>
          <w:p>
            <w:pPr>
              <w:spacing w:after="0"/>
              <w:rPr>
                <w:sz w:val="1"/>
                <w:szCs w:val="1"/>
                <w:color w:val="auto"/>
              </w:rPr>
            </w:pPr>
          </w:p>
        </w:tc>
      </w:tr>
      <w:tr>
        <w:trPr>
          <w:trHeight w:val="151"/>
        </w:trPr>
        <w:tc>
          <w:tcPr>
            <w:tcW w:w="3480" w:type="dxa"/>
            <w:vAlign w:val="bottom"/>
          </w:tcPr>
          <w:p>
            <w:pPr>
              <w:spacing w:after="0" w:line="151"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(350,470)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(350,470)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350,470</w:t>
            </w:r>
          </w:p>
        </w:tc>
        <w:tc>
          <w:tcPr>
            <w:tcW w:w="0" w:type="dxa"/>
            <w:vAlign w:val="bottom"/>
          </w:tcPr>
          <w:p>
            <w:pPr>
              <w:spacing w:after="0"/>
              <w:rPr>
                <w:sz w:val="1"/>
                <w:szCs w:val="1"/>
                <w:color w:val="auto"/>
              </w:rPr>
            </w:pPr>
          </w:p>
        </w:tc>
      </w:tr>
      <w:tr>
        <w:trPr>
          <w:trHeight w:val="168"/>
        </w:trPr>
        <w:tc>
          <w:tcPr>
            <w:tcW w:w="3480" w:type="dxa"/>
            <w:vAlign w:val="bottom"/>
          </w:tcPr>
          <w:p>
            <w:pPr>
              <w:ind w:left="8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3,962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2,762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3,050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51"/>
        </w:trPr>
        <w:tc>
          <w:tcPr>
            <w:tcW w:w="34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Contributions from noncontrolling interests in property</w:t>
            </w:r>
          </w:p>
        </w:tc>
        <w:tc>
          <w:tcPr>
            <w:tcW w:w="9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2,420</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480" w:type="dxa"/>
            <w:vAlign w:val="bottom"/>
          </w:tcPr>
          <w:p>
            <w:pPr>
              <w:spacing w:after="0" w:line="151" w:lineRule="exact"/>
              <w:rPr>
                <w:sz w:val="20"/>
                <w:szCs w:val="20"/>
                <w:color w:val="auto"/>
              </w:rPr>
            </w:pPr>
            <w:r>
              <w:rPr>
                <w:rFonts w:ascii="Arial" w:cs="Arial" w:eastAsia="Arial" w:hAnsi="Arial"/>
                <w:sz w:val="14"/>
                <w:szCs w:val="14"/>
                <w:color w:val="auto"/>
              </w:rPr>
              <w:t>Distributions to noncontrolling interests in property</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(37,929)</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(37,929)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4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partnerships</w:t>
            </w: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Equity, June 30, 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8"/>
              </w:rPr>
              <w:t>154,399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4,132,880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1,725,343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5,815,057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2,008,478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Equity, December 31, 2019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8"/>
              </w:rPr>
              <w:t>153,063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3,380,175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1,728,689</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7"/>
              </w:rPr>
              <w:t>$ 5,254,152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2,468,753</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color w:val="auto"/>
              </w:rPr>
              <w:t>Cumulative effect of a change in accounting principle</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(1,505)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51"/>
        </w:trPr>
        <w:tc>
          <w:tcPr>
            <w:tcW w:w="34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Net activity from contributions and unearned</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8,581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8,581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25,029</w:t>
            </w:r>
          </w:p>
        </w:tc>
        <w:tc>
          <w:tcPr>
            <w:tcW w:w="0" w:type="dxa"/>
            <w:vAlign w:val="bottom"/>
          </w:tcPr>
          <w:p>
            <w:pPr>
              <w:spacing w:after="0"/>
              <w:rPr>
                <w:sz w:val="1"/>
                <w:szCs w:val="1"/>
                <w:color w:val="auto"/>
              </w:rPr>
            </w:pPr>
          </w:p>
        </w:tc>
      </w:tr>
      <w:tr>
        <w:trPr>
          <w:trHeight w:val="168"/>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780,783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18,719</w:t>
            </w:r>
          </w:p>
        </w:tc>
        <w:tc>
          <w:tcPr>
            <w:tcW w:w="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804,752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87,525</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Distributions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(304,715)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(309,965)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(34,638)</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color w:val="auto"/>
              </w:rPr>
              <w:t>Conversion of redeemable partnership units</w:t>
            </w: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760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26,344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26,344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(26,344)</w:t>
            </w:r>
          </w:p>
        </w:tc>
        <w:tc>
          <w:tcPr>
            <w:tcW w:w="0" w:type="dxa"/>
            <w:vAlign w:val="bottom"/>
          </w:tcPr>
          <w:p>
            <w:pPr>
              <w:spacing w:after="0"/>
              <w:rPr>
                <w:sz w:val="1"/>
                <w:szCs w:val="1"/>
                <w:color w:val="auto"/>
              </w:rPr>
            </w:pPr>
          </w:p>
        </w:tc>
      </w:tr>
      <w:tr>
        <w:trPr>
          <w:trHeight w:val="151"/>
        </w:trPr>
        <w:tc>
          <w:tcPr>
            <w:tcW w:w="34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938,403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938,403</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(938,403)</w:t>
            </w:r>
          </w:p>
        </w:tc>
        <w:tc>
          <w:tcPr>
            <w:tcW w:w="0" w:type="dxa"/>
            <w:vAlign w:val="bottom"/>
          </w:tcPr>
          <w:p>
            <w:pPr>
              <w:spacing w:after="0"/>
              <w:rPr>
                <w:sz w:val="1"/>
                <w:szCs w:val="1"/>
                <w:color w:val="auto"/>
              </w:rPr>
            </w:pPr>
          </w:p>
        </w:tc>
      </w:tr>
      <w:tr>
        <w:trPr>
          <w:trHeight w:val="168"/>
        </w:trPr>
        <w:tc>
          <w:tcPr>
            <w:tcW w:w="3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(9,333)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2,747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3,035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51"/>
        </w:trPr>
        <w:tc>
          <w:tcPr>
            <w:tcW w:w="3480" w:type="dxa"/>
            <w:vAlign w:val="bottom"/>
          </w:tcPr>
          <w:p>
            <w:pPr>
              <w:spacing w:after="0" w:line="151" w:lineRule="exact"/>
              <w:rPr>
                <w:sz w:val="20"/>
                <w:szCs w:val="20"/>
                <w:color w:val="auto"/>
              </w:rPr>
            </w:pPr>
            <w:r>
              <w:rPr>
                <w:rFonts w:ascii="Arial" w:cs="Arial" w:eastAsia="Arial" w:hAnsi="Arial"/>
                <w:sz w:val="14"/>
                <w:szCs w:val="14"/>
                <w:color w:val="auto"/>
              </w:rPr>
              <w:t>Contributions from noncontrolling interests in property</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5,957</w:t>
            </w:r>
          </w:p>
        </w:tc>
        <w:tc>
          <w:tcPr>
            <w:tcW w:w="80" w:type="dxa"/>
            <w:vAlign w:val="bottom"/>
          </w:tcPr>
          <w:p>
            <w:pPr>
              <w:spacing w:after="0"/>
              <w:rPr>
                <w:sz w:val="13"/>
                <w:szCs w:val="13"/>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5,957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480" w:type="dxa"/>
            <w:vAlign w:val="bottom"/>
          </w:tcPr>
          <w:p>
            <w:pPr>
              <w:ind w:left="80"/>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4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Distributions to noncontrolling interests in property</w:t>
            </w:r>
          </w:p>
        </w:tc>
        <w:tc>
          <w:tcPr>
            <w:tcW w:w="9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(29,065)</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(29,065)</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80" w:type="dxa"/>
            <w:vAlign w:val="bottom"/>
          </w:tcPr>
          <w:p>
            <w:pPr>
              <w:spacing w:after="0"/>
              <w:rPr>
                <w:sz w:val="20"/>
                <w:szCs w:val="20"/>
                <w:color w:val="auto"/>
              </w:rPr>
            </w:pPr>
            <w:r>
              <w:rPr>
                <w:rFonts w:ascii="Arial" w:cs="Arial" w:eastAsia="Arial" w:hAnsi="Arial"/>
                <w:sz w:val="14"/>
                <w:szCs w:val="14"/>
                <w:color w:val="auto"/>
              </w:rPr>
              <w:t>Equity, June 30,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8"/>
              </w:rPr>
              <w:t>153,891</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4,828,066</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193,623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(54,921)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1,724,588</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 xml:space="preserve"> 6,691,356</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1,581,010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6"/>
                <w:szCs w:val="16"/>
                <w:b w:val="1"/>
                <w:bCs w:val="1"/>
                <w:color w:val="auto"/>
              </w:rPr>
              <w:t>Six months ended June 30,</w:t>
            </w:r>
          </w:p>
        </w:tc>
      </w:tr>
      <w:tr>
        <w:trPr>
          <w:trHeight w:val="208"/>
        </w:trPr>
        <w:tc>
          <w:tcPr>
            <w:tcW w:w="79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2020</w:t>
            </w:r>
          </w:p>
        </w:tc>
      </w:tr>
      <w:tr>
        <w:trPr>
          <w:trHeight w:val="19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274,222</w:t>
            </w:r>
          </w:p>
        </w:tc>
        <w:tc>
          <w:tcPr>
            <w:tcW w:w="140" w:type="dxa"/>
            <w:vAlign w:val="bottom"/>
          </w:tcPr>
          <w:p>
            <w:pPr>
              <w:spacing w:after="0"/>
              <w:rPr>
                <w:sz w:val="18"/>
                <w:szCs w:val="18"/>
                <w:color w:val="auto"/>
              </w:rPr>
            </w:pP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892,277</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355,578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345,694</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right of use assets - operating leases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Non-cash compensation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34,370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27,899</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Income from unconsolidated joint ventures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14,387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13,382</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(Gains) losses from investments in securities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Allowance for current expected credit losses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portion of interest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11,483</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Settlement of accreted debt discount on redemption of unsecured senior notes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(6,290)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Losses from early extinguishments of debt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Gains on sales of real estate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(7,756)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(626,895)</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assets and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Tenant and other receivables,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18,516</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Notes receivable,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Accrued rental income,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(39,434)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(43,399)</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(12,057)</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Lease liabilities - operating leases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(20,493)</w:t>
            </w:r>
          </w:p>
        </w:tc>
      </w:tr>
      <w:tr>
        <w:trPr>
          <w:trHeight w:val="210"/>
        </w:trPr>
        <w:tc>
          <w:tcPr>
            <w:tcW w:w="7980" w:type="dxa"/>
            <w:vAlign w:val="bottom"/>
          </w:tcPr>
          <w:p>
            <w:pPr>
              <w:ind w:left="660"/>
              <w:spacing w:after="0"/>
              <w:rPr>
                <w:sz w:val="20"/>
                <w:szCs w:val="20"/>
                <w:color w:val="auto"/>
              </w:rPr>
            </w:pPr>
            <w:r>
              <w:rPr>
                <w:rFonts w:ascii="Arial" w:cs="Arial" w:eastAsia="Arial" w:hAnsi="Arial"/>
                <w:sz w:val="16"/>
                <w:szCs w:val="16"/>
                <w:color w:val="auto"/>
              </w:rPr>
              <w:t>Accrued interest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5,262</w:t>
            </w:r>
          </w:p>
        </w:tc>
      </w:tr>
      <w:tr>
        <w:trPr>
          <w:trHeight w:val="215"/>
        </w:trPr>
        <w:tc>
          <w:tcPr>
            <w:tcW w:w="79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(21,912)</w:t>
            </w:r>
          </w:p>
        </w:tc>
      </w:tr>
      <w:tr>
        <w:trPr>
          <w:trHeight w:val="210"/>
        </w:trPr>
        <w:tc>
          <w:tcPr>
            <w:tcW w:w="79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Tenant leasing costs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(37,068)</w:t>
            </w:r>
          </w:p>
        </w:tc>
      </w:tr>
      <w:tr>
        <w:trPr>
          <w:trHeight w:val="209"/>
        </w:trPr>
        <w:tc>
          <w:tcPr>
            <w:tcW w:w="79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Total adjustments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286,254</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(338,005)</w:t>
            </w:r>
          </w:p>
        </w:tc>
      </w:tr>
      <w:tr>
        <w:trPr>
          <w:trHeight w:val="203"/>
        </w:trPr>
        <w:tc>
          <w:tcPr>
            <w:tcW w:w="798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560,476</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554,272</w:t>
            </w:r>
          </w:p>
        </w:tc>
      </w:tr>
      <w:tr>
        <w:trPr>
          <w:trHeight w:val="19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Acquisitions of real estate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(100,176)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(133,406)</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Construction in progress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(235,577)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(247,615)</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Building and other capital improvements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(66,033)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(68,386)</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improvements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(118,903)</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Proceeds from sales of real estate</w:t>
            </w:r>
          </w:p>
        </w:tc>
        <w:tc>
          <w:tcPr>
            <w:tcW w:w="3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506,337</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contributions to unconsolidated joint ventures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(106,168)</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Capital distributions from unconsolidated joint ventures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54,413</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investment in unconsolidated joint venture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Issuance of notes receivable, net</w:t>
            </w:r>
          </w:p>
        </w:tc>
        <w:tc>
          <w:tcPr>
            <w:tcW w:w="3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(9,800)</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Investments in securities, net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3,006</w:t>
            </w:r>
          </w:p>
        </w:tc>
      </w:tr>
      <w:tr>
        <w:trPr>
          <w:trHeight w:val="203"/>
        </w:trPr>
        <w:tc>
          <w:tcPr>
            <w:tcW w:w="798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(563,611)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(120,522)</w:t>
            </w:r>
          </w:p>
        </w:tc>
      </w:tr>
      <w:tr>
        <w:trPr>
          <w:trHeight w:val="19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Repayments of mortgage notes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(8,477)</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unsecured senior notes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846,345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1,248,125</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Redemption of unsecured senior notes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(843,710)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on unsecured line of credit</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265,000</w:t>
            </w:r>
          </w:p>
        </w:tc>
      </w:tr>
      <w:tr>
        <w:trPr>
          <w:trHeight w:val="208"/>
        </w:trPr>
        <w:tc>
          <w:tcPr>
            <w:tcW w:w="7980" w:type="dxa"/>
            <w:vAlign w:val="bottom"/>
          </w:tcPr>
          <w:p>
            <w:pPr>
              <w:ind w:left="340"/>
              <w:spacing w:after="0"/>
              <w:rPr>
                <w:sz w:val="20"/>
                <w:szCs w:val="20"/>
                <w:color w:val="auto"/>
              </w:rPr>
            </w:pPr>
            <w:r>
              <w:rPr>
                <w:rFonts w:ascii="Arial" w:cs="Arial" w:eastAsia="Arial" w:hAnsi="Arial"/>
                <w:sz w:val="16"/>
                <w:szCs w:val="16"/>
                <w:color w:val="auto"/>
              </w:rPr>
              <w:t>Repayments of unsecured line of credit</w:t>
            </w:r>
          </w:p>
        </w:tc>
        <w:tc>
          <w:tcPr>
            <w:tcW w:w="3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(265,000)</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6"/>
                <w:szCs w:val="16"/>
                <w:b w:val="1"/>
                <w:bCs w:val="1"/>
                <w:color w:val="auto"/>
              </w:rPr>
              <w:t>Six months ended June 30,</w:t>
            </w:r>
          </w:p>
        </w:tc>
      </w:tr>
      <w:tr>
        <w:trPr>
          <w:trHeight w:val="208"/>
        </w:trPr>
        <w:tc>
          <w:tcPr>
            <w:tcW w:w="79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2020</w:t>
            </w:r>
          </w:p>
        </w:tc>
      </w:tr>
      <w:tr>
        <w:trPr>
          <w:trHeight w:val="206"/>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 of unsecured term loan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Redemption of preferred units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finance lease obligations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Deferred financing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(13,642)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(9,465)</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Debt prepayment and extinguishment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Net proceeds from equity transactions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19,580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3,183</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(343,117)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(344,239)</w:t>
            </w: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Contributions from noncontrolling interests in property partnerships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5,957</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(37,929)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(29,065)</w:t>
            </w:r>
          </w:p>
        </w:tc>
      </w:tr>
      <w:tr>
        <w:trPr>
          <w:trHeight w:val="203"/>
        </w:trPr>
        <w:tc>
          <w:tcPr>
            <w:tcW w:w="798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(1,078,914)</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866,019</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and cash held in escrows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(1,082,049)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1,299,769</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1,719,329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691,886</w:t>
            </w:r>
          </w:p>
        </w:tc>
      </w:tr>
      <w:tr>
        <w:trPr>
          <w:trHeight w:val="231"/>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637,280</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1,991,655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1,668,742</w:t>
            </w:r>
          </w:p>
        </w:tc>
        <w:tc>
          <w:tcPr>
            <w:tcW w:w="140" w:type="dxa"/>
            <w:vAlign w:val="bottom"/>
          </w:tcPr>
          <w:p>
            <w:pPr>
              <w:spacing w:after="0"/>
              <w:rPr>
                <w:sz w:val="18"/>
                <w:szCs w:val="18"/>
                <w:color w:val="auto"/>
              </w:rPr>
            </w:pP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644,950</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held in escrows,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50,587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46,936</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1,719,329</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691,886</w:t>
            </w:r>
          </w:p>
        </w:tc>
      </w:tr>
      <w:tr>
        <w:trPr>
          <w:trHeight w:val="235"/>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557,307</w:t>
            </w:r>
          </w:p>
        </w:tc>
        <w:tc>
          <w:tcPr>
            <w:tcW w:w="140" w:type="dxa"/>
            <w:vAlign w:val="bottom"/>
          </w:tcPr>
          <w:p>
            <w:pPr>
              <w:spacing w:after="0"/>
              <w:rPr>
                <w:sz w:val="18"/>
                <w:szCs w:val="18"/>
                <w:color w:val="auto"/>
              </w:rPr>
            </w:pP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1,691,047</w:t>
            </w: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held in escrows, end of period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79,973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300,608</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and cash equivalents and cash held in escrows, end of period</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637,280</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1,991,655</w:t>
            </w:r>
          </w:p>
        </w:tc>
      </w:tr>
      <w:tr>
        <w:trPr>
          <w:trHeight w:val="235"/>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Supplemental disclosures: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226,367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213,754</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capitalized</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25,046</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27,866</w:t>
            </w:r>
          </w:p>
        </w:tc>
      </w:tr>
      <w:tr>
        <w:trPr>
          <w:trHeight w:val="235"/>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Write-off of fully depreciated real estate</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(97,358)</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(50,141)</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(22,822)</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(25,461)</w:t>
            </w:r>
          </w:p>
        </w:tc>
      </w:tr>
      <w:tr>
        <w:trPr>
          <w:trHeight w:val="209"/>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Right-of-use assets obtained in exchange for lease liabilities</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26,887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Accrued rental income, net deconsolidated</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(4,558)</w:t>
            </w:r>
          </w:p>
        </w:tc>
      </w:tr>
      <w:tr>
        <w:trPr>
          <w:trHeight w:val="209"/>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leasing costs, net deconsolidated</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Building and other capital improvements, net deconsolidated</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(111,889)</w:t>
            </w:r>
          </w:p>
        </w:tc>
      </w:tr>
      <w:tr>
        <w:trPr>
          <w:trHeight w:val="209"/>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improvements, net deconsolidated</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(12,331)</w:t>
            </w:r>
          </w:p>
        </w:tc>
      </w:tr>
      <w:tr>
        <w:trPr>
          <w:trHeight w:val="203"/>
        </w:trPr>
        <w:tc>
          <w:tcPr>
            <w:tcW w:w="7980" w:type="dxa"/>
            <w:vAlign w:val="bottom"/>
          </w:tcPr>
          <w:p>
            <w:pPr>
              <w:ind w:left="340"/>
              <w:spacing w:after="0"/>
              <w:rPr>
                <w:sz w:val="20"/>
                <w:szCs w:val="20"/>
                <w:color w:val="auto"/>
              </w:rPr>
            </w:pPr>
            <w:r>
              <w:rPr>
                <w:rFonts w:ascii="Arial" w:cs="Arial" w:eastAsia="Arial" w:hAnsi="Arial"/>
                <w:sz w:val="16"/>
                <w:szCs w:val="16"/>
                <w:color w:val="auto"/>
              </w:rPr>
              <w:t>Investment in unconsolidated joint venture recorded upon deconsolidation</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347,898</w:t>
            </w:r>
          </w:p>
        </w:tc>
      </w:tr>
      <w:tr>
        <w:trPr>
          <w:trHeight w:val="209"/>
        </w:trPr>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Distributions declared but not paid</w:t>
            </w:r>
          </w:p>
        </w:tc>
        <w:tc>
          <w:tcPr>
            <w:tcW w:w="3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169,718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171,077</w:t>
            </w:r>
          </w:p>
        </w:tc>
      </w:tr>
      <w:tr>
        <w:trPr>
          <w:trHeight w:val="20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Conversions of redeemable partnership units to partners’ capital</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6,285</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26,344</w:t>
            </w:r>
          </w:p>
        </w:tc>
      </w:tr>
      <w:tr>
        <w:trPr>
          <w:trHeight w:val="206"/>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42,515</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BOSTON PROPERTIES, INC. AND BOSTON PROPERTIES LIMITED PARTNERSHIP</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firstLine="439"/>
        <w:spacing w:after="0" w:line="266" w:lineRule="auto"/>
        <w:rPr>
          <w:sz w:val="20"/>
          <w:szCs w:val="20"/>
          <w:color w:val="auto"/>
        </w:rPr>
      </w:pPr>
      <w:r>
        <w:rPr>
          <w:rFonts w:ascii="Arial" w:cs="Arial" w:eastAsia="Arial" w:hAnsi="Arial"/>
          <w:sz w:val="17"/>
          <w:szCs w:val="17"/>
          <w:color w:val="auto"/>
        </w:rPr>
        <w:t>Boston Properties, Inc., a Delaware corporation, is a fully integrated, self-administered and self-managed real estate investment trust (“REIT”). Boston Properties, Inc. is the sole general partner of Boston Properties Limited Partnership, its operating partnership, and at June 30, 2021 owned an approximate 89.9% (90.0% at December 31, 2020) general and limited partnership interest in Boston Properties Limited Partnership. Unless stated otherwise or the context requires, the “Company” refers to Boston Properties, Inc. and its subsidiaries, including Boston Properties Limited Partnership and its consolidated subsidiaries. Partnership interests in Boston Properties Limited Partnership include:</w:t>
      </w:r>
    </w:p>
    <w:p>
      <w:pPr>
        <w:spacing w:after="0" w:line="113" w:lineRule="exact"/>
        <w:rPr>
          <w:sz w:val="20"/>
          <w:szCs w:val="20"/>
          <w:color w:val="auto"/>
        </w:rPr>
      </w:pPr>
    </w:p>
    <w:p>
      <w:pPr>
        <w:ind w:left="720" w:hanging="31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units of partnership interest (also referred to as “OP Units”),</w:t>
      </w:r>
    </w:p>
    <w:p>
      <w:pPr>
        <w:spacing w:after="0" w:line="98" w:lineRule="exact"/>
        <w:rPr>
          <w:rFonts w:ascii="Arial" w:cs="Arial" w:eastAsia="Arial" w:hAnsi="Arial"/>
          <w:sz w:val="18"/>
          <w:szCs w:val="18"/>
          <w:color w:val="auto"/>
        </w:rPr>
      </w:pPr>
    </w:p>
    <w:p>
      <w:pPr>
        <w:ind w:left="720" w:hanging="31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 term incentive units of partnership interest (also referred to as “LTIP Units”), and</w:t>
      </w:r>
    </w:p>
    <w:p>
      <w:pPr>
        <w:spacing w:after="0" w:line="98" w:lineRule="exact"/>
        <w:rPr>
          <w:rFonts w:ascii="Arial" w:cs="Arial" w:eastAsia="Arial" w:hAnsi="Arial"/>
          <w:sz w:val="18"/>
          <w:szCs w:val="18"/>
          <w:color w:val="auto"/>
        </w:rPr>
      </w:pPr>
    </w:p>
    <w:p>
      <w:pPr>
        <w:ind w:left="720" w:hanging="31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preferred units of partnership interest (also referred to as “Preferred Units”).</w:t>
      </w:r>
    </w:p>
    <w:p>
      <w:pPr>
        <w:spacing w:after="0" w:line="165" w:lineRule="exact"/>
        <w:rPr>
          <w:sz w:val="20"/>
          <w:szCs w:val="20"/>
          <w:color w:val="auto"/>
        </w:rPr>
      </w:pPr>
    </w:p>
    <w:p>
      <w:pPr>
        <w:ind w:right="40" w:firstLine="439"/>
        <w:spacing w:after="0" w:line="247" w:lineRule="auto"/>
        <w:rPr>
          <w:sz w:val="20"/>
          <w:szCs w:val="20"/>
          <w:color w:val="auto"/>
        </w:rPr>
      </w:pPr>
      <w:r>
        <w:rPr>
          <w:rFonts w:ascii="Arial" w:cs="Arial" w:eastAsia="Arial" w:hAnsi="Arial"/>
          <w:sz w:val="18"/>
          <w:szCs w:val="18"/>
          <w:color w:val="auto"/>
        </w:rPr>
        <w:t>Unless specifically noted otherwise, all references to OP Units exclude units held by Boston Properties, Inc. A holder of an OP Unit may present such OP Unit to Boston Properties Limited Partnership for redemption at any time (subject to restrictions agreed upon at the time of issuance of OP Units to particular holders that may restrict such redemption right for a period of time, generally one year from issuance). Upon presentation of an OP Unit for redemption, Boston Properties Limited Partnership is obligated to redeem the OP Unit for cash equal to the value of a share of common stock of Boston Properties, Inc. (“Common Stock”). In lieu of a cash redemption, Boston Properties, Inc. may elect to acquire the OP Unit for one share of Common Stock. Because the number of shares of Common Stock outstanding at all times equals the number of OP Units that Boston Properties, Inc. owns, one share of Common Stock is generally the economic equivalent of one OP Unit, and the quarterly distribution that may be paid to the holder of an OP Unit equals the quarterly dividend that may be paid to the holder of a share of Common Stock.</w:t>
      </w:r>
    </w:p>
    <w:p>
      <w:pPr>
        <w:spacing w:after="0" w:line="157" w:lineRule="exact"/>
        <w:rPr>
          <w:sz w:val="20"/>
          <w:szCs w:val="20"/>
          <w:color w:val="auto"/>
        </w:rPr>
      </w:pPr>
    </w:p>
    <w:p>
      <w:pPr>
        <w:ind w:firstLine="439"/>
        <w:spacing w:after="0" w:line="263" w:lineRule="auto"/>
        <w:rPr>
          <w:sz w:val="20"/>
          <w:szCs w:val="20"/>
          <w:color w:val="auto"/>
        </w:rPr>
      </w:pPr>
      <w:r>
        <w:rPr>
          <w:rFonts w:ascii="Arial" w:cs="Arial" w:eastAsia="Arial" w:hAnsi="Arial"/>
          <w:sz w:val="17"/>
          <w:szCs w:val="17"/>
          <w:color w:val="auto"/>
        </w:rPr>
        <w:t>The Company uses LTIP Units as a form of time-based, restricted equity compensation and as a form of performance-based equity compensation for employees, and has previously granted LTIP Units in the form of (1) 2012 outperformance plan awards (“2012 OPP Units”) and (2) 2013 - 2021 multi-year, long-term incentive program awards (also referred to as “MYLTIP Units”), each of which, upon the satisfaction of certain performance and vesting conditions, is convertible into one OP Unit. The three-year measurement periods for the 2012 OPP Units and the 2013 - 2018 MYLTIP Units have ended and Boston Properties, Inc.’s total stockholder return (“TSR”) was sufficient for employees to earn and therefore become eligible to vest in a portion of the awards. Unless and until they are earned, the rights, preferences and privileges of the 2019 - 2021 MYLTIP Units differ from other LTIP Units granted to employees (including the 2012 OPP Units and the 2013 - 2018 MYLTIP Units, which have been earned). Therefore, unless specifically noted otherwise, all references to LTIP Units exclude the 2019 - 2021 MYLTIP Units. LTIP Units (including the earned 2012 OPP Units and the earned 2013 - 2018 MYLTIP Units), whether vested or not, will receive the same quarterly per unit distributions as OP Units, which equal per share dividends on Common Stock (See Notes 10 and 14).</w:t>
      </w:r>
    </w:p>
    <w:p>
      <w:pPr>
        <w:spacing w:after="0" w:line="145" w:lineRule="exact"/>
        <w:rPr>
          <w:sz w:val="20"/>
          <w:szCs w:val="20"/>
          <w:color w:val="auto"/>
        </w:rPr>
      </w:pPr>
    </w:p>
    <w:p>
      <w:pPr>
        <w:ind w:right="40" w:firstLine="439"/>
        <w:spacing w:after="0" w:line="247" w:lineRule="auto"/>
        <w:rPr>
          <w:sz w:val="20"/>
          <w:szCs w:val="20"/>
          <w:color w:val="auto"/>
        </w:rPr>
      </w:pPr>
      <w:r>
        <w:rPr>
          <w:rFonts w:ascii="Arial" w:cs="Arial" w:eastAsia="Arial" w:hAnsi="Arial"/>
          <w:sz w:val="18"/>
          <w:szCs w:val="18"/>
          <w:color w:val="auto"/>
        </w:rPr>
        <w:t>At December 31, 2020, there was one series of Preferred Units outstanding (i.e., Series B Preferred Units). The Series B Preferred Units were issued to Boston Properties, Inc. on March 27, 2013 in connection with the issuance of 80,000 shares (8,000,000 depositary shares each representing 1/100th of a share) of 5.25% Series B Cumulative Redeemable Preferred Stock (the “Series B Preferred Stock”). Boston Properties, Inc. contributed the net proceeds from the offering to Boston Properties Limited Partnership in exchange for 80,000 Series B Preferred Units having terms and preferences generally mirroring those of the Series B Preferred Stock. On March 2, 2021, Boston Properties, Inc. issued a redemption notice for 80,000 shares of Series B Preferred Stock, which constituted all of the outstanding Series B Preferred Stock, and the corresponding depositary shares, each representing 1/100th of a share of Series B Preferred Stock (the “Depositary Shares”), and recorded it as a liability. On March 31, 2021, Boston Properties, Inc. transferred the full redemption price for all outstanding shares of Series B Preferred Stock of approximately $201.3 million, including approximately $1.3 million of accrued and unpaid dividends to, but not including, the redemption date, to the redemption agent. On April 1, 2021, Boston Properties, Inc. redeemed 80,000 shares of Series B Preferred Stock (including the corresponding 8,000,000 Depositary Shares), which represented all of the outstanding shares of Series B Preferred Stock and all of the outstanding Depositary Shares. In connection with the redemption of the Series B Preferred Stock, the Series B Preferred Units were also redeemed (See Note 11).</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Properties</w:t>
      </w:r>
    </w:p>
    <w:p>
      <w:pPr>
        <w:spacing w:after="0" w:line="104" w:lineRule="exact"/>
        <w:rPr>
          <w:sz w:val="20"/>
          <w:szCs w:val="20"/>
          <w:color w:val="auto"/>
        </w:rPr>
      </w:pPr>
    </w:p>
    <w:p>
      <w:pPr>
        <w:ind w:right="300" w:firstLine="439"/>
        <w:spacing w:after="0" w:line="271" w:lineRule="auto"/>
        <w:rPr>
          <w:sz w:val="20"/>
          <w:szCs w:val="20"/>
          <w:color w:val="auto"/>
        </w:rPr>
      </w:pPr>
      <w:r>
        <w:rPr>
          <w:rFonts w:ascii="Arial" w:cs="Arial" w:eastAsia="Arial" w:hAnsi="Arial"/>
          <w:sz w:val="17"/>
          <w:szCs w:val="17"/>
          <w:color w:val="auto"/>
        </w:rPr>
        <w:t>At June 30, 2021, the Company owned or had joint venture interests in a portfolio of 197 commercial real estate properties (the “Properties”) aggregating approximately 51.5 million net rentable square feet of primarily Class A office properties, including nine properties under construction/redevelopment totaling approximately 4.3 million net rentable square feet. At June 30, 2021, the Properties consisted of:</w:t>
      </w:r>
    </w:p>
    <w:p>
      <w:pPr>
        <w:spacing w:after="0" w:line="136" w:lineRule="exact"/>
        <w:rPr>
          <w:sz w:val="20"/>
          <w:szCs w:val="20"/>
          <w:color w:val="auto"/>
        </w:rPr>
      </w:pPr>
    </w:p>
    <w:p>
      <w:pPr>
        <w:ind w:left="640" w:hanging="315"/>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178 office properties (including nine properties under construction/redevelopment);</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 retail properties;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six residential properties;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hotel.</w:t>
      </w:r>
    </w:p>
    <w:p>
      <w:pPr>
        <w:spacing w:after="0" w:line="165" w:lineRule="exact"/>
        <w:rPr>
          <w:sz w:val="20"/>
          <w:szCs w:val="20"/>
          <w:color w:val="auto"/>
        </w:rPr>
      </w:pPr>
    </w:p>
    <w:p>
      <w:pPr>
        <w:ind w:right="340" w:firstLine="439"/>
        <w:spacing w:after="0" w:line="249" w:lineRule="auto"/>
        <w:rPr>
          <w:sz w:val="20"/>
          <w:szCs w:val="20"/>
          <w:color w:val="auto"/>
        </w:rPr>
      </w:pPr>
      <w:r>
        <w:rPr>
          <w:rFonts w:ascii="Arial" w:cs="Arial" w:eastAsia="Arial" w:hAnsi="Arial"/>
          <w:sz w:val="18"/>
          <w:szCs w:val="18"/>
          <w:color w:val="auto"/>
        </w:rPr>
        <w:t>The Company considers Class A office properties to be well-located buildings that are modern structures or have been modernized to compete with newer buildings and professionally managed and maintained. As such, these properties attract high-quality tenants and command upper-tier rental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ind w:right="100" w:firstLine="439"/>
        <w:spacing w:after="0" w:line="247" w:lineRule="auto"/>
        <w:rPr>
          <w:sz w:val="20"/>
          <w:szCs w:val="20"/>
          <w:color w:val="auto"/>
        </w:rPr>
      </w:pPr>
      <w:r>
        <w:rPr>
          <w:rFonts w:ascii="Arial" w:cs="Arial" w:eastAsia="Arial" w:hAnsi="Arial"/>
          <w:sz w:val="18"/>
          <w:szCs w:val="18"/>
          <w:color w:val="auto"/>
        </w:rPr>
        <w:t>Boston Properties, Inc. does not have any other significant assets, liabilities or operations, other than its investment in Boston Properties Limited Partnership, nor does it have employees of its own. Boston Properties Limited Partnership, not Boston Properties, Inc., generally executes all significant business relationships other than transactions involving securities of Boston Properties, Inc.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 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spacing w:after="0" w:line="157" w:lineRule="exact"/>
        <w:rPr>
          <w:sz w:val="20"/>
          <w:szCs w:val="20"/>
          <w:color w:val="auto"/>
        </w:rPr>
      </w:pPr>
    </w:p>
    <w:p>
      <w:pPr>
        <w:ind w:right="80" w:firstLine="439"/>
        <w:spacing w:after="0" w:line="247" w:lineRule="auto"/>
        <w:rPr>
          <w:sz w:val="20"/>
          <w:szCs w:val="20"/>
          <w:color w:val="auto"/>
        </w:rPr>
      </w:pPr>
      <w:r>
        <w:rPr>
          <w:rFonts w:ascii="Arial" w:cs="Arial" w:eastAsia="Arial" w:hAnsi="Arial"/>
          <w:sz w:val="18"/>
          <w:szCs w:val="18"/>
          <w:color w:val="auto"/>
        </w:rPr>
        <w:t>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2020.</w:t>
      </w:r>
    </w:p>
    <w:p>
      <w:pPr>
        <w:spacing w:after="0" w:line="157"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The Company bases its estimates on historical experience and on various other assumptions that it considers to be reasonable under the circumstances, including the impact of extraordinary events such as the coronavirus (“COVID-19”) pandemic,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Variable Interest Entities (VIEs)</w:t>
      </w:r>
    </w:p>
    <w:p>
      <w:pPr>
        <w:spacing w:after="0" w:line="121" w:lineRule="exact"/>
        <w:rPr>
          <w:sz w:val="20"/>
          <w:szCs w:val="20"/>
          <w:color w:val="auto"/>
        </w:rPr>
      </w:pPr>
    </w:p>
    <w:p>
      <w:pPr>
        <w:ind w:right="80" w:firstLine="439"/>
        <w:spacing w:after="0" w:line="248" w:lineRule="auto"/>
        <w:rPr>
          <w:sz w:val="20"/>
          <w:szCs w:val="20"/>
          <w:color w:val="auto"/>
        </w:rPr>
      </w:pPr>
      <w:r>
        <w:rPr>
          <w:rFonts w:ascii="Arial" w:cs="Arial" w:eastAsia="Arial" w:hAnsi="Arial"/>
          <w:sz w:val="18"/>
          <w:szCs w:val="18"/>
          <w:color w:val="auto"/>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Company has determined that it is the primary beneficiary for six of the seven entities that are VIEs.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Consolidated Variable Interest Entities</w:t>
      </w:r>
    </w:p>
    <w:p>
      <w:pPr>
        <w:spacing w:after="0" w:line="165" w:lineRule="exact"/>
        <w:rPr>
          <w:sz w:val="20"/>
          <w:szCs w:val="20"/>
          <w:color w:val="auto"/>
        </w:rPr>
      </w:pPr>
    </w:p>
    <w:p>
      <w:pPr>
        <w:ind w:right="180" w:firstLine="439"/>
        <w:spacing w:after="0" w:line="249" w:lineRule="auto"/>
        <w:rPr>
          <w:sz w:val="20"/>
          <w:szCs w:val="20"/>
          <w:color w:val="auto"/>
        </w:rPr>
      </w:pPr>
      <w:r>
        <w:rPr>
          <w:rFonts w:ascii="Arial" w:cs="Arial" w:eastAsia="Arial" w:hAnsi="Arial"/>
          <w:sz w:val="18"/>
          <w:szCs w:val="18"/>
          <w:color w:val="auto"/>
        </w:rPr>
        <w:t>As of June 30, 2021, Boston Properties, Inc. has identified six consolidated VIEs, including Boston Properties Limited Partnership. Excluding Boston Properties Limited Partnership, the VIEs consisted of the following five in-service properties: 767 Fifth Avenue (the General Motors Building), Times Square Tower, 601 Lexington Avenue, Atlantic Wharf Office Building and 100 Federal Street.</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40" w:firstLine="439"/>
        <w:spacing w:after="0" w:line="249" w:lineRule="auto"/>
        <w:rPr>
          <w:sz w:val="20"/>
          <w:szCs w:val="20"/>
          <w:color w:val="auto"/>
        </w:rPr>
      </w:pPr>
      <w:r>
        <w:rPr>
          <w:rFonts w:ascii="Arial" w:cs="Arial" w:eastAsia="Arial" w:hAnsi="Arial"/>
          <w:sz w:val="18"/>
          <w:szCs w:val="18"/>
          <w:color w:val="auto"/>
        </w:rPr>
        <w:t>The Company consolidates these VIEs because it is the primary beneficiary. The third parties’ interests in these consolidated entities (excluding Boston Properties Limited Partnership’s interest) are reflected as noncontrolling interests in property partnerships in the accompanying consolidated financial statements (See Note 10).</w:t>
      </w:r>
    </w:p>
    <w:p>
      <w:pPr>
        <w:spacing w:after="0" w:line="154" w:lineRule="exact"/>
        <w:rPr>
          <w:sz w:val="20"/>
          <w:szCs w:val="20"/>
          <w:color w:val="auto"/>
        </w:rPr>
      </w:pPr>
    </w:p>
    <w:p>
      <w:pPr>
        <w:jc w:val="both"/>
        <w:ind w:right="200" w:firstLine="439"/>
        <w:spacing w:after="0" w:line="281" w:lineRule="auto"/>
        <w:rPr>
          <w:sz w:val="20"/>
          <w:szCs w:val="20"/>
          <w:color w:val="auto"/>
        </w:rPr>
      </w:pPr>
      <w:r>
        <w:rPr>
          <w:rFonts w:ascii="Arial" w:cs="Arial" w:eastAsia="Arial" w:hAnsi="Arial"/>
          <w:sz w:val="17"/>
          <w:szCs w:val="17"/>
          <w:color w:val="auto"/>
        </w:rPr>
        <w:t>In addition, Boston Properties, Inc.’s only significant asset is its investment in Boston Properties Limited Partnership and, consequently, substantially all of Boston Properties, Inc.’s assets and liabilities are the assets and liabilities of Boston Properties Limited Partnership.</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Variable Interest Entities Not Consolidated</w:t>
      </w:r>
    </w:p>
    <w:p>
      <w:pPr>
        <w:spacing w:after="0" w:line="165" w:lineRule="exact"/>
        <w:rPr>
          <w:sz w:val="20"/>
          <w:szCs w:val="20"/>
          <w:color w:val="auto"/>
        </w:rPr>
      </w:pPr>
    </w:p>
    <w:p>
      <w:pPr>
        <w:jc w:val="both"/>
        <w:ind w:right="200" w:firstLine="439"/>
        <w:spacing w:after="0" w:line="249" w:lineRule="auto"/>
        <w:rPr>
          <w:sz w:val="20"/>
          <w:szCs w:val="20"/>
          <w:color w:val="auto"/>
        </w:rPr>
      </w:pPr>
      <w:r>
        <w:rPr>
          <w:rFonts w:ascii="Arial" w:cs="Arial" w:eastAsia="Arial" w:hAnsi="Arial"/>
          <w:sz w:val="18"/>
          <w:szCs w:val="18"/>
          <w:color w:val="auto"/>
        </w:rPr>
        <w:t>The Company has determined that the Platform 16 Holdings LP joint venture is a VIE. The Company does not consolidate this entity as the Company does not have the power to direct the activities that, when taken together, most significantly impact the VIE’s performance and, therefore, the Company is not considered to be the primary beneficiary.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8" w:lineRule="exact"/>
        <w:rPr>
          <w:sz w:val="20"/>
          <w:szCs w:val="20"/>
          <w:color w:val="auto"/>
        </w:rPr>
      </w:pPr>
    </w:p>
    <w:p>
      <w:pPr>
        <w:ind w:right="180" w:firstLine="439"/>
        <w:spacing w:after="0" w:line="271" w:lineRule="auto"/>
        <w:rPr>
          <w:sz w:val="20"/>
          <w:szCs w:val="20"/>
          <w:color w:val="auto"/>
        </w:rPr>
      </w:pPr>
      <w:r>
        <w:rPr>
          <w:rFonts w:ascii="Arial" w:cs="Arial" w:eastAsia="Arial" w:hAnsi="Arial"/>
          <w:sz w:val="17"/>
          <w:szCs w:val="17"/>
          <w:color w:val="auto"/>
        </w:rPr>
        <w:t>The Company follows the authoritative guidance for fair value measurements when valuing its financial instruments for disclosure purposes. The table below presents the financial instruments that are being valued for disclosure purposes as well as the Level at which they are categorized (as defined in Accounting Standards Codification (“ASC”) 820 “Fair Value Measurements and Disclosures” (“ASC 820”)).</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w:t>
            </w:r>
          </w:p>
        </w:tc>
        <w:tc>
          <w:tcPr>
            <w:tcW w:w="81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Level</w:t>
            </w:r>
          </w:p>
        </w:tc>
      </w:tr>
      <w:tr>
        <w:trPr>
          <w:trHeight w:val="22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senior notes (1)</w:t>
            </w:r>
          </w:p>
        </w:tc>
        <w:tc>
          <w:tcPr>
            <w:tcW w:w="8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Level 1</w:t>
            </w:r>
          </w:p>
        </w:tc>
      </w:tr>
      <w:tr>
        <w:trPr>
          <w:trHeight w:val="225"/>
        </w:trPr>
        <w:tc>
          <w:tcPr>
            <w:tcW w:w="3120" w:type="dxa"/>
            <w:vAlign w:val="bottom"/>
          </w:tcPr>
          <w:p>
            <w:pPr>
              <w:ind w:left="20"/>
              <w:spacing w:after="0"/>
              <w:rPr>
                <w:sz w:val="20"/>
                <w:szCs w:val="20"/>
                <w:color w:val="auto"/>
              </w:rPr>
            </w:pPr>
            <w:r>
              <w:rPr>
                <w:rFonts w:ascii="Arial" w:cs="Arial" w:eastAsia="Arial" w:hAnsi="Arial"/>
                <w:sz w:val="18"/>
                <w:szCs w:val="18"/>
                <w:color w:val="auto"/>
              </w:rPr>
              <w:t>Related party note receivable</w:t>
            </w:r>
          </w:p>
        </w:tc>
        <w:tc>
          <w:tcPr>
            <w:tcW w:w="8100" w:type="dxa"/>
            <w:vAlign w:val="bottom"/>
          </w:tcPr>
          <w:p>
            <w:pPr>
              <w:ind w:left="780"/>
              <w:spacing w:after="0"/>
              <w:rPr>
                <w:sz w:val="20"/>
                <w:szCs w:val="20"/>
                <w:color w:val="auto"/>
              </w:rPr>
            </w:pPr>
            <w:r>
              <w:rPr>
                <w:rFonts w:ascii="Arial" w:cs="Arial" w:eastAsia="Arial" w:hAnsi="Arial"/>
                <w:sz w:val="18"/>
                <w:szCs w:val="18"/>
                <w:color w:val="auto"/>
              </w:rPr>
              <w:t>Level 3</w:t>
            </w:r>
          </w:p>
        </w:tc>
      </w:tr>
      <w:tr>
        <w:trPr>
          <w:trHeight w:val="227"/>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8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Level 3</w:t>
            </w:r>
          </w:p>
        </w:tc>
      </w:tr>
      <w:tr>
        <w:trPr>
          <w:trHeight w:val="225"/>
        </w:trPr>
        <w:tc>
          <w:tcPr>
            <w:tcW w:w="3120" w:type="dxa"/>
            <w:vAlign w:val="bottom"/>
          </w:tcPr>
          <w:p>
            <w:pPr>
              <w:ind w:left="20"/>
              <w:spacing w:after="0"/>
              <w:rPr>
                <w:sz w:val="20"/>
                <w:szCs w:val="20"/>
                <w:color w:val="auto"/>
              </w:rPr>
            </w:pPr>
            <w:r>
              <w:rPr>
                <w:rFonts w:ascii="Arial" w:cs="Arial" w:eastAsia="Arial" w:hAnsi="Arial"/>
                <w:sz w:val="18"/>
                <w:szCs w:val="18"/>
                <w:color w:val="auto"/>
              </w:rPr>
              <w:t>Mortgage notes payable</w:t>
            </w:r>
          </w:p>
        </w:tc>
        <w:tc>
          <w:tcPr>
            <w:tcW w:w="8100" w:type="dxa"/>
            <w:vAlign w:val="bottom"/>
          </w:tcPr>
          <w:p>
            <w:pPr>
              <w:ind w:left="780"/>
              <w:spacing w:after="0"/>
              <w:rPr>
                <w:sz w:val="20"/>
                <w:szCs w:val="20"/>
                <w:color w:val="auto"/>
              </w:rPr>
            </w:pPr>
            <w:r>
              <w:rPr>
                <w:rFonts w:ascii="Arial" w:cs="Arial" w:eastAsia="Arial" w:hAnsi="Arial"/>
                <w:sz w:val="18"/>
                <w:szCs w:val="18"/>
                <w:color w:val="auto"/>
              </w:rPr>
              <w:t>Level 3</w:t>
            </w:r>
          </w:p>
        </w:tc>
      </w:tr>
      <w:tr>
        <w:trPr>
          <w:trHeight w:val="227"/>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line of credit (2)</w:t>
            </w:r>
          </w:p>
        </w:tc>
        <w:tc>
          <w:tcPr>
            <w:tcW w:w="8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Level 3</w:t>
            </w:r>
          </w:p>
        </w:tc>
      </w:tr>
      <w:tr>
        <w:trPr>
          <w:trHeight w:val="305"/>
        </w:trPr>
        <w:tc>
          <w:tcPr>
            <w:tcW w:w="3120" w:type="dxa"/>
            <w:vAlign w:val="bottom"/>
          </w:tcPr>
          <w:p>
            <w:pPr>
              <w:spacing w:after="0"/>
              <w:rPr>
                <w:sz w:val="20"/>
                <w:szCs w:val="20"/>
                <w:color w:val="auto"/>
              </w:rPr>
            </w:pPr>
            <w:r>
              <w:rPr>
                <w:rFonts w:ascii="Arial" w:cs="Arial" w:eastAsia="Arial" w:hAnsi="Arial"/>
                <w:sz w:val="18"/>
                <w:szCs w:val="18"/>
                <w:color w:val="auto"/>
              </w:rPr>
              <w:t>_______________</w:t>
            </w:r>
          </w:p>
        </w:tc>
        <w:tc>
          <w:tcPr>
            <w:tcW w:w="8100" w:type="dxa"/>
            <w:vAlign w:val="bottom"/>
          </w:tcPr>
          <w:p>
            <w:pPr>
              <w:spacing w:after="0"/>
              <w:rPr>
                <w:sz w:val="24"/>
                <w:szCs w:val="24"/>
                <w:color w:val="auto"/>
              </w:rPr>
            </w:pPr>
          </w:p>
        </w:tc>
      </w:tr>
    </w:tbl>
    <w:p>
      <w:pPr>
        <w:spacing w:after="0" w:line="3" w:lineRule="exact"/>
        <w:rPr>
          <w:sz w:val="20"/>
          <w:szCs w:val="20"/>
          <w:color w:val="auto"/>
        </w:rPr>
      </w:pPr>
    </w:p>
    <w:p>
      <w:pPr>
        <w:ind w:left="480" w:hanging="314"/>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trading value for the period is low, the valuation could be categorized as Level 2.</w:t>
      </w:r>
    </w:p>
    <w:p>
      <w:pPr>
        <w:spacing w:after="0" w:line="2" w:lineRule="exact"/>
        <w:rPr>
          <w:rFonts w:ascii="Arial" w:cs="Arial" w:eastAsia="Arial" w:hAnsi="Arial"/>
          <w:sz w:val="16"/>
          <w:szCs w:val="16"/>
          <w:color w:val="auto"/>
        </w:rPr>
      </w:pPr>
    </w:p>
    <w:p>
      <w:pPr>
        <w:ind w:left="480" w:hanging="314"/>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June 30, 2021, there were no amounts outstanding under the unsecured line of credit.</w:t>
      </w:r>
    </w:p>
    <w:p>
      <w:pPr>
        <w:spacing w:after="0" w:line="265"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Because the Company’s valuations of its financial instruments are based on the above Levels and involve the use of estimates, the actual fair values of its financial instruments may differ materially from those estimates.</w:t>
      </w:r>
    </w:p>
    <w:p>
      <w:pPr>
        <w:spacing w:after="0" w:line="150" w:lineRule="exact"/>
        <w:rPr>
          <w:sz w:val="20"/>
          <w:szCs w:val="20"/>
          <w:color w:val="auto"/>
        </w:rPr>
      </w:pPr>
    </w:p>
    <w:p>
      <w:pPr>
        <w:ind w:right="420" w:firstLine="439"/>
        <w:spacing w:after="0" w:line="252" w:lineRule="auto"/>
        <w:rPr>
          <w:sz w:val="20"/>
          <w:szCs w:val="20"/>
          <w:color w:val="auto"/>
        </w:rPr>
      </w:pPr>
      <w:r>
        <w:rPr>
          <w:rFonts w:ascii="Arial" w:cs="Arial" w:eastAsia="Arial" w:hAnsi="Arial"/>
          <w:sz w:val="18"/>
          <w:szCs w:val="18"/>
          <w:color w:val="auto"/>
        </w:rPr>
        <w:t>The following table identifies the range and weighted average of significant unobservable inputs for the Company’s Level 3 fair value measured instruments.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Financial Instrument</w:t>
            </w:r>
          </w:p>
        </w:tc>
        <w:tc>
          <w:tcPr>
            <w:tcW w:w="202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Level</w:t>
            </w:r>
          </w:p>
        </w:tc>
        <w:tc>
          <w:tcPr>
            <w:tcW w:w="248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Range</w:t>
            </w:r>
          </w:p>
        </w:tc>
        <w:tc>
          <w:tcPr>
            <w:tcW w:w="35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Weighted Average</w:t>
            </w:r>
          </w:p>
        </w:tc>
      </w:tr>
      <w:tr>
        <w:trPr>
          <w:trHeight w:val="22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note receivable</w:t>
            </w:r>
          </w:p>
        </w:tc>
        <w:tc>
          <w:tcPr>
            <w:tcW w:w="2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Level 3</w:t>
            </w:r>
          </w:p>
        </w:tc>
        <w:tc>
          <w:tcPr>
            <w:tcW w:w="2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3.60%</w:t>
            </w:r>
          </w:p>
        </w:tc>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3.60%</w:t>
            </w:r>
          </w:p>
        </w:tc>
      </w:tr>
      <w:tr>
        <w:trPr>
          <w:trHeight w:val="225"/>
        </w:trPr>
        <w:tc>
          <w:tcPr>
            <w:tcW w:w="3100" w:type="dxa"/>
            <w:vAlign w:val="bottom"/>
          </w:tcPr>
          <w:p>
            <w:pPr>
              <w:spacing w:after="0"/>
              <w:rPr>
                <w:sz w:val="20"/>
                <w:szCs w:val="20"/>
                <w:color w:val="auto"/>
              </w:rPr>
            </w:pPr>
            <w:r>
              <w:rPr>
                <w:rFonts w:ascii="Arial" w:cs="Arial" w:eastAsia="Arial" w:hAnsi="Arial"/>
                <w:sz w:val="18"/>
                <w:szCs w:val="18"/>
                <w:color w:val="auto"/>
              </w:rPr>
              <w:t>Notes receivable</w:t>
            </w:r>
          </w:p>
        </w:tc>
        <w:tc>
          <w:tcPr>
            <w:tcW w:w="2020" w:type="dxa"/>
            <w:vAlign w:val="bottom"/>
          </w:tcPr>
          <w:p>
            <w:pPr>
              <w:ind w:left="780"/>
              <w:spacing w:after="0"/>
              <w:rPr>
                <w:sz w:val="20"/>
                <w:szCs w:val="20"/>
                <w:color w:val="auto"/>
              </w:rPr>
            </w:pPr>
            <w:r>
              <w:rPr>
                <w:rFonts w:ascii="Arial" w:cs="Arial" w:eastAsia="Arial" w:hAnsi="Arial"/>
                <w:sz w:val="18"/>
                <w:szCs w:val="18"/>
                <w:color w:val="auto"/>
              </w:rPr>
              <w:t>Level 3</w:t>
            </w:r>
          </w:p>
        </w:tc>
        <w:tc>
          <w:tcPr>
            <w:tcW w:w="2480" w:type="dxa"/>
            <w:vAlign w:val="bottom"/>
          </w:tcPr>
          <w:p>
            <w:pPr>
              <w:ind w:left="680"/>
              <w:spacing w:after="0"/>
              <w:rPr>
                <w:sz w:val="20"/>
                <w:szCs w:val="20"/>
                <w:color w:val="auto"/>
              </w:rPr>
            </w:pPr>
            <w:r>
              <w:rPr>
                <w:rFonts w:ascii="Arial" w:cs="Arial" w:eastAsia="Arial" w:hAnsi="Arial"/>
                <w:sz w:val="18"/>
                <w:szCs w:val="18"/>
                <w:color w:val="auto"/>
              </w:rPr>
              <w:t>3.60% - 8.00%</w:t>
            </w:r>
          </w:p>
        </w:tc>
        <w:tc>
          <w:tcPr>
            <w:tcW w:w="3580" w:type="dxa"/>
            <w:vAlign w:val="bottom"/>
          </w:tcPr>
          <w:p>
            <w:pPr>
              <w:ind w:left="640"/>
              <w:spacing w:after="0"/>
              <w:rPr>
                <w:sz w:val="20"/>
                <w:szCs w:val="20"/>
                <w:color w:val="auto"/>
              </w:rPr>
            </w:pPr>
            <w:r>
              <w:rPr>
                <w:rFonts w:ascii="Arial" w:cs="Arial" w:eastAsia="Arial" w:hAnsi="Arial"/>
                <w:sz w:val="18"/>
                <w:szCs w:val="18"/>
                <w:color w:val="auto"/>
              </w:rPr>
              <w:t>5.83%</w:t>
            </w:r>
          </w:p>
        </w:tc>
      </w:tr>
      <w:tr>
        <w:trPr>
          <w:trHeight w:val="227"/>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payable</w:t>
            </w:r>
          </w:p>
        </w:tc>
        <w:tc>
          <w:tcPr>
            <w:tcW w:w="2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Level 3</w:t>
            </w:r>
          </w:p>
        </w:tc>
        <w:tc>
          <w:tcPr>
            <w:tcW w:w="2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2.40% - 4.75%</w:t>
            </w:r>
          </w:p>
        </w:tc>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2.88%</w:t>
            </w:r>
          </w:p>
        </w:tc>
      </w:tr>
    </w:tbl>
    <w:p>
      <w:pPr>
        <w:spacing w:after="0" w:line="358" w:lineRule="exact"/>
        <w:rPr>
          <w:sz w:val="20"/>
          <w:szCs w:val="20"/>
          <w:color w:val="auto"/>
        </w:rPr>
      </w:pPr>
    </w:p>
    <w:p>
      <w:pPr>
        <w:ind w:right="400" w:firstLine="439"/>
        <w:spacing w:after="0" w:line="252" w:lineRule="auto"/>
        <w:rPr>
          <w:sz w:val="20"/>
          <w:szCs w:val="20"/>
          <w:color w:val="auto"/>
        </w:rPr>
      </w:pPr>
      <w:r>
        <w:rPr>
          <w:rFonts w:ascii="Arial" w:cs="Arial" w:eastAsia="Arial" w:hAnsi="Arial"/>
          <w:sz w:val="18"/>
          <w:szCs w:val="18"/>
          <w:color w:val="auto"/>
        </w:rPr>
        <w:t>The Company’s estimated fair values for these instruments as of the end of the applicable reporting period are not projections of, nor necessarily indicative of, estimated or actual fair values in future reporting periods.</w:t>
      </w:r>
    </w:p>
    <w:p>
      <w:pPr>
        <w:spacing w:after="0" w:line="150" w:lineRule="exact"/>
        <w:rPr>
          <w:sz w:val="20"/>
          <w:szCs w:val="20"/>
          <w:color w:val="auto"/>
        </w:rPr>
      </w:pPr>
    </w:p>
    <w:p>
      <w:pPr>
        <w:ind w:right="440" w:firstLine="439"/>
        <w:spacing w:after="0" w:line="249" w:lineRule="auto"/>
        <w:rPr>
          <w:sz w:val="20"/>
          <w:szCs w:val="20"/>
          <w:color w:val="auto"/>
        </w:rPr>
      </w:pPr>
      <w:r>
        <w:rPr>
          <w:rFonts w:ascii="Arial" w:cs="Arial" w:eastAsia="Arial" w:hAnsi="Arial"/>
          <w:sz w:val="18"/>
          <w:szCs w:val="18"/>
          <w:color w:val="auto"/>
        </w:rPr>
        <w:t>The following table presents the aggregate carrying value of the Company’s related party note receivable, net, notes receivable, net, mortgage notes payable, net, unsecured senior notes, net, unsecured line of credit and unsecured term loan, net and the Company’s corresponding estimate of fair value as of June 30, 2021 and December 31, 2020 (in thousands):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80" w:type="dxa"/>
            <w:vAlign w:val="bottom"/>
            <w:gridSpan w:val="5"/>
          </w:tcPr>
          <w:p>
            <w:pPr>
              <w:ind w:left="76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Pr>
          <w:p>
            <w:pPr>
              <w:spacing w:after="0"/>
              <w:rPr>
                <w:sz w:val="18"/>
                <w:szCs w:val="18"/>
                <w:color w:val="auto"/>
              </w:rPr>
            </w:pPr>
          </w:p>
        </w:tc>
        <w:tc>
          <w:tcPr>
            <w:tcW w:w="2660" w:type="dxa"/>
            <w:vAlign w:val="bottom"/>
            <w:gridSpan w:val="4"/>
          </w:tcPr>
          <w:p>
            <w:pPr>
              <w:jc w:val="right"/>
              <w:ind w:right="633"/>
              <w:spacing w:after="0"/>
              <w:rPr>
                <w:sz w:val="20"/>
                <w:szCs w:val="20"/>
                <w:color w:val="auto"/>
              </w:rPr>
            </w:pPr>
            <w:r>
              <w:rPr>
                <w:rFonts w:ascii="Arial" w:cs="Arial" w:eastAsia="Arial" w:hAnsi="Arial"/>
                <w:sz w:val="16"/>
                <w:szCs w:val="16"/>
                <w:b w:val="1"/>
                <w:bCs w:val="1"/>
                <w:color w:val="auto"/>
              </w:rPr>
              <w:t>December 31, 2020</w:t>
            </w:r>
          </w:p>
        </w:tc>
      </w:tr>
      <w:tr>
        <w:trPr>
          <w:trHeight w:val="155"/>
        </w:trPr>
        <w:tc>
          <w:tcPr>
            <w:tcW w:w="48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jc w:val="center"/>
              <w:ind w:right="420"/>
              <w:spacing w:after="0" w:line="155" w:lineRule="exact"/>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6"/>
                <w:szCs w:val="16"/>
                <w:b w:val="1"/>
                <w:bCs w:val="1"/>
                <w:color w:val="auto"/>
              </w:rPr>
              <w:t>Estimated</w:t>
            </w: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w w:val="97"/>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6"/>
                <w:szCs w:val="16"/>
                <w:b w:val="1"/>
                <w:bCs w:val="1"/>
                <w:color w:val="auto"/>
              </w:rPr>
              <w:t>Estimated</w:t>
            </w:r>
          </w:p>
        </w:tc>
      </w:tr>
      <w:tr>
        <w:trPr>
          <w:trHeight w:val="213"/>
        </w:trPr>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180" w:type="dxa"/>
            <w:vAlign w:val="bottom"/>
          </w:tcPr>
          <w:p>
            <w:pPr>
              <w:jc w:val="right"/>
              <w:ind w:right="233"/>
              <w:spacing w:after="0"/>
              <w:rPr>
                <w:sz w:val="20"/>
                <w:szCs w:val="20"/>
                <w:color w:val="auto"/>
              </w:rPr>
            </w:pPr>
            <w:r>
              <w:rPr>
                <w:rFonts w:ascii="Arial" w:cs="Arial" w:eastAsia="Arial" w:hAnsi="Arial"/>
                <w:sz w:val="16"/>
                <w:szCs w:val="16"/>
                <w:b w:val="1"/>
                <w:bCs w:val="1"/>
                <w:color w:val="auto"/>
              </w:rPr>
              <w:t>Fair Value</w:t>
            </w:r>
          </w:p>
        </w:tc>
      </w:tr>
      <w:tr>
        <w:trPr>
          <w:trHeight w:val="220"/>
        </w:trPr>
        <w:tc>
          <w:tcPr>
            <w:tcW w:w="48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Related party note receivable, net</w:t>
            </w: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83,779</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84,579</w:t>
            </w:r>
          </w:p>
        </w:tc>
      </w:tr>
      <w:tr>
        <w:trPr>
          <w:trHeight w:val="225"/>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receivable, net</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19,709</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19,372</w:t>
            </w:r>
          </w:p>
        </w:tc>
      </w:tr>
      <w:tr>
        <w:trPr>
          <w:trHeight w:val="244"/>
        </w:trPr>
        <w:tc>
          <w:tcPr>
            <w:tcW w:w="4800" w:type="dxa"/>
            <w:vAlign w:val="bottom"/>
            <w:tcBorders>
              <w:bottom w:val="single" w:sz="8" w:color="CCEEFF"/>
            </w:tcBorders>
            <w:shd w:val="clear" w:color="auto" w:fill="CCEEFF"/>
          </w:tcPr>
          <w:p>
            <w:pPr>
              <w:ind w:left="340"/>
              <w:spacing w:after="0" w:line="20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103,488</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4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notes payable, net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2,901,709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3,053,824</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3,144,150</w:t>
            </w: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Unsecured senior notes, net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9,634,356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10,385,016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9,639,287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10,620,527</w:t>
            </w:r>
          </w:p>
        </w:tc>
      </w:tr>
      <w:tr>
        <w:trPr>
          <w:trHeight w:val="227"/>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line of credit</w:t>
            </w: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Unsecured term loan, net</w:t>
            </w:r>
          </w:p>
        </w:tc>
        <w:tc>
          <w:tcPr>
            <w:tcW w:w="3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500,326</w:t>
            </w:r>
          </w:p>
        </w:tc>
      </w:tr>
      <w:tr>
        <w:trPr>
          <w:trHeight w:val="244"/>
        </w:trPr>
        <w:tc>
          <w:tcPr>
            <w:tcW w:w="4800" w:type="dxa"/>
            <w:vAlign w:val="bottom"/>
            <w:tcBorders>
              <w:top w:val="single" w:sz="8" w:color="CCEEFF"/>
              <w:bottom w:val="single" w:sz="8" w:color="CCEEFF"/>
            </w:tcBorders>
            <w:shd w:val="clear" w:color="auto" w:fill="CCEEFF"/>
          </w:tcPr>
          <w:p>
            <w:pPr>
              <w:ind w:left="340"/>
              <w:spacing w:after="0" w:line="206" w:lineRule="exact"/>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12,536,065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13,438,840</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13,047,758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14,265,003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 Estate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Real estate consisted of the following at June 30, 2021 and December 31, 2020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800" w:type="dxa"/>
            <w:vAlign w:val="bottom"/>
          </w:tcPr>
          <w:p>
            <w:pPr>
              <w:jc w:val="right"/>
              <w:ind w:right="192"/>
              <w:spacing w:after="0"/>
              <w:rPr>
                <w:sz w:val="20"/>
                <w:szCs w:val="20"/>
                <w:color w:val="auto"/>
              </w:rPr>
            </w:pPr>
            <w:r>
              <w:rPr>
                <w:rFonts w:ascii="Arial" w:cs="Arial" w:eastAsia="Arial" w:hAnsi="Arial"/>
                <w:sz w:val="16"/>
                <w:szCs w:val="16"/>
                <w:b w:val="1"/>
                <w:bCs w:val="1"/>
                <w:color w:val="auto"/>
              </w:rPr>
              <w:t>December 31, 2020</w:t>
            </w:r>
          </w:p>
        </w:tc>
      </w:tr>
      <w:tr>
        <w:trPr>
          <w:trHeight w:val="222"/>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5,038,870</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5,069,206</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Right of use assets - finance leases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237,765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237,393</w:t>
            </w:r>
          </w:p>
        </w:tc>
      </w:tr>
      <w:tr>
        <w:trPr>
          <w:trHeight w:val="22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 (1)</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170,331</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146,406</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Land held for future development (2)</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497,019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450,954</w:t>
            </w:r>
          </w:p>
        </w:tc>
      </w:tr>
      <w:tr>
        <w:trPr>
          <w:trHeight w:val="22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14,082,350</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13,777,691</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2,839,358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2,752,880</w:t>
            </w:r>
          </w:p>
        </w:tc>
      </w:tr>
      <w:tr>
        <w:trPr>
          <w:trHeight w:val="22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51,517</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49,606</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908,061</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868,773</w:t>
            </w:r>
          </w:p>
        </w:tc>
      </w:tr>
      <w:tr>
        <w:trPr>
          <w:trHeight w:val="220"/>
        </w:trPr>
        <w:tc>
          <w:tcPr>
            <w:tcW w:w="69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23,825,271</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23,352,909</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(5,752,818)</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(5,534,102)</w:t>
            </w:r>
          </w:p>
        </w:tc>
      </w:tr>
      <w:tr>
        <w:trPr>
          <w:trHeight w:val="244"/>
        </w:trPr>
        <w:tc>
          <w:tcPr>
            <w:tcW w:w="69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18,072,453</w:t>
            </w: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17,818,807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480" w:hanging="314"/>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Note 4.</w:t>
      </w:r>
    </w:p>
    <w:p>
      <w:pPr>
        <w:spacing w:after="0" w:line="2" w:lineRule="exact"/>
        <w:rPr>
          <w:rFonts w:ascii="Arial" w:cs="Arial" w:eastAsia="Arial" w:hAnsi="Arial"/>
          <w:sz w:val="16"/>
          <w:szCs w:val="16"/>
          <w:color w:val="auto"/>
        </w:rPr>
      </w:pPr>
    </w:p>
    <w:p>
      <w:pPr>
        <w:ind w:left="480" w:hanging="314"/>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pre-development costs.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Real estate consisted of the following at June 30, 2021 and December 31, 2020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800" w:type="dxa"/>
            <w:vAlign w:val="bottom"/>
          </w:tcPr>
          <w:p>
            <w:pPr>
              <w:jc w:val="right"/>
              <w:ind w:right="192"/>
              <w:spacing w:after="0"/>
              <w:rPr>
                <w:sz w:val="20"/>
                <w:szCs w:val="20"/>
                <w:color w:val="auto"/>
              </w:rPr>
            </w:pPr>
            <w:r>
              <w:rPr>
                <w:rFonts w:ascii="Arial" w:cs="Arial" w:eastAsia="Arial" w:hAnsi="Arial"/>
                <w:sz w:val="16"/>
                <w:szCs w:val="16"/>
                <w:b w:val="1"/>
                <w:bCs w:val="1"/>
                <w:color w:val="auto"/>
              </w:rPr>
              <w:t>December 31, 2020</w:t>
            </w:r>
          </w:p>
        </w:tc>
      </w:tr>
      <w:tr>
        <w:trPr>
          <w:trHeight w:val="222"/>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4,942,017</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4,971,990</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Right of use assets - finance leases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237,765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237,393</w:t>
            </w:r>
          </w:p>
        </w:tc>
      </w:tr>
      <w:tr>
        <w:trPr>
          <w:trHeight w:val="227"/>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 (1)</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170,331</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146,406</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Land held for future development (2)</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497,019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450,954</w:t>
            </w:r>
          </w:p>
        </w:tc>
      </w:tr>
      <w:tr>
        <w:trPr>
          <w:trHeight w:val="227"/>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13,803,708</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13,498,098</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2,839,358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2,752,880</w:t>
            </w:r>
          </w:p>
        </w:tc>
      </w:tr>
      <w:tr>
        <w:trPr>
          <w:trHeight w:val="227"/>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51,517</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49,606</w:t>
            </w:r>
          </w:p>
        </w:tc>
      </w:tr>
      <w:tr>
        <w:trPr>
          <w:trHeight w:val="22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908,061</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868,773</w:t>
            </w:r>
          </w:p>
        </w:tc>
      </w:tr>
      <w:tr>
        <w:trPr>
          <w:trHeight w:val="220"/>
        </w:trPr>
        <w:tc>
          <w:tcPr>
            <w:tcW w:w="69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23,449,776</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22,976,100</w:t>
            </w:r>
          </w:p>
        </w:tc>
      </w:tr>
      <w:tr>
        <w:trPr>
          <w:trHeight w:val="22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(5,643,781)</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(5,428,576)</w:t>
            </w:r>
          </w:p>
        </w:tc>
      </w:tr>
      <w:tr>
        <w:trPr>
          <w:trHeight w:val="244"/>
        </w:trPr>
        <w:tc>
          <w:tcPr>
            <w:tcW w:w="69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17,805,995</w:t>
            </w: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17,547,524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480" w:hanging="31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Note 4.</w:t>
      </w:r>
    </w:p>
    <w:p>
      <w:pPr>
        <w:spacing w:after="0" w:line="2" w:lineRule="exact"/>
        <w:rPr>
          <w:rFonts w:ascii="Arial" w:cs="Arial" w:eastAsia="Arial" w:hAnsi="Arial"/>
          <w:sz w:val="16"/>
          <w:szCs w:val="16"/>
          <w:color w:val="auto"/>
        </w:rPr>
      </w:pPr>
    </w:p>
    <w:p>
      <w:pPr>
        <w:ind w:left="480" w:hanging="31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pre-development costs.</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Acquisitions / Pending Acquisitions</w:t>
      </w:r>
    </w:p>
    <w:p>
      <w:pPr>
        <w:spacing w:after="0" w:line="108" w:lineRule="exact"/>
        <w:rPr>
          <w:sz w:val="20"/>
          <w:szCs w:val="20"/>
          <w:color w:val="auto"/>
        </w:rPr>
      </w:pPr>
    </w:p>
    <w:p>
      <w:pPr>
        <w:ind w:right="280" w:firstLine="439"/>
        <w:spacing w:after="0" w:line="248" w:lineRule="auto"/>
        <w:rPr>
          <w:sz w:val="20"/>
          <w:szCs w:val="20"/>
          <w:color w:val="auto"/>
        </w:rPr>
      </w:pPr>
      <w:r>
        <w:rPr>
          <w:rFonts w:ascii="Arial" w:cs="Arial" w:eastAsia="Arial" w:hAnsi="Arial"/>
          <w:sz w:val="18"/>
          <w:szCs w:val="18"/>
          <w:color w:val="auto"/>
        </w:rPr>
        <w:t>On April 19, 2021, the Company entered into an agreement to acquire 11251 Roger Bacon Drive, in Reston, Virginia, for an aggregate purchase price of approximately $5.6 million. The closing is scheduled to occur in the first quarter of 2022. 11251 Roger Bacon Drive is an approximately 65,000 square foot office building situated on approximately 2.6 acres. The property is 100% leased to a single tenant with a lease expiration prior to the planned closing. There can be no assurance that the acquisition will be consummated on the terms currently contemplated or at all.</w:t>
      </w:r>
    </w:p>
    <w:p>
      <w:pPr>
        <w:spacing w:after="0" w:line="154" w:lineRule="exact"/>
        <w:rPr>
          <w:sz w:val="20"/>
          <w:szCs w:val="20"/>
          <w:color w:val="auto"/>
        </w:rPr>
      </w:pPr>
    </w:p>
    <w:p>
      <w:pPr>
        <w:ind w:right="60" w:firstLine="439"/>
        <w:spacing w:after="0" w:line="248" w:lineRule="auto"/>
        <w:rPr>
          <w:sz w:val="20"/>
          <w:szCs w:val="20"/>
          <w:color w:val="auto"/>
        </w:rPr>
      </w:pPr>
      <w:r>
        <w:rPr>
          <w:rFonts w:ascii="Arial" w:cs="Arial" w:eastAsia="Arial" w:hAnsi="Arial"/>
          <w:sz w:val="18"/>
          <w:szCs w:val="18"/>
          <w:color w:val="auto"/>
        </w:rPr>
        <w:t>On June 2, 2021, the Company acquired 153 &amp; 211 Second Avenue located in Waltham, Massachusetts for an aggregate purchase price of approximately $100.2 million in cash. 153 &amp; 211 Second Avenue consists of two life sciences lab buildings totaling approximately 137,000 net rentable square feet. The properties are 100% leased. The following table summarizes the allocation of the purchase price, including transaction costs, of 153 &amp; 211 Second Avenue at the date of acquisition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82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33,233</w:t>
            </w:r>
          </w:p>
        </w:tc>
      </w:tr>
      <w:tr>
        <w:trPr>
          <w:trHeight w:val="225"/>
        </w:trPr>
        <w:tc>
          <w:tcPr>
            <w:tcW w:w="90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53,309</w:t>
            </w:r>
          </w:p>
        </w:tc>
      </w:tr>
      <w:tr>
        <w:trPr>
          <w:trHeight w:val="227"/>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r>
      <w:tr>
        <w:trPr>
          <w:trHeight w:val="225"/>
        </w:trPr>
        <w:tc>
          <w:tcPr>
            <w:tcW w:w="9000" w:type="dxa"/>
            <w:vAlign w:val="bottom"/>
          </w:tcPr>
          <w:p>
            <w:pPr>
              <w:ind w:left="20"/>
              <w:spacing w:after="0"/>
              <w:rPr>
                <w:sz w:val="20"/>
                <w:szCs w:val="20"/>
                <w:color w:val="auto"/>
              </w:rPr>
            </w:pPr>
            <w:r>
              <w:rPr>
                <w:rFonts w:ascii="Arial" w:cs="Arial" w:eastAsia="Arial" w:hAnsi="Arial"/>
                <w:sz w:val="18"/>
                <w:szCs w:val="18"/>
                <w:color w:val="auto"/>
              </w:rPr>
              <w:t>In-place lease intangibles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13,415</w:t>
            </w:r>
          </w:p>
        </w:tc>
      </w:tr>
      <w:tr>
        <w:trPr>
          <w:trHeight w:val="22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Below-market lease intangibles</w:t>
            </w:r>
          </w:p>
        </w:tc>
        <w:tc>
          <w:tcPr>
            <w:tcW w:w="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r>
      <w:tr>
        <w:trPr>
          <w:trHeight w:val="220"/>
        </w:trPr>
        <w:tc>
          <w:tcPr>
            <w:tcW w:w="90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100,176</w:t>
            </w:r>
          </w:p>
        </w:tc>
      </w:tr>
      <w:tr>
        <w:trPr>
          <w:trHeight w:val="20"/>
        </w:trPr>
        <w:tc>
          <w:tcPr>
            <w:tcW w:w="9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estimated annual amortization of the acquired in-place lease intangibles</w:t>
      </w:r>
    </w:p>
    <w:p>
      <w:pPr>
        <w:spacing w:after="0" w:line="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and the acquired below-market lease intangibles for 153 &amp; 211 Second Avenue for the remainder of 2021 through the last lease expiration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Acquired In-Place Lease</w:t>
            </w:r>
          </w:p>
        </w:tc>
        <w:tc>
          <w:tcPr>
            <w:tcW w:w="2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Acquired Below-Market Lease</w:t>
            </w:r>
          </w:p>
        </w:tc>
      </w:tr>
      <w:tr>
        <w:trPr>
          <w:trHeight w:val="226"/>
        </w:trPr>
        <w:tc>
          <w:tcPr>
            <w:tcW w:w="5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Intangibles</w:t>
            </w:r>
          </w:p>
        </w:tc>
        <w:tc>
          <w:tcPr>
            <w:tcW w:w="480" w:type="dxa"/>
            <w:vAlign w:val="bottom"/>
          </w:tcPr>
          <w:p>
            <w:pPr>
              <w:spacing w:after="0"/>
              <w:rPr>
                <w:sz w:val="19"/>
                <w:szCs w:val="19"/>
                <w:color w:val="auto"/>
              </w:rPr>
            </w:pPr>
          </w:p>
        </w:tc>
        <w:tc>
          <w:tcPr>
            <w:tcW w:w="2140" w:type="dxa"/>
            <w:vAlign w:val="bottom"/>
          </w:tcPr>
          <w:p>
            <w:pPr>
              <w:jc w:val="right"/>
              <w:ind w:right="751"/>
              <w:spacing w:after="0"/>
              <w:rPr>
                <w:sz w:val="20"/>
                <w:szCs w:val="20"/>
                <w:color w:val="auto"/>
              </w:rPr>
            </w:pPr>
            <w:r>
              <w:rPr>
                <w:rFonts w:ascii="Arial" w:cs="Arial" w:eastAsia="Arial" w:hAnsi="Arial"/>
                <w:sz w:val="18"/>
                <w:szCs w:val="18"/>
                <w:b w:val="1"/>
                <w:bCs w:val="1"/>
                <w:color w:val="auto"/>
              </w:rPr>
              <w:t>Intangibles</w:t>
            </w:r>
          </w:p>
        </w:tc>
      </w:tr>
      <w:tr>
        <w:trPr>
          <w:trHeight w:val="21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Period from June 2, 2021 through December 31, 2021</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25"/>
        </w:trPr>
        <w:tc>
          <w:tcPr>
            <w:tcW w:w="58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8,213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1,477</w:t>
            </w:r>
          </w:p>
        </w:tc>
      </w:tr>
    </w:tbl>
    <w:p>
      <w:pPr>
        <w:spacing w:after="0" w:line="240" w:lineRule="exact"/>
        <w:rPr>
          <w:sz w:val="20"/>
          <w:szCs w:val="20"/>
          <w:color w:val="auto"/>
        </w:rPr>
      </w:pPr>
    </w:p>
    <w:p>
      <w:pPr>
        <w:ind w:right="800" w:firstLine="439"/>
        <w:spacing w:after="0" w:line="252" w:lineRule="auto"/>
        <w:rPr>
          <w:sz w:val="20"/>
          <w:szCs w:val="20"/>
          <w:color w:val="auto"/>
        </w:rPr>
      </w:pPr>
      <w:r>
        <w:rPr>
          <w:rFonts w:ascii="Arial" w:cs="Arial" w:eastAsia="Arial" w:hAnsi="Arial"/>
          <w:sz w:val="18"/>
          <w:szCs w:val="18"/>
          <w:color w:val="auto"/>
        </w:rPr>
        <w:t>153 &amp; 211 Second Avenue contributed approximately $0.8 million of revenue and approximately ($0.3) million of earnings to the Company for the period from June 2, 2021 through June 30, 2021.</w:t>
      </w:r>
    </w:p>
    <w:p>
      <w:pPr>
        <w:spacing w:after="0" w:line="150" w:lineRule="exact"/>
        <w:rPr>
          <w:sz w:val="20"/>
          <w:szCs w:val="20"/>
          <w:color w:val="auto"/>
        </w:rPr>
      </w:pPr>
    </w:p>
    <w:p>
      <w:pPr>
        <w:ind w:right="160" w:firstLine="439"/>
        <w:spacing w:after="0" w:line="266" w:lineRule="auto"/>
        <w:rPr>
          <w:sz w:val="20"/>
          <w:szCs w:val="20"/>
          <w:color w:val="auto"/>
        </w:rPr>
      </w:pPr>
      <w:r>
        <w:rPr>
          <w:rFonts w:ascii="Arial" w:cs="Arial" w:eastAsia="Arial" w:hAnsi="Arial"/>
          <w:sz w:val="17"/>
          <w:szCs w:val="17"/>
          <w:color w:val="auto"/>
        </w:rPr>
        <w:t>On June 7, 2021, the Company entered into an agreement to acquire Shady Grove Bio+Tech Campus in Rockville, Maryland, for an aggregate purchase price of approximately $116.5 million. The closing is scheduled to occur in the third quarter of 2021. The Company’s refundable deposit of $10.0 million is reflected as Cash and Cash Equivalents in the Company’s Consolidated Balance Sheets. Shady Grove Bio+Tech Campus is an approximately 435,000 net rentable square foot, seven-building office park situated on an approximately 31-acre site. The Company intends to reposition three of the buildings, which are currently vacant, to support life sciences uses (See Note 15).</w:t>
      </w:r>
    </w:p>
    <w:p>
      <w:pPr>
        <w:spacing w:after="0" w:line="140" w:lineRule="exact"/>
        <w:rPr>
          <w:sz w:val="20"/>
          <w:szCs w:val="20"/>
          <w:color w:val="auto"/>
        </w:rPr>
      </w:pPr>
    </w:p>
    <w:p>
      <w:pPr>
        <w:ind w:right="60" w:firstLine="439"/>
        <w:spacing w:after="0" w:line="247" w:lineRule="auto"/>
        <w:rPr>
          <w:sz w:val="20"/>
          <w:szCs w:val="20"/>
          <w:color w:val="auto"/>
        </w:rPr>
      </w:pPr>
      <w:r>
        <w:rPr>
          <w:rFonts w:ascii="Arial" w:cs="Arial" w:eastAsia="Arial" w:hAnsi="Arial"/>
          <w:sz w:val="18"/>
          <w:szCs w:val="18"/>
          <w:color w:val="auto"/>
        </w:rPr>
        <w:t>On June 25, 2021, the Company entered into an agreement to acquire 360 Park Avenue South in New York City, New York for an aggregate purchase price of approximately $300.0 million, including (1) the assumption of the mortgage loan collateralized by the property totaling approximately $202.0 million and (2) the issuance of approximately $98.0 million of OP Units, with a floor price of $111.00 per OP Unit. The closing is scheduled to occur in the fourth quarter of 2021. The Company’s deposit of $30.0 million is reflected as Cash Held in Escrows in the Company’s Consolidated Balance Sheets. 360 Park Avenue South is an approximately 450,000 square foot Class A office building. Upon acquisition, the building will be vacant and the Company intends to redevelop or reposition the building. There can be no assurance that the acquisition will be consummated on the terms currently contemplated or at all.</w:t>
      </w:r>
    </w:p>
    <w:p>
      <w:pPr>
        <w:spacing w:after="0" w:line="158" w:lineRule="exact"/>
        <w:rPr>
          <w:sz w:val="20"/>
          <w:szCs w:val="20"/>
          <w:color w:val="auto"/>
        </w:rPr>
      </w:pPr>
    </w:p>
    <w:p>
      <w:pPr>
        <w:ind w:right="340" w:firstLine="439"/>
        <w:spacing w:after="0" w:line="268" w:lineRule="auto"/>
        <w:rPr>
          <w:sz w:val="20"/>
          <w:szCs w:val="20"/>
          <w:color w:val="auto"/>
        </w:rPr>
      </w:pPr>
      <w:r>
        <w:rPr>
          <w:rFonts w:ascii="Arial" w:cs="Arial" w:eastAsia="Arial" w:hAnsi="Arial"/>
          <w:sz w:val="17"/>
          <w:szCs w:val="17"/>
          <w:color w:val="auto"/>
        </w:rPr>
        <w:t>On June 29, 2021, the Company entered into an escrow agreement in connection with an option granted to the Company to purchase Safeco Plaza in Seattle, Washington. The Company’s refundable deposit of $46.5 million is reflected as Cash and Cash Equivalents in the Company’s Consolidated Balance Sheets. Safeco Plaza is an approximately 800,000 square foot Class A office building. There can be no assurance that the acquisition will be consummated on the terms currently contemplated or at all (See Note 15).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Developments</w:t>
      </w:r>
    </w:p>
    <w:p>
      <w:pPr>
        <w:spacing w:after="0" w:line="108"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On February 1, 2021, the consolidated entity in which the Company has a 55% interest completed and fully placed in-service One Five Nine East 53rd Street, a Class A office and retail redevelopment of the low-rise portion of its 601 Lexington Avenue property with approximately 220,000 net rentable square feet located in New York City.</w:t>
      </w:r>
    </w:p>
    <w:p>
      <w:pPr>
        <w:spacing w:after="0" w:line="154" w:lineRule="exact"/>
        <w:rPr>
          <w:sz w:val="20"/>
          <w:szCs w:val="20"/>
          <w:color w:val="auto"/>
        </w:rPr>
      </w:pPr>
    </w:p>
    <w:p>
      <w:pPr>
        <w:ind w:right="780" w:firstLine="439"/>
        <w:spacing w:after="0" w:line="252" w:lineRule="auto"/>
        <w:rPr>
          <w:sz w:val="20"/>
          <w:szCs w:val="20"/>
          <w:color w:val="auto"/>
        </w:rPr>
      </w:pPr>
      <w:r>
        <w:rPr>
          <w:rFonts w:ascii="Arial" w:cs="Arial" w:eastAsia="Arial" w:hAnsi="Arial"/>
          <w:sz w:val="18"/>
          <w:szCs w:val="18"/>
          <w:color w:val="auto"/>
        </w:rPr>
        <w:t>On February 25, 2021, the Company commenced the development of 180 CityPoint, located in Waltham, Massachusetts. When completed, the building will consist of approximately 329,000 net rentable square feet of laboratory space.</w:t>
      </w:r>
    </w:p>
    <w:p>
      <w:pPr>
        <w:spacing w:after="0" w:line="150" w:lineRule="exact"/>
        <w:rPr>
          <w:sz w:val="20"/>
          <w:szCs w:val="20"/>
          <w:color w:val="auto"/>
        </w:rPr>
      </w:pPr>
    </w:p>
    <w:p>
      <w:pPr>
        <w:ind w:right="300" w:firstLine="439"/>
        <w:spacing w:after="0" w:line="252" w:lineRule="auto"/>
        <w:rPr>
          <w:sz w:val="20"/>
          <w:szCs w:val="20"/>
          <w:color w:val="auto"/>
        </w:rPr>
      </w:pPr>
      <w:r>
        <w:rPr>
          <w:rFonts w:ascii="Arial" w:cs="Arial" w:eastAsia="Arial" w:hAnsi="Arial"/>
          <w:sz w:val="18"/>
          <w:szCs w:val="18"/>
          <w:color w:val="auto"/>
        </w:rPr>
        <w:t>On February 25, 2021, the Company commenced the redevelopment of 880 Winter Street, located in Waltham, Massachusetts. When completed, the building will consist of approximately 224,000 net rentable square feet of laboratory space.</w:t>
      </w:r>
    </w:p>
    <w:p>
      <w:pPr>
        <w:spacing w:after="0" w:line="150"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On February 25, 2021, the Company commenced the redevelopment of The Prudential Center Observatory, a 59,000 net rentable square foot redevelopment of the top three floors of 800 Boylston Street - The Prudential Center, located in Boston, Massachusetts.</w:t>
      </w:r>
    </w:p>
    <w:p>
      <w:pPr>
        <w:spacing w:after="0" w:line="150" w:lineRule="exact"/>
        <w:rPr>
          <w:sz w:val="20"/>
          <w:szCs w:val="20"/>
          <w:color w:val="auto"/>
        </w:rPr>
      </w:pPr>
    </w:p>
    <w:p>
      <w:pPr>
        <w:ind w:right="20" w:firstLine="439"/>
        <w:spacing w:after="0" w:line="249" w:lineRule="auto"/>
        <w:rPr>
          <w:sz w:val="20"/>
          <w:szCs w:val="20"/>
          <w:color w:val="auto"/>
        </w:rPr>
      </w:pPr>
      <w:r>
        <w:rPr>
          <w:rFonts w:ascii="Arial" w:cs="Arial" w:eastAsia="Arial" w:hAnsi="Arial"/>
          <w:sz w:val="18"/>
          <w:szCs w:val="18"/>
          <w:color w:val="auto"/>
        </w:rPr>
        <w:t>On April 16, 2021, the Company removed 3625-3635 Peterson Way from its in-service portfolio following the lease expiration of the last tenant on April 15, 2021. The Company intends to demolish the building and redevelop the site at a future date. 3625-3635 Peterson Way is an approximately 218,000 net rentable square foot Class A office building located in Santa Clara, California.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Disposition</w:t>
      </w:r>
    </w:p>
    <w:p>
      <w:pPr>
        <w:spacing w:after="0" w:line="121" w:lineRule="exact"/>
        <w:rPr>
          <w:sz w:val="20"/>
          <w:szCs w:val="20"/>
          <w:color w:val="auto"/>
        </w:rPr>
      </w:pPr>
    </w:p>
    <w:p>
      <w:pPr>
        <w:ind w:right="140" w:firstLine="439"/>
        <w:spacing w:after="0" w:line="248" w:lineRule="auto"/>
        <w:rPr>
          <w:sz w:val="20"/>
          <w:szCs w:val="20"/>
          <w:color w:val="auto"/>
        </w:rPr>
      </w:pPr>
      <w:r>
        <w:rPr>
          <w:rFonts w:ascii="Arial" w:cs="Arial" w:eastAsia="Arial" w:hAnsi="Arial"/>
          <w:sz w:val="18"/>
          <w:szCs w:val="18"/>
          <w:color w:val="auto"/>
        </w:rPr>
        <w:t>On December 13, 2018, the Company sold its 6595 Springfield Center Drive development project located in Springfield, Virginia. Concurrently with the sale, the Company agreed to act as development manager and guaranteed the completion of the project (See Note 9). The development project was completed during the second quarter of 2021 and, upon completion of the project, the total cost of development was determined to be below the estimated total investment at the time of sale. As a result, the Company recognized a gain on sale of real estate of approximately $7.8 million during the three months ended June 30,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right="20" w:firstLine="439"/>
        <w:spacing w:after="0" w:line="247" w:lineRule="auto"/>
        <w:rPr>
          <w:sz w:val="20"/>
          <w:szCs w:val="20"/>
          <w:color w:val="auto"/>
        </w:rPr>
      </w:pPr>
      <w:r>
        <w:rPr>
          <w:rFonts w:ascii="Arial" w:cs="Arial" w:eastAsia="Arial" w:hAnsi="Arial"/>
          <w:sz w:val="18"/>
          <w:szCs w:val="18"/>
          <w:color w:val="auto"/>
        </w:rPr>
        <w:t>The Company must make estimates as to the collectability of its accrued rent and accounts receivable related to lease revenue. When evaluating the collectability of tenants’ accrued rent and accounts receivable balances, management considers tenant creditworthiness, current economic trends, including the impact of COVID-19 on tenants’ businesses, and changes in tenants’ payment patterns, on a lease-by-lease basis. As a result, the Company wrote off approximately $0.6 million and $1.2 million, respectively, during the three and six months ended June 30, 2021 and $35.9 million and $37.4 million, respectively, during the three and six months ended June 30, 2020, related to accrued rent, net balances. Additionally, the Company wrote off approximately $0.3 million and $0.1 million, respectively, during the three and six months ended June 30, 2021 and $18.0 million and $18.9 million, respectively, during the three and six months ended June 30, 2020, related to accounts receivable, net balances. The write-offs were for tenants, primarily in the retail sector, that either terminated their leases or for which the Company considered their accrued rent and/or accounts receivable balances were no longer probable of collection.</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Lessee</w:t>
      </w:r>
    </w:p>
    <w:p>
      <w:pPr>
        <w:spacing w:after="0" w:line="99" w:lineRule="exact"/>
        <w:rPr>
          <w:sz w:val="20"/>
          <w:szCs w:val="20"/>
          <w:color w:val="auto"/>
        </w:rPr>
      </w:pPr>
    </w:p>
    <w:p>
      <w:pPr>
        <w:ind w:firstLine="399"/>
        <w:spacing w:after="0" w:line="263" w:lineRule="auto"/>
        <w:rPr>
          <w:sz w:val="20"/>
          <w:szCs w:val="20"/>
          <w:color w:val="auto"/>
        </w:rPr>
      </w:pPr>
      <w:r>
        <w:rPr>
          <w:rFonts w:ascii="Arial" w:cs="Arial" w:eastAsia="Arial" w:hAnsi="Arial"/>
          <w:sz w:val="17"/>
          <w:szCs w:val="17"/>
          <w:color w:val="auto"/>
        </w:rPr>
        <w:t>On May 19, 2021, the Company amended its ground lease at Sumner Square in Washington, DC. The amendment extends the ground lease for an additional 15 years. Prior to the amendment, the ground lease was scheduled to expire on August 10, 2066. The ground lease will now expire on August 9, 2081. The lease requires the Company to pay $23.0 million in 2021 and requires the Company’s remaining obligation of approximately $4.0 million be used to fund certain operation and maintenance costs for the next five years, with no payments thereafter. The Company’s incremental borrowing rate is 3.95% per annum. The net present value of the ground lease payments is approximately $26.7 million. The Company continues to classify this ground lease as an operating lease. As a result, the Company recorded a Right-of-Use Assets - Operating Leases and Lease Liabilities - Operating Leases of approximately $27.1 million and $26.7 million, respectively, on its Consolidated Balance Sheet. The Sumner Square ground lease had operating lease costs of approximately $0.2 million and $0.3 million for the three months ended June 30, 2021 and 2020, respectively, and approximately $0.5 million and $0.7 million for the six months ended June 30, 2021 and 2020, respectively. Sumner Square is an approximately 210,000 net rentable square foot Class A office building.</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firstLine="399"/>
        <w:spacing w:after="0" w:line="252" w:lineRule="auto"/>
        <w:rPr>
          <w:sz w:val="20"/>
          <w:szCs w:val="20"/>
          <w:color w:val="auto"/>
        </w:rPr>
      </w:pPr>
      <w:r>
        <w:rPr>
          <w:rFonts w:ascii="Arial" w:cs="Arial" w:eastAsia="Arial" w:hAnsi="Arial"/>
          <w:sz w:val="18"/>
          <w:szCs w:val="18"/>
          <w:color w:val="auto"/>
        </w:rPr>
        <w:t>The following table provides a maturity analysis for the Company’s lease liabilities related to its Sumner Square operating lease as of May 19, 2021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6"/>
                <w:szCs w:val="16"/>
                <w:b w:val="1"/>
                <w:bCs w:val="1"/>
                <w:color w:val="auto"/>
              </w:rPr>
              <w:t>Operating</w:t>
            </w:r>
          </w:p>
        </w:tc>
      </w:tr>
      <w:tr>
        <w:trPr>
          <w:trHeight w:val="219"/>
        </w:trPr>
        <w:tc>
          <w:tcPr>
            <w:tcW w:w="9100" w:type="dxa"/>
            <w:vAlign w:val="bottom"/>
          </w:tcPr>
          <w:p>
            <w:pPr>
              <w:ind w:left="20"/>
              <w:spacing w:after="0"/>
              <w:rPr>
                <w:sz w:val="20"/>
                <w:szCs w:val="20"/>
                <w:color w:val="auto"/>
              </w:rPr>
            </w:pPr>
            <w:r>
              <w:rPr>
                <w:rFonts w:ascii="Arial" w:cs="Arial" w:eastAsia="Arial" w:hAnsi="Arial"/>
                <w:sz w:val="18"/>
                <w:szCs w:val="18"/>
                <w:color w:val="auto"/>
              </w:rPr>
              <w:t>Period from May 19, 2021 through December 31, 2021</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23,599</w:t>
            </w:r>
          </w:p>
        </w:tc>
      </w:tr>
      <w:tr>
        <w:trPr>
          <w:trHeight w:val="227"/>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25"/>
        </w:trPr>
        <w:tc>
          <w:tcPr>
            <w:tcW w:w="910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27"/>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25"/>
        </w:trPr>
        <w:tc>
          <w:tcPr>
            <w:tcW w:w="910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27"/>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5"/>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91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27,206</w:t>
            </w:r>
          </w:p>
        </w:tc>
      </w:tr>
      <w:tr>
        <w:trPr>
          <w:trHeight w:val="225"/>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 portion</w:t>
            </w:r>
          </w:p>
        </w:tc>
        <w:tc>
          <w:tcPr>
            <w:tcW w:w="4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44"/>
        </w:trPr>
        <w:tc>
          <w:tcPr>
            <w:tcW w:w="910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Present value of lease payments</w:t>
            </w: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26,670</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Lessor</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components of lease revenue recognized during the three and six months ended June 30, 2021 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2020 included within the Company's Consolidated Statements of Operations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8"/>
                <w:szCs w:val="18"/>
                <w:color w:val="auto"/>
              </w:rPr>
            </w:pPr>
          </w:p>
        </w:tc>
        <w:tc>
          <w:tcPr>
            <w:tcW w:w="2760" w:type="dxa"/>
            <w:vAlign w:val="bottom"/>
            <w:gridSpan w:val="4"/>
          </w:tcPr>
          <w:p>
            <w:pPr>
              <w:jc w:val="right"/>
              <w:ind w:right="434"/>
              <w:spacing w:after="0"/>
              <w:rPr>
                <w:sz w:val="20"/>
                <w:szCs w:val="20"/>
                <w:color w:val="auto"/>
              </w:rPr>
            </w:pPr>
            <w:r>
              <w:rPr>
                <w:rFonts w:ascii="Arial" w:cs="Arial" w:eastAsia="Arial" w:hAnsi="Arial"/>
                <w:sz w:val="16"/>
                <w:szCs w:val="16"/>
                <w:b w:val="1"/>
                <w:bCs w:val="1"/>
                <w:color w:val="auto"/>
              </w:rPr>
              <w:t>Six months ended June 30,</w:t>
            </w:r>
          </w:p>
        </w:tc>
      </w:tr>
      <w:tr>
        <w:trPr>
          <w:trHeight w:val="211"/>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Lease Revenue</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r>
      <w:tr>
        <w:trPr>
          <w:trHeight w:val="22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contractual payments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576,184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529,514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1,151,537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1,116,471</w:t>
            </w:r>
          </w:p>
        </w:tc>
      </w:tr>
      <w:tr>
        <w:trPr>
          <w:trHeight w:val="225"/>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Variable lease payments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107,841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100,605</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218,305</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223,759</w:t>
            </w:r>
          </w:p>
        </w:tc>
      </w:tr>
      <w:tr>
        <w:trPr>
          <w:trHeight w:val="244"/>
        </w:trPr>
        <w:tc>
          <w:tcPr>
            <w:tcW w:w="4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684,025</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630,119</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1,369,842</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1,340,230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810"/>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474"/>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4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Unconsolidated Joint Ventures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investments in unconsolidated joint ventures consist of the following at June 30, 2021 and December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Carrying Value of Investment (1)</w:t>
            </w:r>
          </w:p>
        </w:tc>
        <w:tc>
          <w:tcPr>
            <w:tcW w:w="0" w:type="dxa"/>
            <w:vAlign w:val="bottom"/>
          </w:tcPr>
          <w:p>
            <w:pPr>
              <w:spacing w:after="0"/>
              <w:rPr>
                <w:sz w:val="1"/>
                <w:szCs w:val="1"/>
                <w:color w:val="auto"/>
              </w:rPr>
            </w:pPr>
          </w:p>
        </w:tc>
      </w:tr>
      <w:tr>
        <w:trPr>
          <w:trHeight w:val="140"/>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Properties</w:t>
            </w:r>
          </w:p>
        </w:tc>
        <w:tc>
          <w:tcPr>
            <w:tcW w:w="124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Nominal %</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ind w:left="160"/>
              <w:spacing w:after="0" w:line="140"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1180" w:type="dxa"/>
            <w:vAlign w:val="bottom"/>
          </w:tcPr>
          <w:p>
            <w:pPr>
              <w:jc w:val="right"/>
              <w:ind w:right="121"/>
              <w:spacing w:after="0" w:line="140"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00" w:type="dxa"/>
            <w:vAlign w:val="bottom"/>
            <w:gridSpan w:val="2"/>
            <w:vMerge w:val="continue"/>
          </w:tcPr>
          <w:p>
            <w:pPr>
              <w:spacing w:after="0"/>
              <w:rPr>
                <w:sz w:val="15"/>
                <w:szCs w:val="15"/>
                <w:color w:val="auto"/>
              </w:rPr>
            </w:pPr>
          </w:p>
        </w:tc>
        <w:tc>
          <w:tcPr>
            <w:tcW w:w="3160" w:type="dxa"/>
            <w:vAlign w:val="bottom"/>
            <w:gridSpan w:val="2"/>
            <w:vMerge w:val="continue"/>
          </w:tcPr>
          <w:p>
            <w:pPr>
              <w:spacing w:after="0"/>
              <w:rPr>
                <w:sz w:val="15"/>
                <w:szCs w:val="15"/>
                <w:color w:val="auto"/>
              </w:rPr>
            </w:pPr>
          </w:p>
        </w:tc>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Ownership</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3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720" w:type="dxa"/>
            <w:vAlign w:val="bottom"/>
            <w:tcBorders>
              <w:top w:val="single" w:sz="8" w:color="auto"/>
            </w:tcBorders>
            <w:gridSpan w:val="4"/>
          </w:tcPr>
          <w:p>
            <w:pPr>
              <w:jc w:val="right"/>
              <w:ind w:right="92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Square 407 Limited Partnership</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 Square North</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(3,766)</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BP/CRF Metropolitan Square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Metropolitan Square</w:t>
            </w:r>
          </w:p>
        </w:tc>
        <w:tc>
          <w:tcPr>
            <w:tcW w:w="1240" w:type="dxa"/>
            <w:vAlign w:val="bottom"/>
          </w:tcPr>
          <w:p>
            <w:pPr>
              <w:jc w:val="right"/>
              <w:spacing w:after="0"/>
              <w:rPr>
                <w:sz w:val="20"/>
                <w:szCs w:val="20"/>
                <w:color w:val="auto"/>
              </w:rPr>
            </w:pPr>
            <w:r>
              <w:rPr>
                <w:rFonts w:ascii="Arial" w:cs="Arial" w:eastAsia="Arial" w:hAnsi="Arial"/>
                <w:sz w:val="16"/>
                <w:szCs w:val="16"/>
                <w:color w:val="auto"/>
              </w:rPr>
              <w:t>20.0 %</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(13,584)</w:t>
            </w: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901 New York,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901 New York Avenue</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25.0 % (2)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(12,264)</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WP Project Developer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Wisconsin Place Land and Infrastructure</w:t>
            </w:r>
          </w:p>
        </w:tc>
        <w:tc>
          <w:tcPr>
            <w:tcW w:w="1240" w:type="dxa"/>
            <w:vAlign w:val="bottom"/>
          </w:tcPr>
          <w:p>
            <w:pPr>
              <w:jc w:val="right"/>
              <w:spacing w:after="0"/>
              <w:rPr>
                <w:sz w:val="20"/>
                <w:szCs w:val="20"/>
                <w:color w:val="auto"/>
              </w:rPr>
            </w:pPr>
            <w:r>
              <w:rPr>
                <w:rFonts w:ascii="Arial" w:cs="Arial" w:eastAsia="Arial" w:hAnsi="Arial"/>
                <w:sz w:val="16"/>
                <w:szCs w:val="16"/>
                <w:color w:val="auto"/>
              </w:rPr>
              <w:t>33.3 %</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34,505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35,297</w:t>
            </w: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Annapolis Junction NFM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Annapolis Junction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13,463</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540 Madison Venture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540 Madison Avenue</w:t>
            </w:r>
          </w:p>
        </w:tc>
        <w:tc>
          <w:tcPr>
            <w:tcW w:w="1620" w:type="dxa"/>
            <w:vAlign w:val="bottom"/>
            <w:gridSpan w:val="2"/>
          </w:tcPr>
          <w:p>
            <w:pPr>
              <w:jc w:val="right"/>
              <w:ind w:right="40"/>
              <w:spacing w:after="0"/>
              <w:rPr>
                <w:sz w:val="20"/>
                <w:szCs w:val="20"/>
                <w:color w:val="auto"/>
              </w:rPr>
            </w:pPr>
            <w:r>
              <w:rPr>
                <w:rFonts w:ascii="Arial" w:cs="Arial" w:eastAsia="Arial" w:hAnsi="Arial"/>
                <w:sz w:val="16"/>
                <w:szCs w:val="16"/>
                <w:color w:val="auto"/>
              </w:rPr>
              <w:t>60.0 % (5)</w:t>
            </w:r>
          </w:p>
        </w:tc>
        <w:tc>
          <w:tcPr>
            <w:tcW w:w="24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500 North Capitol Venture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500 North Capitol Street, NW</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(6,945)</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501 K Street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1001 6th Street</w:t>
            </w:r>
          </w:p>
        </w:tc>
        <w:tc>
          <w:tcPr>
            <w:tcW w:w="1240" w:type="dxa"/>
            <w:vAlign w:val="bottom"/>
          </w:tcPr>
          <w:p>
            <w:pPr>
              <w:jc w:val="right"/>
              <w:spacing w:after="0"/>
              <w:rPr>
                <w:sz w:val="20"/>
                <w:szCs w:val="20"/>
                <w:color w:val="auto"/>
              </w:rPr>
            </w:pPr>
            <w:r>
              <w:rPr>
                <w:rFonts w:ascii="Arial" w:cs="Arial" w:eastAsia="Arial" w:hAnsi="Arial"/>
                <w:sz w:val="16"/>
                <w:szCs w:val="16"/>
                <w:color w:val="auto"/>
              </w:rPr>
              <w:t>50.0 %</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42,495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42,499</w:t>
            </w: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Podium Developer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Hub on Causeway - Podium</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48,818</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Residential Tower Developer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Hub50House</w:t>
            </w:r>
          </w:p>
        </w:tc>
        <w:tc>
          <w:tcPr>
            <w:tcW w:w="1240" w:type="dxa"/>
            <w:vAlign w:val="bottom"/>
          </w:tcPr>
          <w:p>
            <w:pPr>
              <w:jc w:val="right"/>
              <w:spacing w:after="0"/>
              <w:rPr>
                <w:sz w:val="20"/>
                <w:szCs w:val="20"/>
                <w:color w:val="auto"/>
              </w:rPr>
            </w:pPr>
            <w:r>
              <w:rPr>
                <w:rFonts w:ascii="Arial" w:cs="Arial" w:eastAsia="Arial" w:hAnsi="Arial"/>
                <w:sz w:val="16"/>
                <w:szCs w:val="16"/>
                <w:color w:val="auto"/>
              </w:rPr>
              <w:t>50.0 %</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48,520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50,943</w:t>
            </w: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Hotel Tower Developer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Hub on Causeway - Hotel Air Rights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10,754</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Office Tower Developer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100 Causeway Street</w:t>
            </w:r>
          </w:p>
        </w:tc>
        <w:tc>
          <w:tcPr>
            <w:tcW w:w="1240" w:type="dxa"/>
            <w:vAlign w:val="bottom"/>
          </w:tcPr>
          <w:p>
            <w:pPr>
              <w:jc w:val="right"/>
              <w:spacing w:after="0"/>
              <w:rPr>
                <w:sz w:val="20"/>
                <w:szCs w:val="20"/>
                <w:color w:val="auto"/>
              </w:rPr>
            </w:pPr>
            <w:r>
              <w:rPr>
                <w:rFonts w:ascii="Arial" w:cs="Arial" w:eastAsia="Arial" w:hAnsi="Arial"/>
                <w:sz w:val="16"/>
                <w:szCs w:val="16"/>
                <w:color w:val="auto"/>
              </w:rPr>
              <w:t>50.0 %</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56,589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56,312</w:t>
            </w: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1265 Main Office JV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1265 Main Street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3,787</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BNY Tower Holdings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Dock 72</w:t>
            </w:r>
          </w:p>
        </w:tc>
        <w:tc>
          <w:tcPr>
            <w:tcW w:w="1240" w:type="dxa"/>
            <w:vAlign w:val="bottom"/>
          </w:tcPr>
          <w:p>
            <w:pPr>
              <w:jc w:val="right"/>
              <w:spacing w:after="0"/>
              <w:rPr>
                <w:sz w:val="20"/>
                <w:szCs w:val="20"/>
                <w:color w:val="auto"/>
              </w:rPr>
            </w:pPr>
            <w:r>
              <w:rPr>
                <w:rFonts w:ascii="Arial" w:cs="Arial" w:eastAsia="Arial" w:hAnsi="Arial"/>
                <w:sz w:val="16"/>
                <w:szCs w:val="16"/>
                <w:color w:val="auto"/>
              </w:rPr>
              <w:t>50.0 %</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28,116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29,536</w:t>
            </w: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BNYTA Amenity Operator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Dock 72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CA-Colorado Center Limited Partnership</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Colorado Center</w:t>
            </w:r>
          </w:p>
        </w:tc>
        <w:tc>
          <w:tcPr>
            <w:tcW w:w="1240" w:type="dxa"/>
            <w:vAlign w:val="bottom"/>
          </w:tcPr>
          <w:p>
            <w:pPr>
              <w:jc w:val="right"/>
              <w:spacing w:after="0"/>
              <w:rPr>
                <w:sz w:val="20"/>
                <w:szCs w:val="20"/>
                <w:color w:val="auto"/>
              </w:rPr>
            </w:pPr>
            <w:r>
              <w:rPr>
                <w:rFonts w:ascii="Arial" w:cs="Arial" w:eastAsia="Arial" w:hAnsi="Arial"/>
                <w:sz w:val="16"/>
                <w:szCs w:val="16"/>
                <w:color w:val="auto"/>
              </w:rPr>
              <w:t>50.0 %</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229,564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227,671</w:t>
            </w: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58,112</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BP-M 3HB Venture LLC</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3 Hudson Boulevard</w:t>
            </w:r>
          </w:p>
        </w:tc>
        <w:tc>
          <w:tcPr>
            <w:tcW w:w="1240" w:type="dxa"/>
            <w:vAlign w:val="bottom"/>
          </w:tcPr>
          <w:p>
            <w:pPr>
              <w:jc w:val="right"/>
              <w:spacing w:after="0"/>
              <w:rPr>
                <w:sz w:val="20"/>
                <w:szCs w:val="20"/>
                <w:color w:val="auto"/>
              </w:rPr>
            </w:pPr>
            <w:r>
              <w:rPr>
                <w:rFonts w:ascii="Arial" w:cs="Arial" w:eastAsia="Arial" w:hAnsi="Arial"/>
                <w:sz w:val="16"/>
                <w:szCs w:val="16"/>
                <w:color w:val="auto"/>
              </w:rPr>
              <w:t>25.0 %</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116,848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113,774</w:t>
            </w: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SMBP Venture LP</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Santa Monica Business Park</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55.0 %</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157,593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145,761</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Platform 16 Holdings LP</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Platform 16</w:t>
            </w:r>
          </w:p>
        </w:tc>
        <w:tc>
          <w:tcPr>
            <w:tcW w:w="1240" w:type="dxa"/>
            <w:vAlign w:val="bottom"/>
          </w:tcPr>
          <w:p>
            <w:pPr>
              <w:jc w:val="right"/>
              <w:spacing w:after="0"/>
              <w:rPr>
                <w:sz w:val="20"/>
                <w:szCs w:val="20"/>
                <w:color w:val="auto"/>
              </w:rPr>
            </w:pPr>
            <w:r>
              <w:rPr>
                <w:rFonts w:ascii="Arial" w:cs="Arial" w:eastAsia="Arial" w:hAnsi="Arial"/>
                <w:sz w:val="16"/>
                <w:szCs w:val="16"/>
                <w:color w:val="auto"/>
              </w:rPr>
              <w:t>55.0 %</w:t>
            </w:r>
          </w:p>
        </w:tc>
        <w:tc>
          <w:tcPr>
            <w:tcW w:w="38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108,241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108,393</w:t>
            </w: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Gateway Portfolio Holdings LLC</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Gateway Commons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3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331,389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336,206</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Rosecrans-Sepulveda Partners 4, LLC</w:t>
            </w:r>
          </w:p>
        </w:tc>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Beach Cities Media Campus</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50.0 %</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27,145</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27,184</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1,270,102</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1,273,919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480" w:right="80" w:hanging="314"/>
        <w:spacing w:after="0" w:line="242" w:lineRule="auto"/>
        <w:tabs>
          <w:tab w:leader="none" w:pos="4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$35.5 million and $36.6 million at June 30, 2021 and December 31, 2020, respectively, are included within Other Liabilities in the Company’s Consolidated Balance Sheets.</w:t>
      </w:r>
    </w:p>
    <w:p>
      <w:pPr>
        <w:spacing w:after="0" w:line="1" w:lineRule="exact"/>
        <w:rPr>
          <w:rFonts w:ascii="Arial" w:cs="Arial" w:eastAsia="Arial" w:hAnsi="Arial"/>
          <w:sz w:val="16"/>
          <w:szCs w:val="16"/>
          <w:color w:val="auto"/>
        </w:rPr>
      </w:pPr>
    </w:p>
    <w:p>
      <w:pPr>
        <w:ind w:left="480" w:right="160" w:hanging="314"/>
        <w:spacing w:after="0" w:line="242" w:lineRule="auto"/>
        <w:tabs>
          <w:tab w:leader="none" w:pos="4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economic ownership has increased based on the achievement of certain return thresholds. At June 30, 2021 and December 31, 2020, the Company’s economic ownership was approximately 50%.</w:t>
      </w:r>
    </w:p>
    <w:p>
      <w:pPr>
        <w:spacing w:after="0" w:line="1" w:lineRule="exact"/>
        <w:rPr>
          <w:rFonts w:ascii="Arial" w:cs="Arial" w:eastAsia="Arial" w:hAnsi="Arial"/>
          <w:sz w:val="16"/>
          <w:szCs w:val="16"/>
          <w:color w:val="auto"/>
        </w:rPr>
      </w:pPr>
    </w:p>
    <w:p>
      <w:pPr>
        <w:ind w:left="480" w:right="360" w:hanging="314"/>
        <w:spacing w:after="0" w:line="242" w:lineRule="auto"/>
        <w:tabs>
          <w:tab w:leader="none" w:pos="4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wholly-owned subsidiary that owns Wisconsin Place Office also owns a 33.3% interest in the joint venture entity that owns the land, parking garage and infrastructure of the project.</w:t>
      </w:r>
    </w:p>
    <w:p>
      <w:pPr>
        <w:spacing w:after="0" w:line="1" w:lineRule="exact"/>
        <w:rPr>
          <w:rFonts w:ascii="Arial" w:cs="Arial" w:eastAsia="Arial" w:hAnsi="Arial"/>
          <w:sz w:val="16"/>
          <w:szCs w:val="16"/>
          <w:color w:val="auto"/>
        </w:rPr>
      </w:pPr>
    </w:p>
    <w:p>
      <w:pPr>
        <w:ind w:left="480" w:hanging="314"/>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March 30, 2021, the Company sold its interest in the joint venture to the partner. See below for additional details.</w:t>
      </w:r>
    </w:p>
    <w:p>
      <w:pPr>
        <w:spacing w:after="0" w:line="8" w:lineRule="exact"/>
        <w:rPr>
          <w:rFonts w:ascii="Arial" w:cs="Arial" w:eastAsia="Arial" w:hAnsi="Arial"/>
          <w:sz w:val="16"/>
          <w:szCs w:val="16"/>
          <w:color w:val="auto"/>
        </w:rPr>
      </w:pPr>
    </w:p>
    <w:p>
      <w:pPr>
        <w:ind w:left="480" w:right="540" w:hanging="314"/>
        <w:spacing w:after="0" w:line="227" w:lineRule="auto"/>
        <w:tabs>
          <w:tab w:leader="none" w:pos="475" w:val="left"/>
        </w:tabs>
        <w:numPr>
          <w:ilvl w:val="0"/>
          <w:numId w:val="12"/>
        </w:numPr>
        <w:rPr>
          <w:rFonts w:ascii="Arial" w:cs="Arial" w:eastAsia="Arial" w:hAnsi="Arial"/>
          <w:sz w:val="16"/>
          <w:szCs w:val="16"/>
          <w:color w:val="auto"/>
        </w:rPr>
      </w:pPr>
      <w:r>
        <w:rPr>
          <w:rFonts w:ascii="Arial" w:cs="Arial" w:eastAsia="Arial" w:hAnsi="Arial"/>
          <w:sz w:val="18"/>
          <w:szCs w:val="18"/>
          <w:color w:val="auto"/>
        </w:rPr>
        <w:t>T</w:t>
      </w:r>
      <w:r>
        <w:rPr>
          <w:rFonts w:ascii="Arial" w:cs="Arial" w:eastAsia="Arial" w:hAnsi="Arial"/>
          <w:sz w:val="15"/>
          <w:szCs w:val="15"/>
          <w:color w:val="auto"/>
        </w:rPr>
        <w:t>he property was sold on June 27, 2019. As of December 31, 2020, the investment consisted of undistributed cash. All remaining cash has been</w:t>
      </w:r>
      <w:r>
        <w:rPr>
          <w:rFonts w:ascii="Arial" w:cs="Arial" w:eastAsia="Arial" w:hAnsi="Arial"/>
          <w:sz w:val="18"/>
          <w:szCs w:val="18"/>
          <w:color w:val="auto"/>
        </w:rPr>
        <w:t xml:space="preserve"> </w:t>
      </w:r>
      <w:r>
        <w:rPr>
          <w:rFonts w:ascii="Arial" w:cs="Arial" w:eastAsia="Arial" w:hAnsi="Arial"/>
          <w:sz w:val="15"/>
          <w:szCs w:val="15"/>
          <w:color w:val="auto"/>
        </w:rPr>
        <w:t>distributed as of June 30, 2021.</w:t>
      </w:r>
    </w:p>
    <w:p>
      <w:pPr>
        <w:spacing w:after="0" w:line="1" w:lineRule="exact"/>
        <w:rPr>
          <w:rFonts w:ascii="Arial" w:cs="Arial" w:eastAsia="Arial" w:hAnsi="Arial"/>
          <w:sz w:val="16"/>
          <w:szCs w:val="16"/>
          <w:color w:val="auto"/>
        </w:rPr>
      </w:pPr>
    </w:p>
    <w:p>
      <w:pPr>
        <w:ind w:left="480" w:right="120" w:hanging="314"/>
        <w:spacing w:after="0" w:line="242" w:lineRule="auto"/>
        <w:tabs>
          <w:tab w:leader="none" w:pos="4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Under the joint venture agreement for this land parcel, the partner will be entitled to up to two additional payments from the venture based on increases in total entitled square footage of the project above 520,000 square feet and achieving certain project returns at stabilization.</w:t>
      </w:r>
    </w:p>
    <w:p>
      <w:pPr>
        <w:spacing w:after="0" w:line="1" w:lineRule="exact"/>
        <w:rPr>
          <w:rFonts w:ascii="Arial" w:cs="Arial" w:eastAsia="Arial" w:hAnsi="Arial"/>
          <w:sz w:val="16"/>
          <w:szCs w:val="16"/>
          <w:color w:val="auto"/>
        </w:rPr>
      </w:pPr>
    </w:p>
    <w:p>
      <w:pPr>
        <w:ind w:left="480" w:hanging="314"/>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entity is a VIE (See Note 2).</w:t>
      </w:r>
    </w:p>
    <w:p>
      <w:pPr>
        <w:spacing w:after="0" w:line="2" w:lineRule="exact"/>
        <w:rPr>
          <w:rFonts w:ascii="Arial" w:cs="Arial" w:eastAsia="Arial" w:hAnsi="Arial"/>
          <w:sz w:val="16"/>
          <w:szCs w:val="16"/>
          <w:color w:val="auto"/>
        </w:rPr>
      </w:pPr>
    </w:p>
    <w:p>
      <w:pPr>
        <w:ind w:left="480" w:right="80" w:hanging="314"/>
        <w:spacing w:after="0" w:line="253" w:lineRule="auto"/>
        <w:tabs>
          <w:tab w:leader="none" w:pos="4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a result of the partner’s deferred contribution, the Company owned an approximately 53% and 55% interest in the joint venture at June 30, 2021 and December 31, 2020, respectively. Future development projects will be owned 49% by the Company and 51% by its partner.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439"/>
        <w:spacing w:after="0" w:line="268" w:lineRule="auto"/>
        <w:rPr>
          <w:sz w:val="20"/>
          <w:szCs w:val="20"/>
          <w:color w:val="auto"/>
        </w:rPr>
      </w:pPr>
      <w:r>
        <w:rPr>
          <w:rFonts w:ascii="Arial" w:cs="Arial" w:eastAsia="Arial" w:hAnsi="Arial"/>
          <w:sz w:val="17"/>
          <w:szCs w:val="17"/>
          <w:color w:val="auto"/>
        </w:rPr>
        <w:t>Certain of the Company’s unconsolidated joint venture agreements include provisions whereby, at certain specified times, each partner has the right to initiate a purchase or sale of its interest in the joint ventures. With limited exceptions under these provisions, the Company is not compelled to purchase the interest of its outside joint venture partners. Under certain of the Company’s joint venture agreements, if certain return thresholds are achieved, the partners or the Company will be entitled to an additional promoted interest or payments.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combined summarized balance sheets of the Company’s unconsolidated joint ventures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460" w:type="dxa"/>
            <w:vAlign w:val="bottom"/>
          </w:tcPr>
          <w:p>
            <w:pPr>
              <w:jc w:val="right"/>
              <w:ind w:right="2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6"/>
        </w:trPr>
        <w:tc>
          <w:tcPr>
            <w:tcW w:w="7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4"/>
          </w:tcPr>
          <w:p>
            <w:pPr>
              <w:jc w:val="right"/>
              <w:ind w:right="108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358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Real estate and development in process, net (1)</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4,751,881</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4,708,571</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521,766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531,071</w:t>
            </w:r>
          </w:p>
        </w:tc>
        <w:tc>
          <w:tcPr>
            <w:tcW w:w="0" w:type="dxa"/>
            <w:vAlign w:val="bottom"/>
          </w:tcPr>
          <w:p>
            <w:pPr>
              <w:spacing w:after="0"/>
              <w:rPr>
                <w:sz w:val="1"/>
                <w:szCs w:val="1"/>
                <w:color w:val="auto"/>
              </w:rPr>
            </w:pPr>
          </w:p>
        </w:tc>
      </w:tr>
      <w:tr>
        <w:trPr>
          <w:trHeight w:val="203"/>
        </w:trPr>
        <w:tc>
          <w:tcPr>
            <w:tcW w:w="782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5,273,647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5,239,642</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20" w:type="dxa"/>
            <w:vAlign w:val="bottom"/>
            <w:shd w:val="clear" w:color="auto" w:fill="CCEEFF"/>
          </w:tcPr>
          <w:p>
            <w:pPr>
              <w:ind w:left="2000"/>
              <w:spacing w:after="0" w:line="182" w:lineRule="exact"/>
              <w:rPr>
                <w:sz w:val="20"/>
                <w:szCs w:val="20"/>
                <w:color w:val="auto"/>
              </w:rPr>
            </w:pPr>
            <w:r>
              <w:rPr>
                <w:rFonts w:ascii="Arial" w:cs="Arial" w:eastAsia="Arial" w:hAnsi="Arial"/>
                <w:sz w:val="16"/>
                <w:szCs w:val="16"/>
                <w:b w:val="1"/>
                <w:bCs w:val="1"/>
                <w:color w:val="auto"/>
              </w:rPr>
              <w:t>LIABILITIES AND MEMBERS’/PARTNERS’ EQUITY</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Mortgage and notes payable, net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2,715,677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2,637,911</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(2)</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600,402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650,433</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Members’/Partners’ equity</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1,957,568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1,951,298</w:t>
            </w:r>
          </w:p>
        </w:tc>
        <w:tc>
          <w:tcPr>
            <w:tcW w:w="0" w:type="dxa"/>
            <w:vAlign w:val="bottom"/>
          </w:tcPr>
          <w:p>
            <w:pPr>
              <w:spacing w:after="0"/>
              <w:rPr>
                <w:sz w:val="1"/>
                <w:szCs w:val="1"/>
                <w:color w:val="auto"/>
              </w:rPr>
            </w:pPr>
          </w:p>
        </w:tc>
      </w:tr>
      <w:tr>
        <w:trPr>
          <w:trHeight w:val="231"/>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 and members’/partners’ equity</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5,273,647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5,239,642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Company’s share of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20" w:type="dxa"/>
            <w:vAlign w:val="bottom"/>
            <w:vMerge w:val="continue"/>
          </w:tcPr>
          <w:p>
            <w:pPr>
              <w:spacing w:after="0"/>
              <w:rPr>
                <w:sz w:val="16"/>
                <w:szCs w:val="16"/>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929,421</w:t>
            </w:r>
          </w:p>
        </w:tc>
        <w:tc>
          <w:tcPr>
            <w:tcW w:w="100" w:type="dxa"/>
            <w:vAlign w:val="bottom"/>
          </w:tcPr>
          <w:p>
            <w:pPr>
              <w:spacing w:after="0"/>
              <w:rPr>
                <w:sz w:val="16"/>
                <w:szCs w:val="16"/>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936,087</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Basis differentials (3)</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340,681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337,832</w:t>
            </w: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rPr>
                <w:sz w:val="20"/>
                <w:szCs w:val="20"/>
                <w:color w:val="auto"/>
              </w:rPr>
            </w:pPr>
            <w:r>
              <w:rPr>
                <w:rFonts w:ascii="Arial" w:cs="Arial" w:eastAsia="Arial" w:hAnsi="Arial"/>
                <w:sz w:val="16"/>
                <w:szCs w:val="16"/>
                <w:color w:val="auto"/>
              </w:rPr>
              <w:t>Carrying value of the Company’s investments in unconsolidated joint ventures (4)</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1,270,102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1,273,919</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480" w:right="280" w:hanging="314"/>
        <w:spacing w:after="0" w:line="242" w:lineRule="auto"/>
        <w:tabs>
          <w:tab w:leader="none" w:pos="4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June 30, 2021 and December 31, 2020, this amount included right of use assets - finance leases totaling approximately $248.9 million and $248.9 million, respectively, and right of use assets - operating leases totaling approximately $22.0 million and $22.5 million, respectively.</w:t>
      </w:r>
    </w:p>
    <w:p>
      <w:pPr>
        <w:spacing w:after="0" w:line="1" w:lineRule="exact"/>
        <w:rPr>
          <w:rFonts w:ascii="Arial" w:cs="Arial" w:eastAsia="Arial" w:hAnsi="Arial"/>
          <w:sz w:val="16"/>
          <w:szCs w:val="16"/>
          <w:color w:val="auto"/>
        </w:rPr>
      </w:pPr>
    </w:p>
    <w:p>
      <w:pPr>
        <w:ind w:left="480" w:right="540" w:hanging="314"/>
        <w:spacing w:after="0" w:line="242" w:lineRule="auto"/>
        <w:tabs>
          <w:tab w:leader="none" w:pos="4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June 30, 2021 and December 31, 2020, this amount included lease liabilities - finance leases totaling approximately $387.1 million and $388.7 million, respectively, and lease liabilities - operating leases totaling approximately $29.4 million and $29.0 million, respectively.</w:t>
      </w:r>
    </w:p>
    <w:p>
      <w:pPr>
        <w:spacing w:after="0" w:line="1" w:lineRule="exact"/>
        <w:rPr>
          <w:rFonts w:ascii="Arial" w:cs="Arial" w:eastAsia="Arial" w:hAnsi="Arial"/>
          <w:sz w:val="16"/>
          <w:szCs w:val="16"/>
          <w:color w:val="auto"/>
        </w:rPr>
      </w:pPr>
    </w:p>
    <w:p>
      <w:pPr>
        <w:ind w:left="480" w:right="80" w:hanging="314"/>
        <w:spacing w:after="0" w:line="245" w:lineRule="auto"/>
        <w:tabs>
          <w:tab w:leader="none" w:pos="4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acquisitions through joint ventures with no change in control and upon the transfer of assets that were previously owned by the Company into a joint venture. In addition, certain acquisition, transaction and other costs may not be reflected in the net assets at the joint venture level. The majority of the Company’s basis differences are as follows:</w:t>
      </w:r>
    </w:p>
    <w:tbl>
      <w:tblPr>
        <w:tblLayout w:type="fixed"/>
        <w:tblInd w:w="640" w:type="dxa"/>
        <w:tblCellMar>
          <w:top w:w="0" w:type="dxa"/>
          <w:left w:w="0" w:type="dxa"/>
          <w:bottom w:w="0" w:type="dxa"/>
          <w:right w:w="0" w:type="dxa"/>
        </w:tblCellMar>
      </w:tblPr>
      <w:tr>
        <w:trPr>
          <w:trHeight w:val="176"/>
        </w:trPr>
        <w:tc>
          <w:tcPr>
            <w:tcW w:w="66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7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9"/>
              </w:rPr>
              <w:t>June 30,</w:t>
            </w:r>
          </w:p>
        </w:tc>
        <w:tc>
          <w:tcPr>
            <w:tcW w:w="260" w:type="dxa"/>
            <w:vAlign w:val="bottom"/>
          </w:tcPr>
          <w:p>
            <w:pPr>
              <w:spacing w:after="0"/>
              <w:rPr>
                <w:sz w:val="15"/>
                <w:szCs w:val="15"/>
                <w:color w:val="auto"/>
              </w:rPr>
            </w:pPr>
          </w:p>
        </w:tc>
        <w:tc>
          <w:tcPr>
            <w:tcW w:w="1460" w:type="dxa"/>
            <w:vAlign w:val="bottom"/>
          </w:tcPr>
          <w:p>
            <w:pPr>
              <w:jc w:val="right"/>
              <w:ind w:right="240"/>
              <w:spacing w:after="0" w:line="176" w:lineRule="exact"/>
              <w:rPr>
                <w:sz w:val="20"/>
                <w:szCs w:val="20"/>
                <w:color w:val="auto"/>
              </w:rPr>
            </w:pPr>
            <w:r>
              <w:rPr>
                <w:rFonts w:ascii="Arial" w:cs="Arial" w:eastAsia="Arial" w:hAnsi="Arial"/>
                <w:sz w:val="16"/>
                <w:szCs w:val="16"/>
                <w:b w:val="1"/>
                <w:bCs w:val="1"/>
                <w:color w:val="auto"/>
              </w:rPr>
              <w:t>December 31,</w:t>
            </w:r>
          </w:p>
        </w:tc>
      </w:tr>
      <w:tr>
        <w:trPr>
          <w:trHeight w:val="212"/>
        </w:trPr>
        <w:tc>
          <w:tcPr>
            <w:tcW w:w="6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2020</w:t>
            </w:r>
          </w:p>
        </w:tc>
      </w:tr>
      <w:tr>
        <w:trPr>
          <w:trHeight w:val="153"/>
        </w:trPr>
        <w:tc>
          <w:tcPr>
            <w:tcW w:w="7180" w:type="dxa"/>
            <w:vAlign w:val="bottom"/>
            <w:gridSpan w:val="2"/>
          </w:tcPr>
          <w:p>
            <w:pPr>
              <w:spacing w:after="0" w:line="133" w:lineRule="exact"/>
              <w:rPr>
                <w:sz w:val="20"/>
                <w:szCs w:val="20"/>
                <w:color w:val="auto"/>
              </w:rPr>
            </w:pPr>
            <w:r>
              <w:rPr>
                <w:rFonts w:ascii="Arial" w:cs="Arial" w:eastAsia="Arial" w:hAnsi="Arial"/>
                <w:sz w:val="15"/>
                <w:szCs w:val="15"/>
                <w:b w:val="1"/>
                <w:bCs w:val="1"/>
                <w:color w:val="auto"/>
              </w:rPr>
              <w:t>Property</w:t>
            </w:r>
          </w:p>
        </w:tc>
        <w:tc>
          <w:tcPr>
            <w:tcW w:w="1000" w:type="dxa"/>
            <w:vAlign w:val="bottom"/>
          </w:tcPr>
          <w:p>
            <w:pPr>
              <w:spacing w:after="0"/>
              <w:rPr>
                <w:sz w:val="13"/>
                <w:szCs w:val="13"/>
                <w:color w:val="auto"/>
              </w:rPr>
            </w:pPr>
          </w:p>
        </w:tc>
        <w:tc>
          <w:tcPr>
            <w:tcW w:w="2420" w:type="dxa"/>
            <w:vAlign w:val="bottom"/>
            <w:gridSpan w:val="3"/>
          </w:tcPr>
          <w:p>
            <w:pPr>
              <w:jc w:val="right"/>
              <w:ind w:right="1080"/>
              <w:spacing w:after="0" w:line="140" w:lineRule="exact"/>
              <w:rPr>
                <w:sz w:val="20"/>
                <w:szCs w:val="20"/>
                <w:color w:val="auto"/>
              </w:rPr>
            </w:pPr>
            <w:r>
              <w:rPr>
                <w:rFonts w:ascii="Arial" w:cs="Arial" w:eastAsia="Arial" w:hAnsi="Arial"/>
                <w:sz w:val="16"/>
                <w:szCs w:val="16"/>
                <w:b w:val="1"/>
                <w:bCs w:val="1"/>
                <w:color w:val="auto"/>
              </w:rPr>
              <w:t>(in thousands)</w:t>
            </w:r>
          </w:p>
        </w:tc>
      </w:tr>
      <w:tr>
        <w:trPr>
          <w:trHeight w:val="33"/>
        </w:trPr>
        <w:tc>
          <w:tcPr>
            <w:tcW w:w="660" w:type="dxa"/>
            <w:vAlign w:val="bottom"/>
            <w:tcBorders>
              <w:top w:val="single" w:sz="8" w:color="auto"/>
            </w:tcBorders>
          </w:tcPr>
          <w:p>
            <w:pPr>
              <w:spacing w:after="0"/>
              <w:rPr>
                <w:sz w:val="2"/>
                <w:szCs w:val="2"/>
                <w:color w:val="auto"/>
              </w:rPr>
            </w:pPr>
          </w:p>
        </w:tc>
        <w:tc>
          <w:tcPr>
            <w:tcW w:w="6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3"/>
        </w:trPr>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Colorado Center</w:t>
            </w: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6"/>
              </w:rPr>
              <w:t>305,902</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307,328</w:t>
            </w:r>
          </w:p>
        </w:tc>
      </w:tr>
      <w:tr>
        <w:trPr>
          <w:trHeight w:val="210"/>
        </w:trPr>
        <w:tc>
          <w:tcPr>
            <w:tcW w:w="7180" w:type="dxa"/>
            <w:vAlign w:val="bottom"/>
            <w:gridSpan w:val="2"/>
          </w:tcPr>
          <w:p>
            <w:pPr>
              <w:spacing w:after="0"/>
              <w:rPr>
                <w:sz w:val="20"/>
                <w:szCs w:val="20"/>
                <w:color w:val="auto"/>
              </w:rPr>
            </w:pPr>
            <w:r>
              <w:rPr>
                <w:rFonts w:ascii="Arial" w:cs="Arial" w:eastAsia="Arial" w:hAnsi="Arial"/>
                <w:sz w:val="16"/>
                <w:szCs w:val="16"/>
                <w:color w:val="auto"/>
              </w:rPr>
              <w:t>Gateway Commons</w:t>
            </w:r>
          </w:p>
        </w:tc>
        <w:tc>
          <w:tcPr>
            <w:tcW w:w="10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52,104</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51,875</w:t>
            </w:r>
          </w:p>
        </w:tc>
      </w:tr>
      <w:tr>
        <w:trPr>
          <w:trHeight w:val="215"/>
        </w:trPr>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Dock 72</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(51,137)</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(52,243)</w:t>
            </w:r>
          </w:p>
        </w:tc>
      </w:tr>
    </w:tbl>
    <w:p>
      <w:pPr>
        <w:spacing w:after="0" w:line="14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These basis differentials (excluding land) will be amortized over the remaining lives of the related assets and liabilities.</w:t>
      </w:r>
    </w:p>
    <w:p>
      <w:pPr>
        <w:spacing w:after="0" w:line="95" w:lineRule="exact"/>
        <w:rPr>
          <w:sz w:val="20"/>
          <w:szCs w:val="20"/>
          <w:color w:val="auto"/>
        </w:rPr>
      </w:pPr>
    </w:p>
    <w:p>
      <w:pPr>
        <w:ind w:left="480" w:right="80" w:hanging="314"/>
        <w:spacing w:after="0" w:line="253" w:lineRule="auto"/>
        <w:tabs>
          <w:tab w:leader="none" w:pos="4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$35.5 million and $36.6 million at June 30, 2021 and December 31, 2020, respectively, are reflected within Other Liabilities in the Company’s Consolidated Balance Sheets.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combined summarized statements of operations of the Company’s unconsolidated joint ventures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Pr>
          <w:p>
            <w:pPr>
              <w:spacing w:after="0"/>
              <w:rPr>
                <w:sz w:val="18"/>
                <w:szCs w:val="18"/>
                <w:color w:val="auto"/>
              </w:rPr>
            </w:pPr>
          </w:p>
        </w:tc>
        <w:tc>
          <w:tcPr>
            <w:tcW w:w="256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08"/>
        </w:trPr>
        <w:tc>
          <w:tcPr>
            <w:tcW w:w="4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r>
      <w:tr>
        <w:trPr>
          <w:trHeight w:val="206"/>
        </w:trPr>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(1)</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89,563</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178,492</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182,766</w:t>
            </w: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33,704</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73,921</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69,105</w:t>
            </w:r>
          </w:p>
        </w:tc>
      </w:tr>
      <w:tr>
        <w:trPr>
          <w:trHeight w:val="225"/>
        </w:trPr>
        <w:tc>
          <w:tcPr>
            <w:tcW w:w="498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33,627</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37,390</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67,730</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69,425</w:t>
            </w:r>
          </w:p>
        </w:tc>
      </w:tr>
      <w:tr>
        <w:trPr>
          <w:trHeight w:val="219"/>
        </w:trPr>
        <w:tc>
          <w:tcPr>
            <w:tcW w:w="4980" w:type="dxa"/>
            <w:vAlign w:val="bottom"/>
          </w:tcPr>
          <w:p>
            <w:pPr>
              <w:ind w:left="20"/>
              <w:spacing w:after="0" w:line="205" w:lineRule="exact"/>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70,414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71,094</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141,658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138,530</w:t>
            </w:r>
          </w:p>
        </w:tc>
      </w:tr>
      <w:tr>
        <w:trPr>
          <w:trHeight w:val="22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49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(25,636)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(23,306)</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(51,192)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(45,889)</w:t>
            </w:r>
          </w:p>
        </w:tc>
      </w:tr>
      <w:tr>
        <w:trPr>
          <w:trHeight w:val="227"/>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sales of real estate</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r>
      <w:tr>
        <w:trPr>
          <w:trHeight w:val="219"/>
        </w:trPr>
        <w:tc>
          <w:tcPr>
            <w:tcW w:w="4980" w:type="dxa"/>
            <w:vAlign w:val="bottom"/>
          </w:tcPr>
          <w:p>
            <w:pPr>
              <w:ind w:left="660"/>
              <w:spacing w:after="0" w:line="205" w:lineRule="exact"/>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(14,358)</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10,067</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3"/>
        </w:trPr>
        <w:tc>
          <w:tcPr>
            <w:tcW w:w="4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Company’s share of net income (loss)</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(2,137)</w:t>
            </w:r>
          </w:p>
        </w:tc>
        <w:tc>
          <w:tcPr>
            <w:tcW w:w="2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4,024</w:t>
            </w:r>
          </w:p>
        </w:tc>
        <w:tc>
          <w:tcPr>
            <w:tcW w:w="240" w:type="dxa"/>
            <w:vAlign w:val="bottom"/>
          </w:tcPr>
          <w:p>
            <w:pPr>
              <w:spacing w:after="0"/>
              <w:rPr>
                <w:sz w:val="19"/>
                <w:szCs w:val="19"/>
                <w:color w:val="auto"/>
              </w:rPr>
            </w:pP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(5,777)</w:t>
            </w:r>
          </w:p>
        </w:tc>
        <w:tc>
          <w:tcPr>
            <w:tcW w:w="26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5,276</w:t>
            </w:r>
          </w:p>
        </w:tc>
      </w:tr>
      <w:tr>
        <w:trPr>
          <w:trHeight w:val="22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investment (2)</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Basis differential (3)</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w:t>
            </w:r>
          </w:p>
        </w:tc>
      </w:tr>
      <w:tr>
        <w:trPr>
          <w:trHeight w:val="244"/>
        </w:trPr>
        <w:tc>
          <w:tcPr>
            <w:tcW w:w="498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Income (loss) from unconsolidated joint ventures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480" w:right="160" w:hanging="314"/>
        <w:spacing w:after="0" w:line="242" w:lineRule="auto"/>
        <w:tabs>
          <w:tab w:leader="none" w:pos="4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$5.0 million and $8.5 million for the three months ended June 30, 2021 and 2020, respectively, and approximately $6.1 million and $18.2 million for the six months ended June 30, 2021 and 2020, respectively.</w:t>
      </w:r>
    </w:p>
    <w:p>
      <w:pPr>
        <w:spacing w:after="0" w:line="1" w:lineRule="exact"/>
        <w:rPr>
          <w:rFonts w:ascii="Arial" w:cs="Arial" w:eastAsia="Arial" w:hAnsi="Arial"/>
          <w:sz w:val="16"/>
          <w:szCs w:val="16"/>
          <w:color w:val="auto"/>
        </w:rPr>
      </w:pPr>
    </w:p>
    <w:p>
      <w:pPr>
        <w:ind w:left="480" w:right="520" w:hanging="314"/>
        <w:spacing w:after="0" w:line="242" w:lineRule="auto"/>
        <w:tabs>
          <w:tab w:leader="none" w:pos="4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six months ended June 30, 2021, the Company completed the sale of its 50% ownership interest in Annapolis Junction NFM LLC. The Company recognized a gain on sale of investment of approximately $10.3 million.</w:t>
      </w:r>
    </w:p>
    <w:p>
      <w:pPr>
        <w:spacing w:after="0" w:line="1" w:lineRule="exact"/>
        <w:rPr>
          <w:rFonts w:ascii="Arial" w:cs="Arial" w:eastAsia="Arial" w:hAnsi="Arial"/>
          <w:sz w:val="16"/>
          <w:szCs w:val="16"/>
          <w:color w:val="auto"/>
        </w:rPr>
      </w:pPr>
    </w:p>
    <w:p>
      <w:pPr>
        <w:ind w:left="480" w:right="140" w:hanging="314"/>
        <w:spacing w:after="0" w:line="246" w:lineRule="auto"/>
        <w:tabs>
          <w:tab w:leader="none" w:pos="4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$0.1 million and $0.4 million for the three months ended June 30, 2021 and 2020, respectively, and approximately $0.6 million and $0.9 million for the six months ended June 30, 2021 and 2020, respectively. Also includes net above-/below-market rent adjustments of approximately $0.1 million and $0.2 million for the three months ended June 30, 2021 and 2020, respectively, and approximately $0.2 million and $0.5 million for the six months ended June 30, 2021 and 2020, respectively.</w:t>
      </w:r>
    </w:p>
    <w:p>
      <w:pPr>
        <w:spacing w:after="0" w:line="347" w:lineRule="exact"/>
        <w:rPr>
          <w:sz w:val="20"/>
          <w:szCs w:val="20"/>
          <w:color w:val="auto"/>
        </w:rPr>
      </w:pPr>
    </w:p>
    <w:p>
      <w:pPr>
        <w:ind w:right="20" w:firstLine="439"/>
        <w:spacing w:after="0" w:line="265" w:lineRule="auto"/>
        <w:rPr>
          <w:sz w:val="20"/>
          <w:szCs w:val="20"/>
          <w:color w:val="auto"/>
        </w:rPr>
      </w:pPr>
      <w:r>
        <w:rPr>
          <w:rFonts w:ascii="Arial" w:cs="Arial" w:eastAsia="Arial" w:hAnsi="Arial"/>
          <w:sz w:val="17"/>
          <w:szCs w:val="17"/>
          <w:color w:val="auto"/>
        </w:rPr>
        <w:t>On February 25, 2021, a joint venture in which the Company had a 54% interest, commenced the development of 751 Gateway, a speculative laboratory building located in South San Francisco, California, that is expected to be approximately 229,000 net rentable square feet upon completion. 751 Gateway is the first phase of a multi-phase development plan at Gateway Commons. Upon the formation of the joint venture in 2020, the Company had an approximately 55% ownership interest in the joint venture as a result of the partner’s deferred contribution and the partner is obligated to fund all required capital until such time as the Company owns a 50% interest. On June 30, 2021, the Company had a 53% interest in the joint venture. The Company will own a 49% interest in any development project, including 751 Gateway.</w:t>
      </w:r>
    </w:p>
    <w:p>
      <w:pPr>
        <w:spacing w:after="0" w:line="141" w:lineRule="exact"/>
        <w:rPr>
          <w:sz w:val="20"/>
          <w:szCs w:val="20"/>
          <w:color w:val="auto"/>
        </w:rPr>
      </w:pPr>
    </w:p>
    <w:p>
      <w:pPr>
        <w:ind w:right="140" w:firstLine="439"/>
        <w:spacing w:after="0" w:line="247" w:lineRule="auto"/>
        <w:rPr>
          <w:sz w:val="20"/>
          <w:szCs w:val="20"/>
          <w:color w:val="auto"/>
        </w:rPr>
      </w:pPr>
      <w:r>
        <w:rPr>
          <w:rFonts w:ascii="Arial" w:cs="Arial" w:eastAsia="Arial" w:hAnsi="Arial"/>
          <w:sz w:val="18"/>
          <w:szCs w:val="18"/>
          <w:color w:val="auto"/>
        </w:rPr>
        <w:t>On March 30, 2021, the Company completed the sale of its 50% ownership interest in Annapolis Junction NFM LLC (the “Annapolis Junction Joint Venture”) to the joint venture partner for a gross sales price of $65.9 million. Net cash proceeds to the Company totaled approximately $17.8 million after repayment of the Company's share of debt totaling approximately $15.1 million. The Company recognized a gain on sale of investment totaling approximately $10.3 million, which is included in Income (Loss) from Unconsolidated Joint Ventures in the accompanying Consolidated Statements of Operations. In addition to net cash proceeds from the sale, the Company received a distribution of approximately $5.8 million of available cash. Annapolis Junction Buildings Six and Seven are Class A office properties totaling approximately 247,000 net rentable square feet. With the sale of the Company’s ownership interest in the Annapolis Junction Joint Venture, the Company no longer has any assets in Annapolis, Maryland.</w:t>
      </w:r>
    </w:p>
    <w:p>
      <w:pPr>
        <w:spacing w:after="0" w:line="157" w:lineRule="exact"/>
        <w:rPr>
          <w:sz w:val="20"/>
          <w:szCs w:val="20"/>
          <w:color w:val="auto"/>
        </w:rPr>
      </w:pPr>
    </w:p>
    <w:p>
      <w:pPr>
        <w:ind w:right="220" w:firstLine="439"/>
        <w:spacing w:after="0" w:line="252" w:lineRule="auto"/>
        <w:rPr>
          <w:sz w:val="20"/>
          <w:szCs w:val="20"/>
          <w:color w:val="auto"/>
        </w:rPr>
      </w:pPr>
      <w:r>
        <w:rPr>
          <w:rFonts w:ascii="Arial" w:cs="Arial" w:eastAsia="Arial" w:hAnsi="Arial"/>
          <w:sz w:val="18"/>
          <w:szCs w:val="18"/>
          <w:color w:val="auto"/>
        </w:rPr>
        <w:t>On June 11, 2021, a joint venture in which the Company has a 50% interest partially placed in-service 100 Causeway Street, a Class A office project with approximately 632,000 net rentable square feet located in Boston, Massachusetts.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ind w:right="300" w:firstLine="439"/>
        <w:spacing w:after="0" w:line="236" w:lineRule="auto"/>
        <w:rPr>
          <w:sz w:val="20"/>
          <w:szCs w:val="20"/>
          <w:color w:val="auto"/>
        </w:rPr>
      </w:pPr>
      <w:r>
        <w:rPr>
          <w:rFonts w:ascii="Arial" w:cs="Arial" w:eastAsia="Arial" w:hAnsi="Arial"/>
          <w:sz w:val="17"/>
          <w:szCs w:val="17"/>
          <w:color w:val="auto"/>
        </w:rPr>
        <w:t>On June 29, 2021, the Company enhanced its investment capacity through the creation of a co-investment program with two partners, which will target an aggregate equity investment of $1.0 billion. The program expects to employ leverage allowing for an initial investment capacity of approximately $2.0 billion. Under the two-year agreement, the Company will provide its partners first offers to form joint ventures with it to invest in acquisition opportunities that meet the program’s target investment criteria. Each investment opportunity is discretionary.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Mortgage Notes Payable</w:t>
      </w:r>
    </w:p>
    <w:p>
      <w:pPr>
        <w:spacing w:after="0" w:line="108" w:lineRule="exact"/>
        <w:rPr>
          <w:sz w:val="20"/>
          <w:szCs w:val="20"/>
          <w:color w:val="auto"/>
        </w:rPr>
      </w:pPr>
    </w:p>
    <w:p>
      <w:pPr>
        <w:jc w:val="both"/>
        <w:ind w:right="80" w:firstLine="439"/>
        <w:spacing w:after="0" w:line="249" w:lineRule="auto"/>
        <w:rPr>
          <w:sz w:val="20"/>
          <w:szCs w:val="20"/>
          <w:color w:val="auto"/>
        </w:rPr>
      </w:pPr>
      <w:r>
        <w:rPr>
          <w:rFonts w:ascii="Arial" w:cs="Arial" w:eastAsia="Arial" w:hAnsi="Arial"/>
          <w:sz w:val="18"/>
          <w:szCs w:val="18"/>
          <w:color w:val="auto"/>
        </w:rPr>
        <w:t>On March 26, 2021, the Company used available cash to repay the mortgage loan collateralized by its University Place property located in Cambridge, Massachusetts totaling approximately $0.9 million. The mortgage loan bore interest at a fixed rate of 6.94% per annum and was scheduled to mature on August 1, 2021. There was no prepayment penalty.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Unsecured Senior Notes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unsecured senior notes outstanding as of June 30, 2021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Coupon/Stated Rate</w:t>
            </w:r>
          </w:p>
        </w:tc>
        <w:tc>
          <w:tcPr>
            <w:tcW w:w="2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Effective Rate(1)</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Principal Amount</w:t>
            </w:r>
          </w:p>
        </w:tc>
        <w:tc>
          <w:tcPr>
            <w:tcW w:w="2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Maturity Date(2)</w:t>
            </w:r>
          </w:p>
        </w:tc>
      </w:tr>
      <w:tr>
        <w:trPr>
          <w:trHeight w:val="219"/>
        </w:trPr>
        <w:tc>
          <w:tcPr>
            <w:tcW w:w="38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11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3.850 %</w:t>
            </w:r>
          </w:p>
        </w:tc>
        <w:tc>
          <w:tcPr>
            <w:tcW w:w="2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3.954 %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1, 2023</w:t>
            </w: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10.5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3.125 %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3.279 %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September 1, 2023</w:t>
            </w:r>
          </w:p>
        </w:tc>
      </w:tr>
      <w:tr>
        <w:trPr>
          <w:trHeight w:val="22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10.5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shd w:val="clear" w:color="auto" w:fill="CCEEFF"/>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1, 2024</w:t>
            </w: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7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3.200 %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3.350 %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January 15, 2025</w:t>
            </w:r>
          </w:p>
        </w:tc>
      </w:tr>
      <w:tr>
        <w:trPr>
          <w:trHeight w:val="22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1, 2026</w:t>
            </w: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2.750 %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3.495 %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October 1, 2026</w:t>
            </w:r>
          </w:p>
        </w:tc>
      </w:tr>
      <w:tr>
        <w:trPr>
          <w:trHeight w:val="22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2028</w:t>
            </w: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3.400 %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3.505 %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June 21, 2029</w:t>
            </w:r>
          </w:p>
        </w:tc>
      </w:tr>
      <w:tr>
        <w:trPr>
          <w:trHeight w:val="22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10.5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shd w:val="clear" w:color="auto" w:fill="CCEEFF"/>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15, 2030</w:t>
            </w: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10.75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3.250 %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3.343 %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January 30, 2031</w:t>
            </w:r>
          </w:p>
        </w:tc>
      </w:tr>
      <w:tr>
        <w:trPr>
          <w:trHeight w:val="22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2.671 %</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2032</w:t>
            </w:r>
          </w:p>
        </w:tc>
      </w:tr>
      <w:tr>
        <w:trPr>
          <w:trHeight w:val="219"/>
        </w:trPr>
        <w:tc>
          <w:tcPr>
            <w:tcW w:w="3880" w:type="dxa"/>
            <w:vAlign w:val="bottom"/>
          </w:tcPr>
          <w:p>
            <w:pPr>
              <w:ind w:left="20"/>
              <w:spacing w:after="0" w:line="205" w:lineRule="exact"/>
              <w:rPr>
                <w:sz w:val="20"/>
                <w:szCs w:val="20"/>
                <w:color w:val="auto"/>
              </w:rPr>
            </w:pPr>
            <w:r>
              <w:rPr>
                <w:rFonts w:ascii="Arial" w:cs="Arial" w:eastAsia="Arial" w:hAnsi="Arial"/>
                <w:sz w:val="18"/>
                <w:szCs w:val="18"/>
                <w:color w:val="auto"/>
              </w:rPr>
              <w:t>Total principal</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9,700,000</w:t>
            </w: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2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25"/>
        </w:trPr>
        <w:tc>
          <w:tcPr>
            <w:tcW w:w="3880" w:type="dxa"/>
            <w:vAlign w:val="bottom"/>
          </w:tcPr>
          <w:p>
            <w:pPr>
              <w:ind w:left="240"/>
              <w:spacing w:after="0"/>
              <w:rPr>
                <w:sz w:val="20"/>
                <w:szCs w:val="20"/>
                <w:color w:val="auto"/>
              </w:rPr>
            </w:pPr>
            <w:r>
              <w:rPr>
                <w:rFonts w:ascii="Arial" w:cs="Arial" w:eastAsia="Arial" w:hAnsi="Arial"/>
                <w:sz w:val="18"/>
                <w:szCs w:val="18"/>
                <w:color w:val="auto"/>
              </w:rPr>
              <w:t>Net unamortized discount</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17,988</w:t>
            </w: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27"/>
        </w:trPr>
        <w:tc>
          <w:tcPr>
            <w:tcW w:w="3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financing costs, net</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47,656</w:t>
            </w:r>
          </w:p>
        </w:tc>
        <w:tc>
          <w:tcPr>
            <w:tcW w:w="2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19"/>
        </w:trPr>
        <w:tc>
          <w:tcPr>
            <w:tcW w:w="3880" w:type="dxa"/>
            <w:vAlign w:val="bottom"/>
          </w:tcPr>
          <w:p>
            <w:pPr>
              <w:ind w:left="20"/>
              <w:spacing w:after="0" w:line="205" w:lineRule="exact"/>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9,634,356</w:t>
            </w: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ind w:left="480" w:hanging="314"/>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Yield on issuance date including the effects of discounts on the notes, settlements of interest rate contracts and the amortization of financing costs.</w:t>
      </w:r>
    </w:p>
    <w:p>
      <w:pPr>
        <w:spacing w:after="0" w:line="2" w:lineRule="exact"/>
        <w:rPr>
          <w:rFonts w:ascii="Arial" w:cs="Arial" w:eastAsia="Arial" w:hAnsi="Arial"/>
          <w:sz w:val="16"/>
          <w:szCs w:val="16"/>
          <w:color w:val="auto"/>
        </w:rPr>
      </w:pPr>
    </w:p>
    <w:p>
      <w:pPr>
        <w:ind w:left="480" w:hanging="314"/>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principal amounts are due prior to maturity.</w:t>
      </w:r>
    </w:p>
    <w:p>
      <w:pPr>
        <w:spacing w:after="0" w:line="265"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On February 14, 2021, Boston Properties Limited Partnership completed the redemption of $850.0 million in aggregate principal amount of its 4.125% senior notes due May 15, 2021. The redemption price was approximately $858.7 million, which was equal to the stated principal plus approximately $8.7 million of accrued and unpaid interest to, but not including, the redemption date. Excluding the accrued and unpaid interest, the redemption price was equal to the principal amount being redeemed. The Company recognized a loss from early extinguishment of debt totaling approximately $0.4 million related to unamortized origination costs.</w:t>
      </w:r>
    </w:p>
    <w:p>
      <w:pPr>
        <w:spacing w:after="0" w:line="154" w:lineRule="exact"/>
        <w:rPr>
          <w:sz w:val="20"/>
          <w:szCs w:val="20"/>
          <w:color w:val="auto"/>
        </w:rPr>
      </w:pPr>
    </w:p>
    <w:p>
      <w:pPr>
        <w:ind w:right="100" w:firstLine="439"/>
        <w:spacing w:after="0" w:line="268" w:lineRule="auto"/>
        <w:rPr>
          <w:sz w:val="20"/>
          <w:szCs w:val="20"/>
          <w:color w:val="auto"/>
        </w:rPr>
      </w:pPr>
      <w:r>
        <w:rPr>
          <w:rFonts w:ascii="Arial" w:cs="Arial" w:eastAsia="Arial" w:hAnsi="Arial"/>
          <w:sz w:val="17"/>
          <w:szCs w:val="17"/>
          <w:color w:val="auto"/>
        </w:rPr>
        <w:t>On March 16, 2021, Boston Properties Limited Partnership completed a public offering of $850.0 million in aggregate principal amount of its 2.550% unsecured senior notes due 2032. The notes were priced at 99.570% of the principal amount to yield an effective rate (including financing fees) of approximately 2.671% per annum to maturity. The notes will mature on April 1, 2032, unless earlier redeemed. The aggregate net proceeds from the offering were approximately $839.2 million after deducting underwriting discounts and transaction expenses.</w:t>
      </w:r>
    </w:p>
    <w:p>
      <w:pPr>
        <w:spacing w:after="0" w:line="137" w:lineRule="exact"/>
        <w:rPr>
          <w:sz w:val="20"/>
          <w:szCs w:val="20"/>
          <w:color w:val="auto"/>
        </w:rPr>
      </w:pPr>
    </w:p>
    <w:p>
      <w:pPr>
        <w:ind w:right="20" w:firstLine="439"/>
        <w:spacing w:after="0" w:line="249" w:lineRule="auto"/>
        <w:rPr>
          <w:sz w:val="20"/>
          <w:szCs w:val="20"/>
          <w:color w:val="auto"/>
        </w:rPr>
      </w:pPr>
      <w:r>
        <w:rPr>
          <w:rFonts w:ascii="Arial" w:cs="Arial" w:eastAsia="Arial" w:hAnsi="Arial"/>
          <w:sz w:val="18"/>
          <w:szCs w:val="18"/>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20"/>
        <w:spacing w:after="0" w:line="252" w:lineRule="auto"/>
        <w:rPr>
          <w:sz w:val="20"/>
          <w:szCs w:val="20"/>
          <w:color w:val="auto"/>
        </w:rPr>
      </w:pPr>
      <w:r>
        <w:rPr>
          <w:rFonts w:ascii="Arial" w:cs="Arial" w:eastAsia="Arial" w:hAnsi="Arial"/>
          <w:sz w:val="18"/>
          <w:szCs w:val="18"/>
          <w:color w:val="auto"/>
        </w:rPr>
        <w:t>unsecured debt. At June 30, 2021, Boston Properties Limited Partnership was in compliance with each of these financial restrictions and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Unsecured Credit Facility</w:t>
      </w:r>
    </w:p>
    <w:p>
      <w:pPr>
        <w:spacing w:after="0" w:line="108" w:lineRule="exact"/>
        <w:rPr>
          <w:sz w:val="20"/>
          <w:szCs w:val="20"/>
          <w:color w:val="auto"/>
        </w:rPr>
      </w:pPr>
    </w:p>
    <w:p>
      <w:pPr>
        <w:ind w:right="160" w:firstLine="439"/>
        <w:spacing w:after="0" w:line="249" w:lineRule="auto"/>
        <w:rPr>
          <w:sz w:val="20"/>
          <w:szCs w:val="20"/>
          <w:color w:val="auto"/>
        </w:rPr>
      </w:pPr>
      <w:r>
        <w:rPr>
          <w:rFonts w:ascii="Arial" w:cs="Arial" w:eastAsia="Arial" w:hAnsi="Arial"/>
          <w:sz w:val="18"/>
          <w:szCs w:val="18"/>
          <w:color w:val="auto"/>
        </w:rPr>
        <w:t>On March 16, 2021, Boston Properties Limited Partnership repaid $500.0 million, representing all amounts outstanding on its delayed draw term loan facility under its unsecured revolving credit agreement (the “2017 Credit Facility”). The Company recognized a loss from early extinguishment of debt totaling approximately $0.5 million related to unamortized financing costs.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June 15, 2021, Boston Properties Limited Partnership amended and restated the 2017 Credit Facility (as amended and restated,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“2021 Credit Facility”). The 2021 Credit Facility provides for borrowings of up to $1.5 billion (the “Revolving Facility”), subject to customary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conditions. Among other things, the amendment and restatement (1) extended the maturity date to June 15, 2026, (2) eliminated the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$500.0 million delayed draw term loan facility provided under the 2017 Credit Facility, (3) reduced the per annum variable interest rates 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borrowings and (4) added a sustainability-linked pricing component. Under the 2021 Credit Facility, the Company may increase the total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commitment by up to $500.0 million by increasing the amount of the Revolving Facility and/or by incurring one or more term loans, in each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case, subject to syndication of the increase and other conditions.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2021 Credit Facility replaces the 2017 Credit Facility, which was scheduled to expire on April 24, 2022.</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Boston Properties Limited Partnership’s option, loans under the 2021 Credit Facility will bear interest at a rate per annum equal to (1)</w:t>
      </w:r>
    </w:p>
    <w:p>
      <w:pPr>
        <w:spacing w:after="0" w:line="17" w:lineRule="exact"/>
        <w:rPr>
          <w:sz w:val="20"/>
          <w:szCs w:val="20"/>
          <w:color w:val="auto"/>
        </w:rPr>
      </w:pPr>
    </w:p>
    <w:p>
      <w:pPr>
        <w:ind w:right="120" w:firstLine="6"/>
        <w:spacing w:after="0" w:line="261" w:lineRule="auto"/>
        <w:tabs>
          <w:tab w:leader="none" w:pos="26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the case of loans denominated in Dollars, LIBOR, (b) in the case of loans denominated in Euro, EURIBOR, (c) in the case of loans denominated in Canadian Dollars, CDOR, and (d) in the case of loans denominated in Sterling, SONIA, in each case, plus a margin ranging from 70.0 to 140.0 basis points based on Boston Properties Limited Partnership’s credit rating or (2) an alternate base rate equal to the greatest of (a) the Federal Funds rate plus 0.5%, (b) the Administrative Agent’s prime rate, (c) LIBOR for a one-month period plus 1.00%, and</w:t>
      </w:r>
    </w:p>
    <w:p>
      <w:pPr>
        <w:ind w:left="280" w:hanging="274"/>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 in each case, plus a margin ranging from 0 to 40 basis points based on Boston Properties Limited Partnership’s credit rating.</w:t>
      </w:r>
    </w:p>
    <w:p>
      <w:pPr>
        <w:spacing w:after="0" w:line="165" w:lineRule="exact"/>
        <w:rPr>
          <w:sz w:val="20"/>
          <w:szCs w:val="20"/>
          <w:color w:val="auto"/>
        </w:rPr>
      </w:pPr>
    </w:p>
    <w:p>
      <w:pPr>
        <w:ind w:firstLine="434"/>
        <w:spacing w:after="0" w:line="251" w:lineRule="auto"/>
        <w:rPr>
          <w:sz w:val="20"/>
          <w:szCs w:val="20"/>
          <w:color w:val="auto"/>
        </w:rPr>
      </w:pPr>
      <w:r>
        <w:rPr>
          <w:rFonts w:ascii="Arial" w:cs="Arial" w:eastAsia="Arial" w:hAnsi="Arial"/>
          <w:sz w:val="18"/>
          <w:szCs w:val="18"/>
          <w:color w:val="auto"/>
        </w:rPr>
        <w:t>The 2021 Credit Facility also features a sustainability-linked pricing component such that if Boston Properties Limited Partnership meets certain sustainability performance targets, the applicable per annum interest rate will be reduced by one basis point. The LIBOR replacement provisions in the 2021 Credit Facility permit the use of rates based on the secured overnight financing rate (“SOFR”) administered by the Federal Reserve Bank of New York plus an applicable spread adjustment. In addition, the 2021 Credit Facility contains a competitive bid option for up to 65% of the Revolving Facility that allows banks that are part of the lender consortium to bid to make loan advances to Boston Properties Limited Partnership at a reduced interest rate.</w:t>
      </w:r>
    </w:p>
    <w:p>
      <w:pPr>
        <w:spacing w:after="0" w:line="150" w:lineRule="exact"/>
        <w:rPr>
          <w:sz w:val="20"/>
          <w:szCs w:val="20"/>
          <w:color w:val="auto"/>
        </w:rPr>
      </w:pPr>
    </w:p>
    <w:p>
      <w:pPr>
        <w:ind w:right="40" w:firstLine="434"/>
        <w:spacing w:after="0" w:line="251" w:lineRule="auto"/>
        <w:rPr>
          <w:sz w:val="20"/>
          <w:szCs w:val="20"/>
          <w:color w:val="auto"/>
        </w:rPr>
      </w:pPr>
      <w:r>
        <w:rPr>
          <w:rFonts w:ascii="Arial" w:cs="Arial" w:eastAsia="Arial" w:hAnsi="Arial"/>
          <w:sz w:val="18"/>
          <w:szCs w:val="18"/>
          <w:color w:val="auto"/>
        </w:rPr>
        <w:t>Pursuant to the 2021 Credit Facility, Boston Properties Limited Partnership is obligated to pay (1) in quarterly installments a facility fee on the total commitment under the Revolving Facility at a rate per annum ranging from 0.10% to 0.30% based on Boston Properties Limited Partnership’s credit rating and (2) an annual fee on the undrawn amount of each letter of credit ranging from 0.70% to 1.40% based on Boston Properties Limited Partnership</w:t>
      </w:r>
      <w:r>
        <w:rPr>
          <w:rFonts w:ascii="Arial" w:cs="Arial" w:eastAsia="Arial" w:hAnsi="Arial"/>
          <w:sz w:val="19"/>
          <w:szCs w:val="19"/>
          <w:color w:val="auto"/>
        </w:rPr>
        <w:t>’s</w:t>
      </w:r>
      <w:r>
        <w:rPr>
          <w:rFonts w:ascii="Arial" w:cs="Arial" w:eastAsia="Arial" w:hAnsi="Arial"/>
          <w:sz w:val="18"/>
          <w:szCs w:val="18"/>
          <w:color w:val="auto"/>
        </w:rPr>
        <w:t xml:space="preserve"> credit rating.</w:t>
      </w:r>
    </w:p>
    <w:p>
      <w:pPr>
        <w:spacing w:after="0" w:line="146" w:lineRule="exact"/>
        <w:rPr>
          <w:sz w:val="20"/>
          <w:szCs w:val="20"/>
          <w:color w:val="auto"/>
        </w:rPr>
      </w:pPr>
    </w:p>
    <w:p>
      <w:pPr>
        <w:ind w:right="240" w:firstLine="434"/>
        <w:spacing w:after="0" w:line="252" w:lineRule="auto"/>
        <w:rPr>
          <w:sz w:val="20"/>
          <w:szCs w:val="20"/>
          <w:color w:val="auto"/>
        </w:rPr>
      </w:pPr>
      <w:r>
        <w:rPr>
          <w:rFonts w:ascii="Arial" w:cs="Arial" w:eastAsia="Arial" w:hAnsi="Arial"/>
          <w:sz w:val="18"/>
          <w:szCs w:val="18"/>
          <w:color w:val="auto"/>
        </w:rPr>
        <w:t>Based on Boston Properties Limited Partnership’s current credit rating, (1) the applicable Eurocurrency and LIBOR Daily Floating Rate margins are 0.775%, (2) the alternate base rate margin is 0 basis points and (3) the facility fee is 0.15% per annum.</w:t>
      </w:r>
    </w:p>
    <w:p>
      <w:pPr>
        <w:spacing w:after="0" w:line="150" w:lineRule="exact"/>
        <w:rPr>
          <w:sz w:val="20"/>
          <w:szCs w:val="20"/>
          <w:color w:val="auto"/>
        </w:rPr>
      </w:pPr>
    </w:p>
    <w:p>
      <w:pPr>
        <w:ind w:right="40" w:firstLine="434"/>
        <w:spacing w:after="0" w:line="263" w:lineRule="auto"/>
        <w:rPr>
          <w:sz w:val="20"/>
          <w:szCs w:val="20"/>
          <w:color w:val="auto"/>
        </w:rPr>
      </w:pPr>
      <w:r>
        <w:rPr>
          <w:rFonts w:ascii="Arial" w:cs="Arial" w:eastAsia="Arial" w:hAnsi="Arial"/>
          <w:sz w:val="17"/>
          <w:szCs w:val="17"/>
          <w:color w:val="auto"/>
        </w:rPr>
        <w:t>The 2021 Credit Facility contains customary representations and warranties, affirmative and negative covenants, and events of default provisions, including the failure to pay indebtedness, breaches of covenants and bankruptcy and other insolvency events, which could result in the acceleration of the obligation to repay all outstanding amounts and the cancellation of all commitments outstanding under the 2021 Credit Facility. Among other covenants, the 2021 Credit Facility requires that Boston Properties Limited Partnership maintain on an ongoing basis: (1) a leverage ratio not to exceed 60%, however, the leverage ratio may increase to no greater than 65% provided that it is reduced back to 60% within one year, (2) a secured debt leverage ratio not to exceed 55%, (3) a fixed charge coverage ratio of at least 1.40, (4) an unsecured debt leverage ratio not to exceed 60%, however, the unsecured debt leverage ratio may increase to no greater than 65% provided that it is reduced to 60% within one year, (5) an unsecured debt interest coverage ratio of at least 1.75 and (6) limitations on permitted investments. At June 30, 2021, Boston Properties Limited Partnership was in compliance with each of these financial and other covenant requirements.</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June 30, 2021, Boston Properties Limited Partnership had no amounts outstanding under the 2021 Credit Facility.</w:t>
      </w:r>
    </w:p>
    <w:p>
      <w:pPr>
        <w:spacing w:after="0" w:line="236" w:lineRule="exact"/>
        <w:rPr>
          <w:sz w:val="20"/>
          <w:szCs w:val="20"/>
          <w:color w:val="auto"/>
        </w:rPr>
      </w:pPr>
    </w:p>
    <w:p>
      <w:pPr>
        <w:ind w:left="200" w:right="8220" w:hanging="194"/>
        <w:spacing w:after="0" w:line="359" w:lineRule="auto"/>
        <w:tabs>
          <w:tab w:leader="none" w:pos="19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General</w:t>
      </w:r>
    </w:p>
    <w:p>
      <w:pPr>
        <w:spacing w:after="0" w:line="1" w:lineRule="exact"/>
        <w:rPr>
          <w:sz w:val="20"/>
          <w:szCs w:val="20"/>
          <w:color w:val="auto"/>
        </w:rPr>
      </w:pPr>
    </w:p>
    <w:p>
      <w:pPr>
        <w:ind w:right="40" w:firstLine="439"/>
        <w:spacing w:after="0" w:line="248" w:lineRule="auto"/>
        <w:rPr>
          <w:sz w:val="20"/>
          <w:szCs w:val="20"/>
          <w:color w:val="auto"/>
        </w:rPr>
      </w:pPr>
      <w:r>
        <w:rPr>
          <w:rFonts w:ascii="Arial" w:cs="Arial" w:eastAsia="Arial" w:hAnsi="Arial"/>
          <w:sz w:val="18"/>
          <w:szCs w:val="18"/>
          <w:color w:val="auto"/>
        </w:rPr>
        <w:t>In the normal course of business, the Company guarantees its performance of services or indemnifies third parties against its negligence. In addition, in the normal course of business, the Company guarantees to certain tenants the obligations of its subsidiaries for the payment of tenant improvement allowances and brokerage commissions in connection with their leases and limited costs arising from delays in delivery of their premises.</w:t>
      </w:r>
    </w:p>
    <w:p>
      <w:pPr>
        <w:spacing w:after="0" w:line="155" w:lineRule="exact"/>
        <w:rPr>
          <w:sz w:val="20"/>
          <w:szCs w:val="20"/>
          <w:color w:val="auto"/>
        </w:rPr>
      </w:pPr>
    </w:p>
    <w:p>
      <w:pPr>
        <w:ind w:right="240" w:firstLine="439"/>
        <w:spacing w:after="0" w:line="252" w:lineRule="auto"/>
        <w:rPr>
          <w:sz w:val="20"/>
          <w:szCs w:val="20"/>
          <w:color w:val="auto"/>
        </w:rPr>
      </w:pPr>
      <w:r>
        <w:rPr>
          <w:rFonts w:ascii="Arial" w:cs="Arial" w:eastAsia="Arial" w:hAnsi="Arial"/>
          <w:sz w:val="18"/>
          <w:szCs w:val="18"/>
          <w:color w:val="auto"/>
        </w:rPr>
        <w:t>The Company has letter of credit and performance obligations related to lender and development requirements that total approximately $28.4 million at June 30, 2021.</w:t>
      </w:r>
    </w:p>
    <w:p>
      <w:pPr>
        <w:spacing w:after="0" w:line="150" w:lineRule="exact"/>
        <w:rPr>
          <w:sz w:val="20"/>
          <w:szCs w:val="20"/>
          <w:color w:val="auto"/>
        </w:rPr>
      </w:pPr>
    </w:p>
    <w:p>
      <w:pPr>
        <w:ind w:right="20" w:firstLine="439"/>
        <w:spacing w:after="0" w:line="248" w:lineRule="auto"/>
        <w:rPr>
          <w:sz w:val="20"/>
          <w:szCs w:val="20"/>
          <w:color w:val="auto"/>
        </w:rPr>
      </w:pPr>
      <w:r>
        <w:rPr>
          <w:rFonts w:ascii="Arial" w:cs="Arial" w:eastAsia="Arial" w:hAnsi="Arial"/>
          <w:sz w:val="18"/>
          <w:szCs w:val="18"/>
          <w:color w:val="auto"/>
        </w:rPr>
        <w:t>Certain of the Company’s joint venture agreements include provisions whereby, at certain specified times, each partner has the right to initiate a purchase or sale of its interest in the joint ventures. With limited exception, under these provisions, the Company is not compelled to purchase the interest of its outside joint venture partners. From time to time, under certain of the Company’s joint venture agreements, if certain return thresholds are achieved, either the Company or its partners may be entitled to an additional promoted interest or payments.</w:t>
      </w:r>
    </w:p>
    <w:p>
      <w:pPr>
        <w:spacing w:after="0" w:line="155" w:lineRule="exact"/>
        <w:rPr>
          <w:sz w:val="20"/>
          <w:szCs w:val="20"/>
          <w:color w:val="auto"/>
        </w:rPr>
      </w:pPr>
    </w:p>
    <w:p>
      <w:pPr>
        <w:ind w:firstLine="439"/>
        <w:spacing w:after="0" w:line="265" w:lineRule="auto"/>
        <w:rPr>
          <w:sz w:val="20"/>
          <w:szCs w:val="20"/>
          <w:color w:val="auto"/>
        </w:rPr>
      </w:pPr>
      <w:r>
        <w:rPr>
          <w:rFonts w:ascii="Arial" w:cs="Arial" w:eastAsia="Arial" w:hAnsi="Arial"/>
          <w:sz w:val="17"/>
          <w:szCs w:val="17"/>
          <w:color w:val="auto"/>
        </w:rPr>
        <w:t>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outside partners whereby the partners agree to reimburse the joint venture for their share of any payments made under the guarantee. In some cases, the Company earns a fee from the applicable joint venture for providing the guarantee.</w:t>
      </w:r>
    </w:p>
    <w:p>
      <w:pPr>
        <w:spacing w:after="0" w:line="141" w:lineRule="exact"/>
        <w:rPr>
          <w:sz w:val="20"/>
          <w:szCs w:val="20"/>
          <w:color w:val="auto"/>
        </w:rPr>
      </w:pPr>
    </w:p>
    <w:p>
      <w:pPr>
        <w:ind w:firstLine="439"/>
        <w:spacing w:after="0" w:line="265" w:lineRule="auto"/>
        <w:rPr>
          <w:sz w:val="20"/>
          <w:szCs w:val="20"/>
          <w:color w:val="auto"/>
        </w:rPr>
      </w:pPr>
      <w:r>
        <w:rPr>
          <w:rFonts w:ascii="Arial" w:cs="Arial" w:eastAsia="Arial" w:hAnsi="Arial"/>
          <w:sz w:val="17"/>
          <w:szCs w:val="17"/>
          <w:color w:val="auto"/>
        </w:rPr>
        <w:t>In connection with the refinancing of 767 Fifth Avenue’s (the General Motors Building) secured loan by the Company’s consolidated joint venture entity, 767 Venture, LLC, the Company guaranteed the consolidated entity’s obligation to fund various reserves for tenant improvement costs and allowances, leasing commissions and free rent obligations in lieu of cash deposits. As of June 30, 2021, the maximum funding obligation under the guarantee was approximately $21.5 million. The Company earns a fee from the joint venture for providing the guarantee and has an agreement with the outside partners to reimburse the joint venture for their share of any payments made under the guarantee. As of June 30, 2021, no amounts related to the guarantee are recorded as liabilities in the Company’s consolidated financial statements.</w:t>
      </w:r>
    </w:p>
    <w:p>
      <w:pPr>
        <w:spacing w:after="0" w:line="141" w:lineRule="exact"/>
        <w:rPr>
          <w:sz w:val="20"/>
          <w:szCs w:val="20"/>
          <w:color w:val="auto"/>
        </w:rPr>
      </w:pPr>
    </w:p>
    <w:p>
      <w:pPr>
        <w:ind w:right="20" w:firstLine="439"/>
        <w:spacing w:after="0" w:line="232" w:lineRule="auto"/>
        <w:rPr>
          <w:sz w:val="20"/>
          <w:szCs w:val="20"/>
          <w:color w:val="auto"/>
        </w:rPr>
      </w:pPr>
      <w:r>
        <w:rPr>
          <w:rFonts w:ascii="Arial" w:cs="Arial" w:eastAsia="Arial" w:hAnsi="Arial"/>
          <w:sz w:val="18"/>
          <w:szCs w:val="18"/>
          <w:color w:val="auto"/>
        </w:rPr>
        <w:t>Pursuant to the lease agreement with Marriott, the Company has guaranteed the completion of the office building and parking garage on behalf of its 7750 Wisconsin Avenue joint venture and has also provided a financing guaranty as required with respect to the third-party construction financing. The Company earns fees from the joint venture for providing the guarantees and any amounts the Company pays under the guarantee(s) will be deemed to be capital contributions by the Company to the joint venture. The Company has also agreed to fund construction costs through capital contributions to the joint venture in the event of insufficiency of third-party construction financing. In addition, the Company has guaranteed to Marriott, as hotel manager, the completion of a hotel being developed by an affiliate of The Bernstein Companies (the Company’s partner in the 7750 Wisconsin Avenue joint venture) adjacent to the office property, for which the Company earns a fee from the affiliate of The Bernstein Companies. In addition, the Company entered into agreements with affiliates of The Bernstein Companies whereby the Company could be required to act as a mezzanine and/or mortgage lender and finance the construction of the hotel property. An affiliate of The Bernstein Companies exercised its option to borrow $10.0 million from the Company under such agreements, which financing was provided by the Company on June 1, 2020. The financing bears interest at a fixed rate of 8.00% per annum, compounded monthly, and matures on the fifth anniversary of the date on which the base building of the affiliate of The Bernstein Companies’ hotel property is substantially completed. The financing is collateralized by a pledge of the partner’s equity interest in the joint venture that owns and is developing 7750 Wisconsin Avenue. To secure such financing arrangements, affiliates of The Bernstein Companies are required to provide certain security, which varies depending on the specific loan, by pledges of their equity interest in the office property, a fee mortgage on the hotel property, or both. As of June 30, 2021, no amounts related to the contingent aspect of any of the guarantees are recorded as liabilities in the Company’s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In connection with the sale and development of the Company’s 6595 Springfield Center Drive development project, the Company has guaranteed the completion of the project and the payment of certain cost overruns in accordance with the development management agreement with the buyer. Although the project has been sold and the lease with the Federal Government tenant has been assigned to the buyer, pursuant to the terms of the Federal Government lease, the Federal Government tenant is not obligated to release the prior owner/landlord from such landlord’s obligations under the lease until completion of the construction. As a result, the entity which previously owned the land remains liable to the Federal Government tenant for the completion of the construction obligations under the lease. The buyer is obligated to fund the balance of the costs to meet such construction obligations, subject to the Company’s obligation to fund cost overruns (if any), as noted above. An affiliate of the buyer has provided a guaranty of the obligations of the buyer to fund such construction costs and the buyer has agreed to use commercially reasonable efforts to require the construction lender to provide certain remedies to the Company in the event the buyer does not fund such construction obligations. As of June 30, 2021, no amounts related to the contingent aspect of the guarantee are recorded as a liability in the Company’s consolidated financial statements (See Note 3).</w:t>
      </w:r>
    </w:p>
    <w:p>
      <w:pPr>
        <w:spacing w:after="0" w:line="156" w:lineRule="exact"/>
        <w:rPr>
          <w:sz w:val="20"/>
          <w:szCs w:val="20"/>
          <w:color w:val="auto"/>
        </w:rPr>
      </w:pPr>
    </w:p>
    <w:p>
      <w:pPr>
        <w:ind w:right="40" w:firstLine="439"/>
        <w:spacing w:after="0" w:line="264" w:lineRule="auto"/>
        <w:rPr>
          <w:sz w:val="20"/>
          <w:szCs w:val="20"/>
          <w:color w:val="auto"/>
        </w:rPr>
      </w:pPr>
      <w:r>
        <w:rPr>
          <w:rFonts w:ascii="Arial" w:cs="Arial" w:eastAsia="Arial" w:hAnsi="Arial"/>
          <w:sz w:val="17"/>
          <w:szCs w:val="17"/>
          <w:color w:val="auto"/>
        </w:rPr>
        <w:t>In connection with the redevelopment of the Company’s 325 Main Street property located in Cambridge, Massachusetts, the Company was required, pursuant to the local zoning ordinance and urban renewal plan, to commence construction of a residential building of at least 200,000 square feet with 25% of the project designated as income-restricted (with a minimum of 20% of the square footage devoted to home ownership units) prior to the occupancy of the 325 Main Street property, which is expected to occur during the third quarter of 2022. The zoning ordinance and urban renewal plan were each amended to decouple the residential requirement from the occupancy of the 325 Main Street property. The amendment to the urban renewal plan is subject to final approvals and completion of administrative processes. 325 Main Street consisted of an approximately 115,000 net rentable square foot Class A office property that was demolished and is being developed into an approximately 420,000 net rentable square foot Class A office property, including approximately 41,000 net rentable square feet of retail space.</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Insurance</w:t>
      </w:r>
    </w:p>
    <w:p>
      <w:pPr>
        <w:spacing w:after="0" w:line="104" w:lineRule="exact"/>
        <w:rPr>
          <w:sz w:val="20"/>
          <w:szCs w:val="20"/>
          <w:color w:val="auto"/>
        </w:rPr>
      </w:pPr>
    </w:p>
    <w:p>
      <w:pPr>
        <w:ind w:right="60" w:firstLine="439"/>
        <w:spacing w:after="0" w:line="247" w:lineRule="auto"/>
        <w:rPr>
          <w:sz w:val="20"/>
          <w:szCs w:val="20"/>
          <w:color w:val="auto"/>
        </w:rPr>
      </w:pPr>
      <w:r>
        <w:rPr>
          <w:rFonts w:ascii="Arial" w:cs="Arial" w:eastAsia="Arial" w:hAnsi="Arial"/>
          <w:sz w:val="18"/>
          <w:szCs w:val="18"/>
          <w:color w:val="auto"/>
        </w:rPr>
        <w:t>The Company’s property insurance program per occurrence limits are $1.0 billion for its portfolio insurance program, including coverage for acts of terrorism other than nuclear, biological, chemical or radiological terrorism (“Terrorism Coverage”). The Company also carries $250 million of Terrorism Coverage for 601 Lexington Avenue, New York, New York (“601 Lexington Avenue”) in excess of the $1.0 billion of coverage in the Company’s property insurance program. Certain properties, including the General Motors Building located at 767 Fifth Avenue in New York, New York (“767 Fifth Avenue”), are currently insured in separate insurance programs. The property insurance program per occurrence limits for 767 Fifth Avenue are $1.625 billion, including Terrorism Coverage. The Company also currently carries nuclear, biological, chemical and radiological terrorism insurance coverage for acts of terrorism certified under the Federal Terrorism Risk Insurance Act (as amended, “TRIA”) (“NBCR Coverage”), which is provided by IXP as a direct insurer, for the properties in the Company’s portfolio, including 767 Fifth Avenue, but excluding certain other properties owned in joint ventures with third parties or which the Company manages. The per occurrence limit for NBCR Coverage is $1.0 billion. Under TRIA, after the payment of the required deductible and coinsurance, the NBCR Coverage provided by IXP is backstopped by the Federal Government if the aggregate industry insured losses resulting from a certified act of terrorism exceed a “program trigger.” The program trigger is $200 million, the coinsurance is 20% and the deductible is 20% of the premiums earned by the insurer for the year prior to a claim. If the Federal Government pays out for a loss under TRIA, it is mandatory that the Federal Government recoup the full amount of the loss from insurers offering TRIA coverage after the payment of the loss pursuant to a formula in TRIA. The Company may elect to terminate the NBCR Coverage if the Federal Government seeks recoupment for losses paid under TRIA, if TRIA is not extended after its expiration on December 31, 2027, if there is a change in its portfolio or for any other reason. The Company intends to continue to monitor the scope, nature and cost of available terrorism insurance.</w:t>
      </w:r>
    </w:p>
    <w:p>
      <w:pPr>
        <w:spacing w:after="0" w:line="155" w:lineRule="exact"/>
        <w:rPr>
          <w:sz w:val="20"/>
          <w:szCs w:val="20"/>
          <w:color w:val="auto"/>
        </w:rPr>
      </w:pPr>
    </w:p>
    <w:p>
      <w:pPr>
        <w:ind w:right="80" w:firstLine="439"/>
        <w:spacing w:after="0" w:line="247" w:lineRule="auto"/>
        <w:rPr>
          <w:sz w:val="20"/>
          <w:szCs w:val="20"/>
          <w:color w:val="auto"/>
        </w:rPr>
      </w:pPr>
      <w:r>
        <w:rPr>
          <w:rFonts w:ascii="Arial" w:cs="Arial" w:eastAsia="Arial" w:hAnsi="Arial"/>
          <w:sz w:val="18"/>
          <w:szCs w:val="18"/>
          <w:color w:val="auto"/>
        </w:rPr>
        <w:t>The Company also currently carries earthquake insurance on its properties located in areas known to be subject to earthquakes. In addition, this insurance is subject to a deductible in the amount of 3% of the value of the affected property. Specifically, the Company currently carries earthquake insurance which covers its San Francisco and Los Angeles regions with a $240 million per occurrence limit, and a $240 million annual aggregate limit, $20 million of which is provided by IXP, as a direct insurer. The amount of the Company’s earthquake insurance coverage may not be sufficient to cover losses from earthquakes. In addition, 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firstLine="439"/>
        <w:spacing w:after="0" w:line="247" w:lineRule="auto"/>
        <w:rPr>
          <w:sz w:val="20"/>
          <w:szCs w:val="20"/>
          <w:color w:val="auto"/>
        </w:rPr>
      </w:pPr>
      <w:r>
        <w:rPr>
          <w:rFonts w:ascii="Arial" w:cs="Arial" w:eastAsia="Arial" w:hAnsi="Arial"/>
          <w:sz w:val="18"/>
          <w:szCs w:val="18"/>
          <w:color w:val="auto"/>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 considered as the equivalent of third-party insurance, but rather as a modified form of self-insurance. In addition, Boston Properties Limited Partnership has issued a guarantee to cover liabilities of IXP in the amount of $20.0 million.</w:t>
      </w:r>
    </w:p>
    <w:p>
      <w:pPr>
        <w:spacing w:after="0" w:line="157"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Due to the current COVID-19 pandemic, the Company anticipates the possibility of business interruption, loss of lease revenue and/or other associated expenses related to the Company’s operations across its portfolio. Because this is an ongoing situation it is not yet possible to quantify the Company’s losses and expenses, which continue to develop. Because of the complexity of the Company’s insurance policies and limited precedent for claims being made related to pandemics, it is not yet possible to determine if such losses and expenses will be covered by the Company’s insurance policies. Therefore, at this time, the Company has provided notice to the applicable insurers of potential for claims in order to protect the Company’s rights under its policies.</w:t>
      </w:r>
    </w:p>
    <w:p>
      <w:pPr>
        <w:spacing w:after="0" w:line="158"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The Company continues to monitor the state of the insurance market in general, and the scope and costs of coverage for acts of terrorism, earthquake risk and pandemics,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 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 could be liable for mortgage indebtedness or other obligations related to the property. Any such loss could materially and adversely affect the Company’s business and financial condition and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Interests</w:t>
      </w:r>
    </w:p>
    <w:p>
      <w:pPr>
        <w:spacing w:after="0" w:line="108"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Noncontrolling interests relate to the interests in Boston Properties Limited Partnership not owned by Boston Properties, Inc. and interests in consolidated property partnerships not wholly-owned by the Company. As of June 30, 2021, the noncontrolling interests in Boston Properties Limited Partnership consisted of 16,038,056 OP Units, 1,489,456 LTIP Units (including 419,423 LTIP Units earned by employees under the Company’s multi-year long-term incentive awards granted between 2012-2018 (i.e., 2012 OPP and 2013-2018 MYLTIP awards)), 219,916 2019 MYLTIP Units, 203,278 2020 MYLTIP Units and 352,021 2021 MYLTIP Units held by parties other than Boston Properties,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Interest—Common Units</w:t>
      </w:r>
    </w:p>
    <w:p>
      <w:pPr>
        <w:spacing w:after="0" w:line="121" w:lineRule="exact"/>
        <w:rPr>
          <w:sz w:val="20"/>
          <w:szCs w:val="20"/>
          <w:color w:val="auto"/>
        </w:rPr>
      </w:pPr>
    </w:p>
    <w:p>
      <w:pPr>
        <w:ind w:right="240" w:firstLine="439"/>
        <w:spacing w:after="0" w:line="249" w:lineRule="auto"/>
        <w:rPr>
          <w:sz w:val="20"/>
          <w:szCs w:val="20"/>
          <w:color w:val="auto"/>
        </w:rPr>
      </w:pPr>
      <w:r>
        <w:rPr>
          <w:rFonts w:ascii="Arial" w:cs="Arial" w:eastAsia="Arial" w:hAnsi="Arial"/>
          <w:sz w:val="18"/>
          <w:szCs w:val="18"/>
          <w:color w:val="auto"/>
        </w:rPr>
        <w:t>During the six months ended June 30, 2021, 177,434 OP Units were presented by the holders for redemption (including 122,443 OP Units issued upon conversion of LTIP Units, 2012 OPP Units and MYLTIP Units) and were redeemed by Boston Properties, Inc. in exchange for an equal number of shares of Common Stock.</w:t>
      </w:r>
    </w:p>
    <w:p>
      <w:pPr>
        <w:spacing w:after="0" w:line="154" w:lineRule="exact"/>
        <w:rPr>
          <w:sz w:val="20"/>
          <w:szCs w:val="20"/>
          <w:color w:val="auto"/>
        </w:rPr>
      </w:pPr>
    </w:p>
    <w:p>
      <w:pPr>
        <w:ind w:right="100" w:firstLine="439"/>
        <w:spacing w:after="0" w:line="247" w:lineRule="auto"/>
        <w:rPr>
          <w:sz w:val="20"/>
          <w:szCs w:val="20"/>
          <w:color w:val="auto"/>
        </w:rPr>
      </w:pPr>
      <w:r>
        <w:rPr>
          <w:rFonts w:ascii="Arial" w:cs="Arial" w:eastAsia="Arial" w:hAnsi="Arial"/>
          <w:sz w:val="18"/>
          <w:szCs w:val="18"/>
          <w:color w:val="auto"/>
        </w:rPr>
        <w:t>At June 30, 2021, Boston Properties Limited Partnership had outstanding 219,916 2019 MYLTIP Units, 203,278 2020 MYLTIP Units and 352,021 2021 MYLTIP Units. Prior to the end of the respective three-year performance period for each plan, holders of MYLTIP Units are entitled to receive per unit distributions equal to one-tenth (10%) of the regular quarterly distributions payable on an OP Unit, but will not be entitled to receive any special distributions. After the measurement date, the number of MYLTIP Units, both vested and unvested, that MYLTIP award recipients have earned, if any, based on the establishment of a performance pool, will be entitled to receive distributions in an amount per unit equal to distributions, both regular and special, payable on an OP Unit.</w:t>
      </w:r>
    </w:p>
    <w:p>
      <w:pPr>
        <w:spacing w:after="0" w:line="158" w:lineRule="exact"/>
        <w:rPr>
          <w:sz w:val="20"/>
          <w:szCs w:val="20"/>
          <w:color w:val="auto"/>
        </w:rPr>
      </w:pPr>
    </w:p>
    <w:p>
      <w:pPr>
        <w:ind w:right="240" w:firstLine="439"/>
        <w:spacing w:after="0" w:line="252" w:lineRule="auto"/>
        <w:rPr>
          <w:sz w:val="20"/>
          <w:szCs w:val="20"/>
          <w:color w:val="auto"/>
        </w:rPr>
      </w:pPr>
      <w:r>
        <w:rPr>
          <w:rFonts w:ascii="Arial" w:cs="Arial" w:eastAsia="Arial" w:hAnsi="Arial"/>
          <w:sz w:val="18"/>
          <w:szCs w:val="18"/>
          <w:color w:val="auto"/>
        </w:rPr>
        <w:t>On February 5, 2021, the measurement period for the Company’s 2018 MYLTIP awards ended and, based on Boston Properties, Inc.’s relative TSR performance, the final awards were determined to be 29.2% of target, or an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aggregate of approximately $4.6 million (after giving effect to employee separations). As a result, an aggregate of 285,925 2018 MYLTIP Units that had been previously granted were automatically forfeited.</w:t>
      </w:r>
    </w:p>
    <w:p>
      <w:pPr>
        <w:spacing w:after="0" w:line="150"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The following table presents Boston Properties Limited Partnership’s distributions on the OP Units and LTIP Units (including the 2012 OPP Units, 2013 - 2017 MYLTIP Units and, after the February 5, 2021 measurement date, the 2018 MYLTIP Units) and its distributions on the 2018 MYLTIP Units (prior to the February 5, 2021 measurement date) and 2019 - 2021 MYLTIP Units (after the February 2, 2021 issuance date of the 2021 MYLTIP Units) that occurred during the six months ended June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180" w:type="dxa"/>
            <w:vAlign w:val="bottom"/>
            <w:vMerge w:val="restart"/>
          </w:tcPr>
          <w:p>
            <w:pPr>
              <w:spacing w:after="0"/>
              <w:rPr>
                <w:sz w:val="16"/>
                <w:szCs w:val="16"/>
                <w:color w:val="auto"/>
              </w:rPr>
            </w:pPr>
          </w:p>
        </w:tc>
        <w:tc>
          <w:tcPr>
            <w:tcW w:w="2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Payment Date</w:t>
            </w:r>
          </w:p>
        </w:tc>
        <w:tc>
          <w:tcPr>
            <w:tcW w:w="160" w:type="dxa"/>
            <w:vAlign w:val="bottom"/>
            <w:vMerge w:val="restart"/>
          </w:tcPr>
          <w:p>
            <w:pPr>
              <w:spacing w:after="0"/>
              <w:rPr>
                <w:sz w:val="16"/>
                <w:szCs w:val="16"/>
                <w:color w:val="auto"/>
              </w:rPr>
            </w:pPr>
          </w:p>
        </w:tc>
        <w:tc>
          <w:tcPr>
            <w:tcW w:w="2580" w:type="dxa"/>
            <w:vAlign w:val="bottom"/>
            <w:gridSpan w:val="2"/>
          </w:tcPr>
          <w:p>
            <w:pPr>
              <w:ind w:left="40"/>
              <w:spacing w:after="0"/>
              <w:rPr>
                <w:sz w:val="20"/>
                <w:szCs w:val="20"/>
                <w:color w:val="auto"/>
              </w:rPr>
            </w:pPr>
            <w:r>
              <w:rPr>
                <w:rFonts w:ascii="Arial" w:cs="Arial" w:eastAsia="Arial" w:hAnsi="Arial"/>
                <w:sz w:val="16"/>
                <w:szCs w:val="16"/>
                <w:b w:val="1"/>
                <w:bCs w:val="1"/>
                <w:color w:val="auto"/>
              </w:rPr>
              <w:t>Distributions per OP Unit and</w:t>
            </w:r>
          </w:p>
        </w:tc>
        <w:tc>
          <w:tcPr>
            <w:tcW w:w="2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Distributions per MYLTIP Unit</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232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LTIP Unit</w:t>
            </w:r>
          </w:p>
        </w:tc>
        <w:tc>
          <w:tcPr>
            <w:tcW w:w="260" w:type="dxa"/>
            <w:vAlign w:val="bottom"/>
            <w:tcBorders>
              <w:bottom w:val="single" w:sz="8" w:color="CCEEFF"/>
            </w:tcBorders>
          </w:tcPr>
          <w:p>
            <w:pPr>
              <w:spacing w:after="0"/>
              <w:rPr>
                <w:sz w:val="18"/>
                <w:szCs w:val="18"/>
                <w:color w:val="auto"/>
              </w:rPr>
            </w:pPr>
          </w:p>
        </w:tc>
        <w:tc>
          <w:tcPr>
            <w:tcW w:w="2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30, 2021</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5"/>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April 30, 2021</w:t>
            </w:r>
          </w:p>
        </w:tc>
        <w:tc>
          <w:tcPr>
            <w:tcW w:w="232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7"/>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28, 2021</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The following table presents Boston Properties Limited Partnership’s distributions on the OP Units and LTIP Units (including the 2012 OPP Units, 2013 - 2016 MYLTIP Units and, after the February 6, 2020 measurement date, the 2017 MYLTIP Units) and its distributions on the 2017 MYLTIP Units (prior to the February 6, 2020 measurement date) and 2018 - 2020 MYLTIP Units (after the February 4, 2020 issuance date of the 2020 MYLTIP Units) that occurred during the six months ended June 30,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180" w:type="dxa"/>
            <w:vAlign w:val="bottom"/>
            <w:vMerge w:val="restart"/>
          </w:tcPr>
          <w:p>
            <w:pPr>
              <w:spacing w:after="0"/>
              <w:rPr>
                <w:sz w:val="16"/>
                <w:szCs w:val="16"/>
                <w:color w:val="auto"/>
              </w:rPr>
            </w:pPr>
          </w:p>
        </w:tc>
        <w:tc>
          <w:tcPr>
            <w:tcW w:w="2680" w:type="dxa"/>
            <w:vAlign w:val="bottom"/>
            <w:vMerge w:val="restart"/>
          </w:tcPr>
          <w:p>
            <w:pPr>
              <w:spacing w:after="0"/>
              <w:rPr>
                <w:sz w:val="20"/>
                <w:szCs w:val="20"/>
                <w:color w:val="auto"/>
              </w:rPr>
            </w:pPr>
            <w:r>
              <w:rPr>
                <w:rFonts w:ascii="Arial" w:cs="Arial" w:eastAsia="Arial" w:hAnsi="Arial"/>
                <w:sz w:val="16"/>
                <w:szCs w:val="16"/>
                <w:b w:val="1"/>
                <w:bCs w:val="1"/>
                <w:color w:val="auto"/>
              </w:rPr>
              <w:t>Payment Date</w:t>
            </w:r>
          </w:p>
        </w:tc>
        <w:tc>
          <w:tcPr>
            <w:tcW w:w="160" w:type="dxa"/>
            <w:vAlign w:val="bottom"/>
            <w:vMerge w:val="restart"/>
          </w:tcPr>
          <w:p>
            <w:pPr>
              <w:spacing w:after="0"/>
              <w:rPr>
                <w:sz w:val="16"/>
                <w:szCs w:val="16"/>
                <w:color w:val="auto"/>
              </w:rPr>
            </w:pPr>
          </w:p>
        </w:tc>
        <w:tc>
          <w:tcPr>
            <w:tcW w:w="2600" w:type="dxa"/>
            <w:vAlign w:val="bottom"/>
            <w:gridSpan w:val="2"/>
          </w:tcPr>
          <w:p>
            <w:pPr>
              <w:ind w:left="60"/>
              <w:spacing w:after="0"/>
              <w:rPr>
                <w:sz w:val="20"/>
                <w:szCs w:val="20"/>
                <w:color w:val="auto"/>
              </w:rPr>
            </w:pPr>
            <w:r>
              <w:rPr>
                <w:rFonts w:ascii="Arial" w:cs="Arial" w:eastAsia="Arial" w:hAnsi="Arial"/>
                <w:sz w:val="16"/>
                <w:szCs w:val="16"/>
                <w:b w:val="1"/>
                <w:bCs w:val="1"/>
                <w:color w:val="auto"/>
              </w:rPr>
              <w:t>Distributions per OP Unit and</w:t>
            </w:r>
          </w:p>
        </w:tc>
        <w:tc>
          <w:tcPr>
            <w:tcW w:w="2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Distributions per MYLTIP Unit</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2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234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LTIP Unit</w:t>
            </w:r>
          </w:p>
        </w:tc>
        <w:tc>
          <w:tcPr>
            <w:tcW w:w="260" w:type="dxa"/>
            <w:vAlign w:val="bottom"/>
            <w:tcBorders>
              <w:bottom w:val="single" w:sz="8" w:color="CCEEFF"/>
            </w:tcBorders>
          </w:tcPr>
          <w:p>
            <w:pPr>
              <w:spacing w:after="0"/>
              <w:rPr>
                <w:sz w:val="18"/>
                <w:szCs w:val="18"/>
                <w:color w:val="auto"/>
              </w:rPr>
            </w:pPr>
          </w:p>
        </w:tc>
        <w:tc>
          <w:tcPr>
            <w:tcW w:w="2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2020</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5"/>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March 31, 2020</w:t>
            </w:r>
          </w:p>
        </w:tc>
        <w:tc>
          <w:tcPr>
            <w:tcW w:w="2840" w:type="dxa"/>
            <w:vAlign w:val="bottom"/>
            <w:gridSpan w:val="2"/>
          </w:tcPr>
          <w:p>
            <w:pPr>
              <w:spacing w:after="0"/>
              <w:rPr>
                <w:sz w:val="20"/>
                <w:szCs w:val="20"/>
                <w:color w:val="auto"/>
              </w:rPr>
            </w:pPr>
            <w:r>
              <w:rPr>
                <w:rFonts w:ascii="Arial" w:cs="Arial" w:eastAsia="Arial" w:hAnsi="Arial"/>
                <w:sz w:val="18"/>
                <w:szCs w:val="18"/>
                <w:color w:val="auto"/>
              </w:rPr>
              <w:t>April 30, 2020</w:t>
            </w:r>
          </w:p>
        </w:tc>
        <w:tc>
          <w:tcPr>
            <w:tcW w:w="234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7"/>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2020</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439"/>
        <w:spacing w:after="0" w:line="264" w:lineRule="auto"/>
        <w:rPr>
          <w:sz w:val="20"/>
          <w:szCs w:val="20"/>
          <w:color w:val="auto"/>
        </w:rPr>
      </w:pPr>
      <w:r>
        <w:rPr>
          <w:rFonts w:ascii="Arial" w:cs="Arial" w:eastAsia="Arial" w:hAnsi="Arial"/>
          <w:sz w:val="17"/>
          <w:szCs w:val="17"/>
          <w:color w:val="auto"/>
        </w:rPr>
        <w:t>A holder of an OP Unit may present the OP Unit to Boston Properties Limited Partnership for redemption at any time (subject to restrictions agreed upon at the time of issuance of OP Units to particular holders that may restrict such redemption right for a period of time, generally one year from issuance). Upon presentation of an OP Unit for redemption, Boston Properties Limited Partnership must redeem the OP Unit for cash equal to the then value of a share of Common Stock of Boston Properties, Inc. Boston Properties, Inc. may, in its sole discretion, elect to assume and satisfy the redemption obligation by paying either cash or issuing one share of Common Stock. The value of the OP Units (not owned by Boston Properties, Inc. and LTIP Units (including the 2012 OPP Units and 2013 - 2018 MYLTIP Units) assuming that all conditions had been met for the conversion thereof) had all of such units been redeemed at June 30, 2021 was approximately $2.0 billion based on the last reported price of a share of Common Stock on the New York Stock Exchange of $114.59 per share on June 30, 2021.</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Interests—Property Partnerships</w:t>
      </w:r>
    </w:p>
    <w:p>
      <w:pPr>
        <w:spacing w:after="0" w:line="108" w:lineRule="exact"/>
        <w:rPr>
          <w:sz w:val="20"/>
          <w:szCs w:val="20"/>
          <w:color w:val="auto"/>
        </w:rPr>
      </w:pPr>
    </w:p>
    <w:p>
      <w:pPr>
        <w:ind w:right="40" w:firstLine="439"/>
        <w:spacing w:after="0" w:line="248" w:lineRule="auto"/>
        <w:rPr>
          <w:sz w:val="20"/>
          <w:szCs w:val="20"/>
          <w:color w:val="auto"/>
        </w:rPr>
      </w:pPr>
      <w:r>
        <w:rPr>
          <w:rFonts w:ascii="Arial" w:cs="Arial" w:eastAsia="Arial" w:hAnsi="Arial"/>
          <w:sz w:val="18"/>
          <w:szCs w:val="18"/>
          <w:color w:val="auto"/>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$1.7 billion at June 30, 2021 and December 31, 2020, are included in Noncontrolling Interests—Property Partnerships on the accompanying Consolidated Balance Sheets.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Partners’ Capital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2021, Boston Properties, Inc. had 156,135,959 shares of Common Stock outstanding.</w:t>
      </w:r>
    </w:p>
    <w:p>
      <w:pPr>
        <w:spacing w:after="0" w:line="165" w:lineRule="exact"/>
        <w:rPr>
          <w:sz w:val="20"/>
          <w:szCs w:val="20"/>
          <w:color w:val="auto"/>
        </w:rPr>
      </w:pPr>
    </w:p>
    <w:p>
      <w:pPr>
        <w:ind w:right="440" w:firstLine="439"/>
        <w:spacing w:after="0" w:line="252" w:lineRule="auto"/>
        <w:rPr>
          <w:sz w:val="20"/>
          <w:szCs w:val="20"/>
          <w:color w:val="auto"/>
        </w:rPr>
      </w:pPr>
      <w:r>
        <w:rPr>
          <w:rFonts w:ascii="Arial" w:cs="Arial" w:eastAsia="Arial" w:hAnsi="Arial"/>
          <w:sz w:val="18"/>
          <w:szCs w:val="18"/>
          <w:color w:val="auto"/>
        </w:rPr>
        <w:t>As of June 30, 2021, Boston Properties, Inc. owned 1,736,635 general partnership units and 154,399,324 limited partnership units in Boston Properties Limited Partnership.</w:t>
      </w:r>
    </w:p>
    <w:p>
      <w:pPr>
        <w:spacing w:after="0" w:line="150" w:lineRule="exact"/>
        <w:rPr>
          <w:sz w:val="20"/>
          <w:szCs w:val="20"/>
          <w:color w:val="auto"/>
        </w:rPr>
      </w:pPr>
    </w:p>
    <w:p>
      <w:pPr>
        <w:jc w:val="both"/>
        <w:ind w:right="120" w:firstLine="439"/>
        <w:spacing w:after="0" w:line="249" w:lineRule="auto"/>
        <w:rPr>
          <w:sz w:val="20"/>
          <w:szCs w:val="20"/>
          <w:color w:val="auto"/>
        </w:rPr>
      </w:pPr>
      <w:r>
        <w:rPr>
          <w:rFonts w:ascii="Arial" w:cs="Arial" w:eastAsia="Arial" w:hAnsi="Arial"/>
          <w:sz w:val="18"/>
          <w:szCs w:val="18"/>
          <w:color w:val="auto"/>
        </w:rPr>
        <w:t>On May 22, 2020, Boston Properties, Inc. renewed its “at the market” (“ATM”) stock offering program through which it may sell from time to time up to an aggregate of $600.0 million of its Common Stock through sales agents over a three-year period. Under the ATM stock offering program, Boston Properties, Inc. may also engage 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forward sale transactions with affiliates of certain sales agents for the sale of its Common Stock on a forward basis. This program replaced Boston Properties, Inc.’s prior $600.0 million ATM stock offering program that was scheduled to expire on June 2, 2020. Boston Properties, Inc. intends to use the net proceeds from any offering for general business purposes, which may include investment opportunities and debt reduction. No shares of Common Stock have been issued under this ATM stock offering program.</w:t>
      </w:r>
    </w:p>
    <w:p>
      <w:pPr>
        <w:spacing w:after="0" w:line="155" w:lineRule="exact"/>
        <w:rPr>
          <w:sz w:val="20"/>
          <w:szCs w:val="20"/>
          <w:color w:val="auto"/>
        </w:rPr>
      </w:pPr>
    </w:p>
    <w:p>
      <w:pPr>
        <w:ind w:right="540" w:firstLine="439"/>
        <w:spacing w:after="0" w:line="252" w:lineRule="auto"/>
        <w:rPr>
          <w:sz w:val="20"/>
          <w:szCs w:val="20"/>
          <w:color w:val="auto"/>
        </w:rPr>
      </w:pPr>
      <w:r>
        <w:rPr>
          <w:rFonts w:ascii="Arial" w:cs="Arial" w:eastAsia="Arial" w:hAnsi="Arial"/>
          <w:sz w:val="18"/>
          <w:szCs w:val="18"/>
          <w:color w:val="auto"/>
        </w:rPr>
        <w:t>During the six months ended June 30, 2021, Boston Properties, Inc. issued 206,377 shares of Common Stock upon the exercise of options to purchase Common Stock.</w:t>
      </w:r>
    </w:p>
    <w:p>
      <w:pPr>
        <w:spacing w:after="0" w:line="150" w:lineRule="exact"/>
        <w:rPr>
          <w:sz w:val="20"/>
          <w:szCs w:val="20"/>
          <w:color w:val="auto"/>
        </w:rPr>
      </w:pPr>
    </w:p>
    <w:p>
      <w:pPr>
        <w:ind w:right="440" w:firstLine="439"/>
        <w:spacing w:after="0" w:line="252" w:lineRule="auto"/>
        <w:rPr>
          <w:sz w:val="20"/>
          <w:szCs w:val="20"/>
          <w:color w:val="auto"/>
        </w:rPr>
      </w:pPr>
      <w:r>
        <w:rPr>
          <w:rFonts w:ascii="Arial" w:cs="Arial" w:eastAsia="Arial" w:hAnsi="Arial"/>
          <w:sz w:val="18"/>
          <w:szCs w:val="18"/>
          <w:color w:val="auto"/>
        </w:rPr>
        <w:t>During the six months ended June 30, 2021, Boston Properties, Inc. issued 177,434 shares of Common Stock in connection with the redemption of an equal number of redeemable OP Units from limited partners.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Boston Properties, Inc.’s dividends per share and Boston Properties Limited Partnership’s distributions per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OP Unit and LTIP Unit paid or declared in 2021 and during the six months ended June 30,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Record Date</w:t>
            </w:r>
          </w:p>
        </w:tc>
        <w:tc>
          <w:tcPr>
            <w:tcW w:w="180" w:type="dxa"/>
            <w:vAlign w:val="bottom"/>
            <w:tcBorders>
              <w:bottom w:val="single" w:sz="8" w:color="CCEEFF"/>
            </w:tcBorders>
          </w:tcPr>
          <w:p>
            <w:pPr>
              <w:spacing w:after="0"/>
              <w:rPr>
                <w:sz w:val="18"/>
                <w:szCs w:val="18"/>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Payment Date</w:t>
            </w:r>
          </w:p>
        </w:tc>
        <w:tc>
          <w:tcPr>
            <w:tcW w:w="16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Dividend (Per Share)</w:t>
            </w:r>
          </w:p>
        </w:tc>
        <w:tc>
          <w:tcPr>
            <w:tcW w:w="26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Distribution (Per Unit)</w:t>
            </w:r>
          </w:p>
        </w:tc>
      </w:tr>
      <w:tr>
        <w:trPr>
          <w:trHeight w:val="22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30, 2021</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25"/>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April 30, 2021</w:t>
            </w: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27"/>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28, 2021</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66"/>
        </w:trPr>
        <w:tc>
          <w:tcPr>
            <w:tcW w:w="2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22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31, 2020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25"/>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2020</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April 30, 2020</w:t>
            </w: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27"/>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30, 2020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bl>
    <w:p>
      <w:pPr>
        <w:spacing w:after="0" w:line="3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On March 2, 2021, Boston Properties, Inc. issued a redemption notice for 80,000 shares of its Series B Preferred Stock, which constituted all of the outstanding Series B Preferred Stock, and the corresponding Depositary Shares, each representing 1/100th of a share of Series B Preferred Stock. The redemption price per share of Series B Preferred Stock was equal to $2,500 plus all accrued and unpaid dividend to, but not including, the redemption date, totaling $2,516.41 per share. On March 31, 2021, the Company transferred the full redemption price for all outstanding shares of Series B Preferred Stock of approximately $201.3 million including approximately $1.3 million of accrued and unpaid dividends to, but not including, the redemption date, to the redemption agent. The excess of the redemption price over the carrying value of the Series B Preferred Stock and Series B Preferred Units of approximately $6.4 million relates to the original issuance costs and is reflected as a reduction to Net Income Attributable to Boston Properties, Inc. common shareholders and Net Income Attributable to Boston Properties Limited Partnership common unitholders on the Consolidated Income Statement.</w:t>
      </w:r>
    </w:p>
    <w:p>
      <w:pPr>
        <w:spacing w:after="0" w:line="157" w:lineRule="exact"/>
        <w:rPr>
          <w:sz w:val="20"/>
          <w:szCs w:val="20"/>
          <w:color w:val="auto"/>
        </w:rPr>
      </w:pPr>
    </w:p>
    <w:p>
      <w:pPr>
        <w:ind w:right="120" w:firstLine="439"/>
        <w:spacing w:after="0" w:line="248" w:lineRule="auto"/>
        <w:rPr>
          <w:sz w:val="20"/>
          <w:szCs w:val="20"/>
          <w:color w:val="auto"/>
        </w:rPr>
      </w:pPr>
      <w:r>
        <w:rPr>
          <w:rFonts w:ascii="Arial" w:cs="Arial" w:eastAsia="Arial" w:hAnsi="Arial"/>
          <w:sz w:val="18"/>
          <w:szCs w:val="18"/>
          <w:color w:val="auto"/>
        </w:rPr>
        <w:t>On April 1, 2021, Boston Properties, Inc. redeemed 80,000 shares of Series B Preferred Stock (including the corresponding 8,000,000 Depositary Shares), which represented all of the outstanding shares of Series B Preferred Stock and all of the outstanding Depositary Shares. In connection with the redemption of the Series B Preferred Stock, all of the Series B Preferred Units, which had terms and preferences generally mirroring those of the Series B Preferred Stock, were redeemed by Boston Properties Limited Partnership.</w:t>
      </w:r>
    </w:p>
    <w:p>
      <w:pPr>
        <w:spacing w:after="0" w:line="155" w:lineRule="exact"/>
        <w:rPr>
          <w:sz w:val="20"/>
          <w:szCs w:val="20"/>
          <w:color w:val="auto"/>
        </w:rPr>
      </w:pPr>
    </w:p>
    <w:p>
      <w:pPr>
        <w:ind w:right="240" w:firstLine="439"/>
        <w:spacing w:after="0" w:line="252" w:lineRule="auto"/>
        <w:rPr>
          <w:sz w:val="20"/>
          <w:szCs w:val="20"/>
          <w:color w:val="auto"/>
        </w:rPr>
      </w:pPr>
      <w:r>
        <w:rPr>
          <w:rFonts w:ascii="Arial" w:cs="Arial" w:eastAsia="Arial" w:hAnsi="Arial"/>
          <w:sz w:val="18"/>
          <w:szCs w:val="18"/>
          <w:color w:val="auto"/>
        </w:rPr>
        <w:t>The following table presents Boston Properties, Inc.’s dividends per share on its Series B Preferred Stock paid or declared during 2021 and during the six months ended June 30,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Record Date</w:t>
            </w:r>
          </w:p>
        </w:tc>
        <w:tc>
          <w:tcPr>
            <w:tcW w:w="200" w:type="dxa"/>
            <w:vAlign w:val="bottom"/>
            <w:tcBorders>
              <w:bottom w:val="single" w:sz="8" w:color="CCEEFF"/>
            </w:tcBorders>
          </w:tcPr>
          <w:p>
            <w:pPr>
              <w:spacing w:after="0"/>
              <w:rPr>
                <w:sz w:val="18"/>
                <w:szCs w:val="18"/>
                <w:color w:val="auto"/>
              </w:rPr>
            </w:pP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Payment Date</w:t>
            </w:r>
          </w:p>
        </w:tc>
        <w:tc>
          <w:tcPr>
            <w:tcW w:w="16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Dividend (Per Share)</w:t>
            </w:r>
          </w:p>
        </w:tc>
        <w:tc>
          <w:tcPr>
            <w:tcW w:w="20" w:type="dxa"/>
            <w:vAlign w:val="bottom"/>
          </w:tcPr>
          <w:p>
            <w:pPr>
              <w:spacing w:after="0"/>
              <w:rPr>
                <w:sz w:val="18"/>
                <w:szCs w:val="18"/>
                <w:color w:val="auto"/>
              </w:rPr>
            </w:pPr>
          </w:p>
        </w:tc>
      </w:tr>
      <w:tr>
        <w:trPr>
          <w:trHeight w:val="22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5, 2021</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16, 2021</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$32.8125</w:t>
            </w:r>
          </w:p>
        </w:tc>
        <w:tc>
          <w:tcPr>
            <w:tcW w:w="20" w:type="dxa"/>
            <w:vAlign w:val="bottom"/>
          </w:tcPr>
          <w:p>
            <w:pPr>
              <w:spacing w:after="0"/>
              <w:rPr>
                <w:sz w:val="19"/>
                <w:szCs w:val="19"/>
                <w:color w:val="auto"/>
              </w:rPr>
            </w:pPr>
          </w:p>
        </w:tc>
      </w:tr>
      <w:tr>
        <w:trPr>
          <w:trHeight w:val="266"/>
        </w:trPr>
        <w:tc>
          <w:tcPr>
            <w:tcW w:w="4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3, 2020</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17, 2020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$32.8125</w:t>
            </w:r>
          </w:p>
        </w:tc>
        <w:tc>
          <w:tcPr>
            <w:tcW w:w="20" w:type="dxa"/>
            <w:vAlign w:val="bottom"/>
          </w:tcPr>
          <w:p>
            <w:pPr>
              <w:spacing w:after="0"/>
              <w:rPr>
                <w:sz w:val="19"/>
                <w:szCs w:val="19"/>
                <w:color w:val="auto"/>
              </w:rPr>
            </w:pPr>
          </w:p>
        </w:tc>
      </w:tr>
      <w:tr>
        <w:trPr>
          <w:trHeight w:val="225"/>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May 1, 2020</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May 15, 2020</w:t>
            </w:r>
          </w:p>
        </w:tc>
        <w:tc>
          <w:tcPr>
            <w:tcW w:w="2300" w:type="dxa"/>
            <w:vAlign w:val="bottom"/>
          </w:tcPr>
          <w:p>
            <w:pPr>
              <w:jc w:val="right"/>
              <w:spacing w:after="0"/>
              <w:rPr>
                <w:sz w:val="20"/>
                <w:szCs w:val="20"/>
                <w:color w:val="auto"/>
              </w:rPr>
            </w:pPr>
            <w:r>
              <w:rPr>
                <w:rFonts w:ascii="Arial" w:cs="Arial" w:eastAsia="Arial" w:hAnsi="Arial"/>
                <w:sz w:val="18"/>
                <w:szCs w:val="18"/>
                <w:color w:val="auto"/>
              </w:rPr>
              <w:t>$32.8125</w:t>
            </w:r>
          </w:p>
        </w:tc>
        <w:tc>
          <w:tcPr>
            <w:tcW w:w="20" w:type="dxa"/>
            <w:vAlign w:val="bottom"/>
          </w:tcPr>
          <w:p>
            <w:pPr>
              <w:spacing w:after="0"/>
              <w:rPr>
                <w:sz w:val="19"/>
                <w:szCs w:val="19"/>
                <w:color w:val="auto"/>
              </w:rPr>
            </w:pPr>
          </w:p>
        </w:tc>
      </w:tr>
      <w:tr>
        <w:trPr>
          <w:trHeight w:val="227"/>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4, 2020</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18, 2020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$32.8125</w:t>
            </w:r>
          </w:p>
        </w:tc>
        <w:tc>
          <w:tcPr>
            <w:tcW w:w="20" w:type="dxa"/>
            <w:vAlign w:val="bottom"/>
          </w:tcPr>
          <w:p>
            <w:pPr>
              <w:spacing w:after="0"/>
              <w:rPr>
                <w:sz w:val="19"/>
                <w:szCs w:val="19"/>
                <w:color w:val="auto"/>
              </w:rPr>
            </w:pPr>
          </w:p>
        </w:tc>
      </w:tr>
      <w:tr>
        <w:trPr>
          <w:trHeight w:val="836"/>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20" w:type="dxa"/>
            <w:vAlign w:val="bottom"/>
          </w:tcPr>
          <w:p>
            <w:pPr>
              <w:ind w:left="108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4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08" w:lineRule="exact"/>
        <w:rPr>
          <w:sz w:val="20"/>
          <w:szCs w:val="20"/>
          <w:color w:val="auto"/>
        </w:rPr>
      </w:pPr>
    </w:p>
    <w:p>
      <w:pPr>
        <w:ind w:right="200" w:firstLine="439"/>
        <w:spacing w:after="0" w:line="249" w:lineRule="auto"/>
        <w:rPr>
          <w:sz w:val="20"/>
          <w:szCs w:val="20"/>
          <w:color w:val="auto"/>
        </w:rPr>
      </w:pPr>
      <w:r>
        <w:rPr>
          <w:rFonts w:ascii="Arial" w:cs="Arial" w:eastAsia="Arial" w:hAnsi="Arial"/>
          <w:sz w:val="18"/>
          <w:szCs w:val="18"/>
          <w:color w:val="auto"/>
        </w:rPr>
        <w:t>The following tables present reconciliations of Net Income Attributable to Boston Properties, Inc. Common Shareholders to the Company’s share of Net Operating Income and Net Income Attributable to Boston Properties Limited Partnership Common Unitholders to the Company’s share of Net Operating Income for the three and six months ended June 30, 2021 and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22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08"/>
        </w:trPr>
        <w:tc>
          <w:tcPr>
            <w:tcW w:w="6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r>
      <w:tr>
        <w:trPr>
          <w:trHeight w:val="206"/>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ind w:left="4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Inc. common shareholders</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266,525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203,372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764,232</w:t>
            </w: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redemption charge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280" w:type="dxa"/>
            <w:vAlign w:val="bottom"/>
          </w:tcPr>
          <w:p>
            <w:pPr>
              <w:ind w:left="340"/>
              <w:spacing w:after="0"/>
              <w:rPr>
                <w:sz w:val="20"/>
                <w:szCs w:val="20"/>
                <w:color w:val="auto"/>
              </w:rPr>
            </w:pPr>
            <w:r>
              <w:rPr>
                <w:rFonts w:ascii="Arial" w:cs="Arial" w:eastAsia="Arial" w:hAnsi="Arial"/>
                <w:sz w:val="18"/>
                <w:szCs w:val="18"/>
                <w:color w:val="auto"/>
              </w:rPr>
              <w:t>Preferred dividends</w:t>
            </w:r>
          </w:p>
        </w:tc>
        <w:tc>
          <w:tcPr>
            <w:tcW w:w="2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5,250</w:t>
            </w:r>
          </w:p>
        </w:tc>
      </w:tr>
      <w:tr>
        <w:trPr>
          <w:trHeight w:val="227"/>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interest—common units of the Operating Partnership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87,525</w:t>
            </w:r>
          </w:p>
        </w:tc>
      </w:tr>
      <w:tr>
        <w:trPr>
          <w:trHeight w:val="225"/>
        </w:trPr>
        <w:tc>
          <w:tcPr>
            <w:tcW w:w="6280" w:type="dxa"/>
            <w:vAlign w:val="bottom"/>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17,164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33,631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18,719</w:t>
            </w:r>
          </w:p>
        </w:tc>
      </w:tr>
      <w:tr>
        <w:trPr>
          <w:trHeight w:val="227"/>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107,142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214,221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208,733</w:t>
            </w:r>
          </w:p>
        </w:tc>
      </w:tr>
      <w:tr>
        <w:trPr>
          <w:trHeight w:val="225"/>
        </w:trPr>
        <w:tc>
          <w:tcPr>
            <w:tcW w:w="6280" w:type="dxa"/>
            <w:vAlign w:val="bottom"/>
          </w:tcPr>
          <w:p>
            <w:pPr>
              <w:ind w:left="340"/>
              <w:spacing w:after="0"/>
              <w:rPr>
                <w:sz w:val="20"/>
                <w:szCs w:val="20"/>
                <w:color w:val="auto"/>
              </w:rPr>
            </w:pPr>
            <w:r>
              <w:rPr>
                <w:rFonts w:ascii="Arial" w:cs="Arial" w:eastAsia="Arial" w:hAnsi="Arial"/>
                <w:sz w:val="18"/>
                <w:szCs w:val="18"/>
                <w:color w:val="auto"/>
              </w:rPr>
              <w:t>Losses from early extinguishment of debt</w:t>
            </w:r>
          </w:p>
        </w:tc>
        <w:tc>
          <w:tcPr>
            <w:tcW w:w="2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income from unconsolidated joint ventures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56,669</w:t>
            </w:r>
          </w:p>
        </w:tc>
      </w:tr>
      <w:tr>
        <w:trPr>
          <w:trHeight w:val="225"/>
        </w:trPr>
        <w:tc>
          <w:tcPr>
            <w:tcW w:w="628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183,838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178,188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360,403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349,282</w:t>
            </w:r>
          </w:p>
        </w:tc>
      </w:tr>
      <w:tr>
        <w:trPr>
          <w:trHeight w:val="227"/>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25"/>
        </w:trPr>
        <w:tc>
          <w:tcPr>
            <w:tcW w:w="6280" w:type="dxa"/>
            <w:vAlign w:val="bottom"/>
          </w:tcPr>
          <w:p>
            <w:pPr>
              <w:ind w:left="340"/>
              <w:spacing w:after="0"/>
              <w:rPr>
                <w:sz w:val="20"/>
                <w:szCs w:val="20"/>
                <w:color w:val="auto"/>
              </w:rPr>
            </w:pPr>
            <w:r>
              <w:rPr>
                <w:rFonts w:ascii="Arial" w:cs="Arial" w:eastAsia="Arial" w:hAnsi="Arial"/>
                <w:sz w:val="18"/>
                <w:szCs w:val="18"/>
                <w:color w:val="auto"/>
              </w:rPr>
              <w:t>Payroll and related costs from management services contracts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6,160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5,721</w:t>
            </w:r>
          </w:p>
        </w:tc>
      </w:tr>
      <w:tr>
        <w:trPr>
          <w:trHeight w:val="227"/>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74,197</w:t>
            </w: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86"/>
        </w:trPr>
        <w:tc>
          <w:tcPr>
            <w:tcW w:w="6280" w:type="dxa"/>
            <w:vAlign w:val="bottom"/>
            <w:shd w:val="clear" w:color="auto" w:fill="CCEEFF"/>
          </w:tcPr>
          <w:p>
            <w:pPr>
              <w:ind w:left="340"/>
              <w:spacing w:after="0" w:line="186" w:lineRule="exact"/>
              <w:rPr>
                <w:sz w:val="20"/>
                <w:szCs w:val="20"/>
                <w:color w:val="auto"/>
              </w:rPr>
            </w:pPr>
            <w:r>
              <w:rPr>
                <w:rFonts w:ascii="Arial" w:cs="Arial" w:eastAsia="Arial" w:hAnsi="Arial"/>
                <w:sz w:val="18"/>
                <w:szCs w:val="18"/>
                <w:color w:val="auto"/>
              </w:rPr>
              <w:t>Net operating income attributable to noncontrolling interests in property</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4"/>
        </w:trPr>
        <w:tc>
          <w:tcPr>
            <w:tcW w:w="62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partnerships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80,088</w:t>
            </w:r>
          </w:p>
        </w:tc>
      </w:tr>
      <w:tr>
        <w:trPr>
          <w:trHeight w:val="225"/>
        </w:trPr>
        <w:tc>
          <w:tcPr>
            <w:tcW w:w="6280" w:type="dxa"/>
            <w:vAlign w:val="bottom"/>
          </w:tcPr>
          <w:p>
            <w:pPr>
              <w:ind w:left="340"/>
              <w:spacing w:after="0"/>
              <w:rPr>
                <w:sz w:val="20"/>
                <w:szCs w:val="20"/>
                <w:color w:val="auto"/>
              </w:rPr>
            </w:pPr>
            <w:r>
              <w:rPr>
                <w:rFonts w:ascii="Arial" w:cs="Arial" w:eastAsia="Arial" w:hAnsi="Arial"/>
                <w:sz w:val="18"/>
                <w:szCs w:val="18"/>
                <w:color w:val="auto"/>
              </w:rPr>
              <w:t>Gains (losses) from investments in securities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27"/>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income (loss)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r>
      <w:tr>
        <w:trPr>
          <w:trHeight w:val="225"/>
        </w:trPr>
        <w:tc>
          <w:tcPr>
            <w:tcW w:w="6280" w:type="dxa"/>
            <w:vAlign w:val="bottom"/>
          </w:tcPr>
          <w:p>
            <w:pPr>
              <w:ind w:left="340"/>
              <w:spacing w:after="0"/>
              <w:rPr>
                <w:sz w:val="20"/>
                <w:szCs w:val="20"/>
                <w:color w:val="auto"/>
              </w:rPr>
            </w:pPr>
            <w:r>
              <w:rPr>
                <w:rFonts w:ascii="Arial" w:cs="Arial" w:eastAsia="Arial" w:hAnsi="Arial"/>
                <w:sz w:val="18"/>
                <w:szCs w:val="18"/>
                <w:color w:val="auto"/>
              </w:rPr>
              <w:t>Gains on sales of real estate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203,767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613,932</w:t>
            </w:r>
          </w:p>
        </w:tc>
      </w:tr>
      <w:tr>
        <w:trPr>
          <w:trHeight w:val="227"/>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unconsolidated joint ventures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185"/>
        </w:trPr>
        <w:tc>
          <w:tcPr>
            <w:tcW w:w="6280" w:type="dxa"/>
            <w:vAlign w:val="bottom"/>
          </w:tcPr>
          <w:p>
            <w:pPr>
              <w:ind w:left="340"/>
              <w:spacing w:after="0" w:line="185" w:lineRule="exact"/>
              <w:rPr>
                <w:sz w:val="20"/>
                <w:szCs w:val="20"/>
                <w:color w:val="auto"/>
              </w:rPr>
            </w:pPr>
            <w:r>
              <w:rPr>
                <w:rFonts w:ascii="Arial" w:cs="Arial" w:eastAsia="Arial" w:hAnsi="Arial"/>
                <w:sz w:val="18"/>
                <w:szCs w:val="18"/>
                <w:color w:val="auto"/>
              </w:rPr>
              <w:t>Direct reimbursements of payroll and related costs from management</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3"/>
        </w:trPr>
        <w:tc>
          <w:tcPr>
            <w:tcW w:w="6280" w:type="dxa"/>
            <w:vAlign w:val="bottom"/>
          </w:tcPr>
          <w:p>
            <w:pPr>
              <w:ind w:left="580"/>
              <w:spacing w:after="0"/>
              <w:rPr>
                <w:sz w:val="20"/>
                <w:szCs w:val="20"/>
                <w:color w:val="auto"/>
              </w:rPr>
            </w:pPr>
            <w:r>
              <w:rPr>
                <w:rFonts w:ascii="Arial" w:cs="Arial" w:eastAsia="Arial" w:hAnsi="Arial"/>
                <w:sz w:val="18"/>
                <w:szCs w:val="18"/>
                <w:color w:val="auto"/>
              </w:rPr>
              <w:t>services contracts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5,721</w:t>
            </w:r>
          </w:p>
        </w:tc>
      </w:tr>
      <w:tr>
        <w:trPr>
          <w:trHeight w:val="227"/>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and management services revenue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16,004</w:t>
            </w:r>
          </w:p>
        </w:tc>
      </w:tr>
      <w:tr>
        <w:trPr>
          <w:trHeight w:val="219"/>
        </w:trPr>
        <w:tc>
          <w:tcPr>
            <w:tcW w:w="6280" w:type="dxa"/>
            <w:vAlign w:val="bottom"/>
          </w:tcPr>
          <w:p>
            <w:pPr>
              <w:ind w:left="20"/>
              <w:spacing w:after="0" w:line="205" w:lineRule="exact"/>
              <w:rPr>
                <w:sz w:val="20"/>
                <w:szCs w:val="20"/>
                <w:color w:val="auto"/>
              </w:rPr>
            </w:pPr>
            <w:r>
              <w:rPr>
                <w:rFonts w:ascii="Arial" w:cs="Arial" w:eastAsia="Arial" w:hAnsi="Arial"/>
                <w:sz w:val="18"/>
                <w:szCs w:val="18"/>
                <w:color w:val="auto"/>
              </w:rPr>
              <w:t>Company’s share of Net Operating Income</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432,299</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397,888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856,665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850,638</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258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22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08"/>
        </w:trPr>
        <w:tc>
          <w:tcPr>
            <w:tcW w:w="6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r>
      <w:tr>
        <w:trPr>
          <w:trHeight w:val="206"/>
        </w:trPr>
        <w:tc>
          <w:tcPr>
            <w:tcW w:w="6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ind w:left="4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5"/>
        </w:trPr>
        <w:tc>
          <w:tcPr>
            <w:tcW w:w="630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Net income attributable to Boston Properties Limited Partnership common</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4"/>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unitholders</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868,308</w:t>
            </w:r>
          </w:p>
        </w:tc>
      </w:tr>
      <w:tr>
        <w:trPr>
          <w:trHeight w:val="225"/>
        </w:trPr>
        <w:tc>
          <w:tcPr>
            <w:tcW w:w="6300" w:type="dxa"/>
            <w:vAlign w:val="bottom"/>
          </w:tcPr>
          <w:p>
            <w:pPr>
              <w:ind w:left="2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unit redemption charge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00" w:type="dxa"/>
            <w:vAlign w:val="bottom"/>
          </w:tcPr>
          <w:p>
            <w:pPr>
              <w:ind w:left="340"/>
              <w:spacing w:after="0"/>
              <w:rPr>
                <w:sz w:val="20"/>
                <w:szCs w:val="20"/>
                <w:color w:val="auto"/>
              </w:rPr>
            </w:pPr>
            <w:r>
              <w:rPr>
                <w:rFonts w:ascii="Arial" w:cs="Arial" w:eastAsia="Arial" w:hAnsi="Arial"/>
                <w:sz w:val="18"/>
                <w:szCs w:val="18"/>
                <w:color w:val="auto"/>
              </w:rPr>
              <w:t>Preferred distributions</w:t>
            </w:r>
          </w:p>
        </w:tc>
        <w:tc>
          <w:tcPr>
            <w:tcW w:w="2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5,250</w:t>
            </w:r>
          </w:p>
        </w:tc>
      </w:tr>
      <w:tr>
        <w:trPr>
          <w:trHeight w:val="227"/>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18,719</w:t>
            </w:r>
          </w:p>
        </w:tc>
      </w:tr>
      <w:tr>
        <w:trPr>
          <w:trHeight w:val="225"/>
        </w:trPr>
        <w:tc>
          <w:tcPr>
            <w:tcW w:w="63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106,319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107,142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214,221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208,733</w:t>
            </w:r>
          </w:p>
        </w:tc>
      </w:tr>
      <w:tr>
        <w:trPr>
          <w:trHeight w:val="227"/>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from early extinguishment of debt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00" w:type="dxa"/>
            <w:vAlign w:val="bottom"/>
          </w:tcPr>
          <w:p>
            <w:pPr>
              <w:ind w:left="340"/>
              <w:spacing w:after="0"/>
              <w:rPr>
                <w:sz w:val="20"/>
                <w:szCs w:val="20"/>
                <w:color w:val="auto"/>
              </w:rPr>
            </w:pPr>
            <w:r>
              <w:rPr>
                <w:rFonts w:ascii="Arial" w:cs="Arial" w:eastAsia="Arial" w:hAnsi="Arial"/>
                <w:sz w:val="18"/>
                <w:szCs w:val="18"/>
                <w:color w:val="auto"/>
              </w:rPr>
              <w:t>Net operating income from unconsolidated joint ventures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25,417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27,911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56,669</w:t>
            </w:r>
          </w:p>
        </w:tc>
      </w:tr>
      <w:tr>
        <w:trPr>
          <w:trHeight w:val="227"/>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182,078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176,409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355,578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345,694</w:t>
            </w:r>
          </w:p>
        </w:tc>
      </w:tr>
      <w:tr>
        <w:trPr>
          <w:trHeight w:val="225"/>
        </w:trPr>
        <w:tc>
          <w:tcPr>
            <w:tcW w:w="630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27"/>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Payroll and related costs from management services contracts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r>
      <w:tr>
        <w:trPr>
          <w:trHeight w:val="225"/>
        </w:trPr>
        <w:tc>
          <w:tcPr>
            <w:tcW w:w="6300" w:type="dxa"/>
            <w:vAlign w:val="bottom"/>
          </w:tcPr>
          <w:p>
            <w:pPr>
              <w:ind w:left="3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38,405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37,743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83,364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74,197</w:t>
            </w:r>
          </w:p>
        </w:tc>
      </w:tr>
      <w:tr>
        <w:trPr>
          <w:trHeight w:val="227"/>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85"/>
        </w:trPr>
        <w:tc>
          <w:tcPr>
            <w:tcW w:w="6300" w:type="dxa"/>
            <w:vAlign w:val="bottom"/>
          </w:tcPr>
          <w:p>
            <w:pPr>
              <w:ind w:left="340"/>
              <w:spacing w:after="0" w:line="185" w:lineRule="exact"/>
              <w:rPr>
                <w:sz w:val="20"/>
                <w:szCs w:val="20"/>
                <w:color w:val="auto"/>
              </w:rPr>
            </w:pPr>
            <w:r>
              <w:rPr>
                <w:rFonts w:ascii="Arial" w:cs="Arial" w:eastAsia="Arial" w:hAnsi="Arial"/>
                <w:sz w:val="18"/>
                <w:szCs w:val="18"/>
                <w:color w:val="auto"/>
              </w:rPr>
              <w:t>Net operating income attributable to noncontrolling interests in property</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3"/>
        </w:trPr>
        <w:tc>
          <w:tcPr>
            <w:tcW w:w="6300" w:type="dxa"/>
            <w:vAlign w:val="bottom"/>
          </w:tcPr>
          <w:p>
            <w:pPr>
              <w:ind w:left="580"/>
              <w:spacing w:after="0"/>
              <w:rPr>
                <w:sz w:val="20"/>
                <w:szCs w:val="20"/>
                <w:color w:val="auto"/>
              </w:rPr>
            </w:pPr>
            <w:r>
              <w:rPr>
                <w:rFonts w:ascii="Arial" w:cs="Arial" w:eastAsia="Arial" w:hAnsi="Arial"/>
                <w:sz w:val="18"/>
                <w:szCs w:val="18"/>
                <w:color w:val="auto"/>
              </w:rPr>
              <w:t>partnerships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46,287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90,663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80,088</w:t>
            </w:r>
          </w:p>
        </w:tc>
      </w:tr>
      <w:tr>
        <w:trPr>
          <w:trHeight w:val="227"/>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(losses) from investments in securities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25"/>
        </w:trPr>
        <w:tc>
          <w:tcPr>
            <w:tcW w:w="6300" w:type="dxa"/>
            <w:vAlign w:val="bottom"/>
          </w:tcPr>
          <w:p>
            <w:pPr>
              <w:ind w:left="340"/>
              <w:spacing w:after="0"/>
              <w:rPr>
                <w:sz w:val="20"/>
                <w:szCs w:val="20"/>
                <w:color w:val="auto"/>
              </w:rPr>
            </w:pPr>
            <w:r>
              <w:rPr>
                <w:rFonts w:ascii="Arial" w:cs="Arial" w:eastAsia="Arial" w:hAnsi="Arial"/>
                <w:sz w:val="18"/>
                <w:szCs w:val="18"/>
                <w:color w:val="auto"/>
              </w:rPr>
              <w:t>Interest and other income (loss)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4,322</w:t>
            </w:r>
          </w:p>
        </w:tc>
      </w:tr>
      <w:tr>
        <w:trPr>
          <w:trHeight w:val="227"/>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sales of real estate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207,241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626,895</w:t>
            </w:r>
          </w:p>
        </w:tc>
      </w:tr>
      <w:tr>
        <w:trPr>
          <w:trHeight w:val="225"/>
        </w:trPr>
        <w:tc>
          <w:tcPr>
            <w:tcW w:w="6300" w:type="dxa"/>
            <w:vAlign w:val="bottom"/>
          </w:tcPr>
          <w:p>
            <w:pPr>
              <w:ind w:left="340"/>
              <w:spacing w:after="0"/>
              <w:rPr>
                <w:sz w:val="20"/>
                <w:szCs w:val="20"/>
                <w:color w:val="auto"/>
              </w:rPr>
            </w:pPr>
            <w:r>
              <w:rPr>
                <w:rFonts w:ascii="Arial" w:cs="Arial" w:eastAsia="Arial" w:hAnsi="Arial"/>
                <w:sz w:val="18"/>
                <w:szCs w:val="18"/>
                <w:color w:val="auto"/>
              </w:rPr>
              <w:t>Income (loss) from unconsolidated joint ventures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186"/>
        </w:trPr>
        <w:tc>
          <w:tcPr>
            <w:tcW w:w="6300" w:type="dxa"/>
            <w:vAlign w:val="bottom"/>
            <w:shd w:val="clear" w:color="auto" w:fill="CCEEFF"/>
          </w:tcPr>
          <w:p>
            <w:pPr>
              <w:ind w:left="340"/>
              <w:spacing w:after="0" w:line="186" w:lineRule="exact"/>
              <w:rPr>
                <w:sz w:val="20"/>
                <w:szCs w:val="20"/>
                <w:color w:val="auto"/>
              </w:rPr>
            </w:pPr>
            <w:r>
              <w:rPr>
                <w:rFonts w:ascii="Arial" w:cs="Arial" w:eastAsia="Arial" w:hAnsi="Arial"/>
                <w:sz w:val="18"/>
                <w:szCs w:val="18"/>
                <w:color w:val="auto"/>
              </w:rPr>
              <w:t>Direct reimbursements of payroll and related costs from management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4"/>
        </w:trPr>
        <w:tc>
          <w:tcPr>
            <w:tcW w:w="6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services contracts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r>
      <w:tr>
        <w:trPr>
          <w:trHeight w:val="225"/>
        </w:trPr>
        <w:tc>
          <w:tcPr>
            <w:tcW w:w="6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Development and management services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14,087</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16,004</w:t>
            </w:r>
          </w:p>
        </w:tc>
      </w:tr>
      <w:tr>
        <w:trPr>
          <w:trHeight w:val="244"/>
        </w:trPr>
        <w:tc>
          <w:tcPr>
            <w:tcW w:w="630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Company’s share of Net Operating Income</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432,299</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397,888</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856,665</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850,638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ind w:right="40" w:firstLine="439"/>
        <w:spacing w:after="0" w:line="247" w:lineRule="auto"/>
        <w:rPr>
          <w:sz w:val="20"/>
          <w:szCs w:val="20"/>
          <w:color w:val="auto"/>
        </w:rPr>
      </w:pPr>
      <w:r>
        <w:rPr>
          <w:rFonts w:ascii="Arial" w:cs="Arial" w:eastAsia="Arial" w:hAnsi="Arial"/>
          <w:sz w:val="18"/>
          <w:szCs w:val="18"/>
          <w:color w:val="auto"/>
        </w:rPr>
        <w:t>Net operating income (“NOI”) is a non-GAAP financial measure equal to net income attributable to Boston Properties, Inc. common shareholders and net income attributable to Boston Properties Limited Partnership common unitholders, as applicable, the most directly comparable GAAP financial measures, plus (1) preferred stock/unit redemption charge, preferred dividends/distributions, net income attributable to noncontrolling interests, interest expense, losses from early extinguishment of debt, depreciation and amortization expense, transaction costs, payroll and related costs from management services contracts and corporate general and administrative expense less (2) gains (losses) from investments in securities, interest and other income (loss), gains on sales of real estate, income (loss) from unconsolidated joint ventures, direct reimbursements of payroll and related costs from management services contracts and development and management services revenue. The Company believes NOI is useful to investors as a performance measure and believes it provides useful information to investors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common shareholders and net income attributable to Boston Properties Limited Partnership common unitholders.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the Company may not be comparable to NOI reported by other REITs or real estate companies that define NOI differently.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firstLine="439"/>
        <w:spacing w:after="0" w:line="247" w:lineRule="auto"/>
        <w:rPr>
          <w:sz w:val="20"/>
          <w:szCs w:val="20"/>
          <w:color w:val="auto"/>
        </w:rPr>
      </w:pPr>
      <w:r>
        <w:rPr>
          <w:rFonts w:ascii="Arial" w:cs="Arial" w:eastAsia="Arial" w:hAnsi="Arial"/>
          <w:sz w:val="18"/>
          <w:szCs w:val="18"/>
          <w:color w:val="auto"/>
        </w:rPr>
        <w:t>The Company’s internal reporting utilizes its share of NOI, which includes its share of NOI from consolidated and unconsolidated joint ventures, which is a non-GAAP financial measure that is calculated as the consolidated amount, plus the Company’s share of the amount from the Company’s unconsolidated joint ventures (calculated based upon the Company’s economic percentage ownership interest and, in some cases, after priority allocations), minus the Company’s partners’ share of the amount from the Company’s consolidated joint ventures (calculated based upon the partners’ economic percentage ownership interests and, in some cases, after priority allocations, income allocation to private REIT shareholders and their share of fees due to the Company). The Company’s share of NOI from unconsolidated joint ventures does not include its share of gains on sales of real estate from unconsolidated joint ventures, both of which are included within Income From Unconsolidated Joint Ventures in the Company’s Consolidated Statements of Operations. Management utilizes its share of NOI in assessing its performance as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the presentations of the Company’s share of NOI should not be considered a substitute for, and should only be considered together with and as a supplement to, the Company’s financial information presented in accordance with GAAP.</w:t>
      </w:r>
    </w:p>
    <w:p>
      <w:pPr>
        <w:spacing w:after="0" w:line="156"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Asset information by segment is not reported because the Company does not use this measure to assess performance. Therefore, depreciation and amortization expense is not allocated among segments. Preferred stock/unit redemption charge, preferred dividends/distributions, interest expense, losses from early extinguishment of debt, depreciation and amortization expense, transaction costs, payroll and related costs from management services contracts, corporate general and administrative expense, gains (losses) from investments in securities, interest and other income (loss), gains on sales of real estate, income (loss) from unconsolidated joint ventures, direct reimbursements of payroll and related costs from management services contracts and development and management services revenue are not included in NOI and are provided as reconciling items to the Company’s reconciliations of its share of NOI to net income attributable to common shareholders/unitholders.</w:t>
      </w:r>
    </w:p>
    <w:p>
      <w:pPr>
        <w:spacing w:after="0" w:line="157" w:lineRule="exact"/>
        <w:rPr>
          <w:sz w:val="20"/>
          <w:szCs w:val="20"/>
          <w:color w:val="auto"/>
        </w:rPr>
      </w:pPr>
    </w:p>
    <w:p>
      <w:pPr>
        <w:jc w:val="both"/>
        <w:ind w:right="200" w:firstLine="439"/>
        <w:spacing w:after="0" w:line="249" w:lineRule="auto"/>
        <w:rPr>
          <w:sz w:val="20"/>
          <w:szCs w:val="20"/>
          <w:color w:val="auto"/>
        </w:rPr>
      </w:pPr>
      <w:r>
        <w:rPr>
          <w:rFonts w:ascii="Arial" w:cs="Arial" w:eastAsia="Arial" w:hAnsi="Arial"/>
          <w:sz w:val="18"/>
          <w:szCs w:val="18"/>
          <w:color w:val="auto"/>
        </w:rPr>
        <w:t>The Company’s segments are based on the Company’s method of internal reporting which classifies its operations by geographic area. The Company’s segments by geographic area are Boston, Los Angeles, New York, San Francisco and Washington, DC. The Company also presents information for each segment by property type, including Office, Residential and Hotel.</w:t>
      </w:r>
    </w:p>
    <w:p>
      <w:pPr>
        <w:spacing w:after="0" w:line="154" w:lineRule="exact"/>
        <w:rPr>
          <w:sz w:val="20"/>
          <w:szCs w:val="20"/>
          <w:color w:val="auto"/>
        </w:rPr>
      </w:pPr>
    </w:p>
    <w:p>
      <w:pPr>
        <w:ind w:right="40" w:firstLine="439"/>
        <w:spacing w:after="0" w:line="247" w:lineRule="auto"/>
        <w:rPr>
          <w:sz w:val="20"/>
          <w:szCs w:val="20"/>
          <w:color w:val="auto"/>
        </w:rPr>
      </w:pPr>
      <w:r>
        <w:rPr>
          <w:rFonts w:ascii="Arial" w:cs="Arial" w:eastAsia="Arial" w:hAnsi="Arial"/>
          <w:sz w:val="18"/>
          <w:szCs w:val="18"/>
          <w:color w:val="auto"/>
        </w:rPr>
        <w:t>Included within the Office property type are commercial office and retail leases, as well as parking revenue. Upon the adoption of ASC 842, any write-off for bad debt, including accrued rent, will be recorded as a reduction to lease revenue. As a result of COVID-19, during the three and six months ended June 30, 2021, the Company wrote off approximately $0.6 million and $1.2 million, respectively, related to accrued rent, net balances and approximately $0.3 million and $0.1 million, respectively, related to accounts receivable, net balances. During the three and six months ended June 30, 2020, the Company wrote off approximately $35.9 million and $37.4 million, respectively, related to accrued rent, net balances and approximately $18.0 million and $18.9 million related to accounts receivable, net balances. The write-offs were for tenants, primarily in the retail sector, that either terminated their leases or for which the Company considered their accrued rent and/or accounts receivable balances were no longer probable of collection.</w:t>
      </w:r>
    </w:p>
    <w:p>
      <w:pPr>
        <w:spacing w:after="0" w:line="157" w:lineRule="exact"/>
        <w:rPr>
          <w:sz w:val="20"/>
          <w:szCs w:val="20"/>
          <w:color w:val="auto"/>
        </w:rPr>
      </w:pPr>
    </w:p>
    <w:p>
      <w:pPr>
        <w:jc w:val="both"/>
        <w:ind w:right="160" w:firstLine="439"/>
        <w:spacing w:after="0" w:line="249" w:lineRule="auto"/>
        <w:rPr>
          <w:sz w:val="20"/>
          <w:szCs w:val="20"/>
          <w:color w:val="auto"/>
        </w:rPr>
      </w:pPr>
      <w:r>
        <w:rPr>
          <w:rFonts w:ascii="Arial" w:cs="Arial" w:eastAsia="Arial" w:hAnsi="Arial"/>
          <w:sz w:val="18"/>
          <w:szCs w:val="18"/>
          <w:color w:val="auto"/>
        </w:rPr>
        <w:t>In addition, parking and other revenue for the three months ended June 30, 2021 increased by approximately $4.3 million compared to the three months ended June 30, 2020. Parking and other revenue for the six months ended June 30, 2021 decreased by approximately $3.2 million compared to 2020.</w:t>
      </w:r>
    </w:p>
    <w:p>
      <w:pPr>
        <w:spacing w:after="0" w:line="154" w:lineRule="exact"/>
        <w:rPr>
          <w:sz w:val="20"/>
          <w:szCs w:val="20"/>
          <w:color w:val="auto"/>
        </w:rPr>
      </w:pPr>
    </w:p>
    <w:p>
      <w:pPr>
        <w:jc w:val="both"/>
        <w:ind w:right="180" w:firstLine="439"/>
        <w:spacing w:after="0" w:line="248" w:lineRule="auto"/>
        <w:rPr>
          <w:sz w:val="20"/>
          <w:szCs w:val="20"/>
          <w:color w:val="auto"/>
        </w:rPr>
      </w:pPr>
      <w:r>
        <w:rPr>
          <w:rFonts w:ascii="Arial" w:cs="Arial" w:eastAsia="Arial" w:hAnsi="Arial"/>
          <w:sz w:val="18"/>
          <w:szCs w:val="18"/>
          <w:color w:val="auto"/>
        </w:rPr>
        <w:t>The Boston Marriott Cambridge closed in March 2020 due to COVID-19. The hotel re-opened on October 2, 2020 but has operated at a reduced occupancy due to the continued impact of COVID-19 on business and leisure travel. The closing of the hotel for more than two fiscal quarters, and the weak demand and low occupancy since its re-opening, have had, and are expected to continue to have, a material adverse effect on the hotel’s operations and thus the results of the Company’s Hotel property type.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by geographic area and property type (dollars in thousands):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June 30,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Boston</w:t>
            </w:r>
          </w:p>
        </w:tc>
        <w:tc>
          <w:tcPr>
            <w:tcW w:w="16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 Angeles</w:t>
            </w: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New York</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San Francisco</w:t>
            </w:r>
          </w:p>
        </w:tc>
        <w:tc>
          <w:tcPr>
            <w:tcW w:w="1520" w:type="dxa"/>
            <w:vAlign w:val="bottom"/>
            <w:gridSpan w:val="3"/>
          </w:tcPr>
          <w:p>
            <w:pPr>
              <w:ind w:left="80"/>
              <w:spacing w:after="0"/>
              <w:rPr>
                <w:sz w:val="20"/>
                <w:szCs w:val="20"/>
                <w:color w:val="auto"/>
              </w:rPr>
            </w:pPr>
            <w:r>
              <w:rPr>
                <w:rFonts w:ascii="Arial" w:cs="Arial" w:eastAsia="Arial" w:hAnsi="Arial"/>
                <w:sz w:val="16"/>
                <w:szCs w:val="16"/>
                <w:b w:val="1"/>
                <w:bCs w:val="1"/>
                <w:color w:val="auto"/>
              </w:rPr>
              <w:t>Washington, DC</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 (1)</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340"/>
              <w:spacing w:after="0"/>
              <w:rPr>
                <w:sz w:val="20"/>
                <w:szCs w:val="20"/>
                <w:color w:val="auto"/>
              </w:rPr>
            </w:pPr>
            <w:r>
              <w:rPr>
                <w:rFonts w:ascii="Arial" w:cs="Arial" w:eastAsia="Arial" w:hAnsi="Arial"/>
                <w:sz w:val="18"/>
                <w:szCs w:val="18"/>
                <w:color w:val="auto"/>
              </w:rPr>
              <w:t>Office</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229,571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252,182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126,181</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84,610</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692,544</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9,763</w:t>
            </w:r>
          </w:p>
        </w:tc>
        <w:tc>
          <w:tcPr>
            <w:tcW w:w="0" w:type="dxa"/>
            <w:vAlign w:val="bottom"/>
          </w:tcPr>
          <w:p>
            <w:pPr>
              <w:spacing w:after="0"/>
              <w:rPr>
                <w:sz w:val="1"/>
                <w:szCs w:val="1"/>
                <w:color w:val="auto"/>
              </w:rPr>
            </w:pPr>
          </w:p>
        </w:tc>
      </w:tr>
      <w:tr>
        <w:trPr>
          <w:trHeight w:val="225"/>
        </w:trPr>
        <w:tc>
          <w:tcPr>
            <w:tcW w:w="2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Hotel</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660"/>
              <w:spacing w:after="0" w:line="20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234,263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252,182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126,871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90,552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703,868</w:t>
            </w:r>
          </w:p>
        </w:tc>
        <w:tc>
          <w:tcPr>
            <w:tcW w:w="0" w:type="dxa"/>
            <w:vAlign w:val="bottom"/>
          </w:tcPr>
          <w:p>
            <w:pPr>
              <w:spacing w:after="0"/>
              <w:rPr>
                <w:sz w:val="1"/>
                <w:szCs w:val="1"/>
                <w:color w:val="auto"/>
              </w:rPr>
            </w:pPr>
          </w:p>
        </w:tc>
      </w:tr>
      <w:tr>
        <w:trPr>
          <w:trHeight w:val="219"/>
        </w:trPr>
        <w:tc>
          <w:tcPr>
            <w:tcW w:w="2500" w:type="dxa"/>
            <w:vAlign w:val="bottom"/>
          </w:tcPr>
          <w:p>
            <w:pPr>
              <w:ind w:left="20"/>
              <w:spacing w:after="0" w:line="205" w:lineRule="exact"/>
              <w:rPr>
                <w:sz w:val="20"/>
                <w:szCs w:val="20"/>
                <w:color w:val="auto"/>
              </w:rPr>
            </w:pPr>
            <w:r>
              <w:rPr>
                <w:rFonts w:ascii="Arial" w:cs="Arial" w:eastAsia="Arial" w:hAnsi="Arial"/>
                <w:sz w:val="18"/>
                <w:szCs w:val="18"/>
                <w:color w:val="auto"/>
              </w:rPr>
              <w:t>% of Grand Totals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Expenses: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340"/>
              <w:spacing w:after="0"/>
              <w:rPr>
                <w:sz w:val="20"/>
                <w:szCs w:val="20"/>
                <w:color w:val="auto"/>
              </w:rPr>
            </w:pPr>
            <w:r>
              <w:rPr>
                <w:rFonts w:ascii="Arial" w:cs="Arial" w:eastAsia="Arial" w:hAnsi="Arial"/>
                <w:sz w:val="18"/>
                <w:szCs w:val="18"/>
                <w:color w:val="auto"/>
              </w:rPr>
              <w:t>Office</w:t>
            </w:r>
          </w:p>
        </w:tc>
        <w:tc>
          <w:tcPr>
            <w:tcW w:w="26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78,165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92,662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40,954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30,994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242,775</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25"/>
        </w:trPr>
        <w:tc>
          <w:tcPr>
            <w:tcW w:w="2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Hotel</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660"/>
              <w:spacing w:after="0" w:line="20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81,596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92,662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42,498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33,943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250,699</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 of Grand Totals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Net operating income</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152,667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159,520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84,373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56,609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453,169</w:t>
            </w:r>
          </w:p>
        </w:tc>
        <w:tc>
          <w:tcPr>
            <w:tcW w:w="0" w:type="dxa"/>
            <w:vAlign w:val="bottom"/>
          </w:tcPr>
          <w:p>
            <w:pPr>
              <w:spacing w:after="0"/>
              <w:rPr>
                <w:sz w:val="1"/>
                <w:szCs w:val="1"/>
                <w:color w:val="auto"/>
              </w:rPr>
            </w:pPr>
          </w:p>
        </w:tc>
      </w:tr>
      <w:tr>
        <w:trPr>
          <w:trHeight w:val="219"/>
        </w:trPr>
        <w:tc>
          <w:tcPr>
            <w:tcW w:w="2500" w:type="dxa"/>
            <w:vAlign w:val="bottom"/>
          </w:tcPr>
          <w:p>
            <w:pPr>
              <w:ind w:left="20"/>
              <w:spacing w:after="0" w:line="205" w:lineRule="exact"/>
              <w:rPr>
                <w:sz w:val="20"/>
                <w:szCs w:val="20"/>
                <w:color w:val="auto"/>
              </w:rPr>
            </w:pPr>
            <w:r>
              <w:rPr>
                <w:rFonts w:ascii="Arial" w:cs="Arial" w:eastAsia="Arial" w:hAnsi="Arial"/>
                <w:sz w:val="18"/>
                <w:szCs w:val="18"/>
                <w:color w:val="auto"/>
              </w:rPr>
              <w:t>% of Grand Totals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186"/>
        </w:trPr>
        <w:tc>
          <w:tcPr>
            <w:tcW w:w="250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Less: Net operating income</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500"/>
              <w:spacing w:after="0" w:line="173" w:lineRule="exact"/>
              <w:rPr>
                <w:sz w:val="20"/>
                <w:szCs w:val="20"/>
                <w:color w:val="auto"/>
              </w:rPr>
            </w:pPr>
            <w:r>
              <w:rPr>
                <w:rFonts w:ascii="Arial" w:cs="Arial" w:eastAsia="Arial" w:hAnsi="Arial"/>
                <w:sz w:val="18"/>
                <w:szCs w:val="18"/>
                <w:color w:val="auto"/>
              </w:rPr>
              <w:t>attributable to</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500"/>
              <w:spacing w:after="0" w:line="173" w:lineRule="exact"/>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 property partnerships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(10,576)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(35,711)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(46,287)</w:t>
            </w:r>
          </w:p>
        </w:tc>
        <w:tc>
          <w:tcPr>
            <w:tcW w:w="0" w:type="dxa"/>
            <w:vAlign w:val="bottom"/>
          </w:tcPr>
          <w:p>
            <w:pPr>
              <w:spacing w:after="0"/>
              <w:rPr>
                <w:sz w:val="1"/>
                <w:szCs w:val="1"/>
                <w:color w:val="auto"/>
              </w:rPr>
            </w:pPr>
          </w:p>
        </w:tc>
      </w:tr>
      <w:tr>
        <w:trPr>
          <w:trHeight w:val="185"/>
        </w:trPr>
        <w:tc>
          <w:tcPr>
            <w:tcW w:w="2500" w:type="dxa"/>
            <w:vAlign w:val="bottom"/>
          </w:tcPr>
          <w:p>
            <w:pPr>
              <w:ind w:left="20"/>
              <w:spacing w:after="0" w:line="185" w:lineRule="exact"/>
              <w:rPr>
                <w:sz w:val="20"/>
                <w:szCs w:val="20"/>
                <w:color w:val="auto"/>
              </w:rPr>
            </w:pPr>
            <w:r>
              <w:rPr>
                <w:rFonts w:ascii="Arial" w:cs="Arial" w:eastAsia="Arial" w:hAnsi="Arial"/>
                <w:sz w:val="18"/>
                <w:szCs w:val="18"/>
                <w:color w:val="auto"/>
              </w:rPr>
              <w:t>Add: Company’s share of net</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500"/>
              <w:spacing w:after="0" w:line="173" w:lineRule="exact"/>
              <w:rPr>
                <w:sz w:val="20"/>
                <w:szCs w:val="20"/>
                <w:color w:val="auto"/>
              </w:rPr>
            </w:pPr>
            <w:r>
              <w:rPr>
                <w:rFonts w:ascii="Arial" w:cs="Arial" w:eastAsia="Arial" w:hAnsi="Arial"/>
                <w:sz w:val="18"/>
                <w:szCs w:val="18"/>
                <w:color w:val="auto"/>
              </w:rPr>
              <w:t>operating income from</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500"/>
              <w:spacing w:after="0" w:line="173" w:lineRule="exact"/>
              <w:rPr>
                <w:sz w:val="20"/>
                <w:szCs w:val="20"/>
                <w:color w:val="auto"/>
              </w:rPr>
            </w:pPr>
            <w:r>
              <w:rPr>
                <w:rFonts w:ascii="Arial" w:cs="Arial" w:eastAsia="Arial" w:hAnsi="Arial"/>
                <w:sz w:val="18"/>
                <w:szCs w:val="18"/>
                <w:color w:val="auto"/>
              </w:rPr>
              <w:t>unconsolidated joint</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ventures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12,265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5,776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25,417</w:t>
            </w:r>
          </w:p>
        </w:tc>
        <w:tc>
          <w:tcPr>
            <w:tcW w:w="0" w:type="dxa"/>
            <w:vAlign w:val="bottom"/>
          </w:tcPr>
          <w:p>
            <w:pPr>
              <w:spacing w:after="0"/>
              <w:rPr>
                <w:sz w:val="1"/>
                <w:szCs w:val="1"/>
                <w:color w:val="auto"/>
              </w:rPr>
            </w:pPr>
          </w:p>
        </w:tc>
      </w:tr>
      <w:tr>
        <w:trPr>
          <w:trHeight w:val="166"/>
        </w:trPr>
        <w:tc>
          <w:tcPr>
            <w:tcW w:w="250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color w:val="auto"/>
              </w:rPr>
              <w:t>Company’s share of net</w:t>
            </w:r>
          </w:p>
        </w:tc>
        <w:tc>
          <w:tcPr>
            <w:tcW w:w="2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145,715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12,265</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123,981</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87,953</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62,385</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432,299</w:t>
            </w:r>
          </w:p>
        </w:tc>
        <w:tc>
          <w:tcPr>
            <w:tcW w:w="0" w:type="dxa"/>
            <w:vAlign w:val="bottom"/>
          </w:tcPr>
          <w:p>
            <w:pPr>
              <w:spacing w:after="0"/>
              <w:rPr>
                <w:sz w:val="1"/>
                <w:szCs w:val="1"/>
                <w:color w:val="auto"/>
              </w:rPr>
            </w:pPr>
          </w:p>
        </w:tc>
      </w:tr>
      <w:tr>
        <w:trPr>
          <w:trHeight w:val="207"/>
        </w:trPr>
        <w:tc>
          <w:tcPr>
            <w:tcW w:w="2500" w:type="dxa"/>
            <w:vAlign w:val="bottom"/>
            <w:tcBorders>
              <w:bottom w:val="single" w:sz="8" w:color="CCEEFF"/>
            </w:tcBorders>
            <w:shd w:val="clear" w:color="auto" w:fill="CCEEFF"/>
          </w:tcPr>
          <w:p>
            <w:pPr>
              <w:ind w:left="260"/>
              <w:spacing w:after="0" w:line="187" w:lineRule="exact"/>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of Grand Totals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Arial" w:cs="Arial" w:eastAsia="Arial" w:hAnsi="Arial"/>
                <w:sz w:val="18"/>
                <w:szCs w:val="18"/>
                <w:color w:val="auto"/>
              </w:rPr>
              <w:t>33.70 %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2.84 %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Arial" w:cs="Arial" w:eastAsia="Arial" w:hAnsi="Arial"/>
                <w:sz w:val="18"/>
                <w:szCs w:val="18"/>
                <w:color w:val="auto"/>
              </w:rPr>
              <w:t>28.68 %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198" w:lineRule="exact"/>
              <w:rPr>
                <w:sz w:val="20"/>
                <w:szCs w:val="20"/>
                <w:color w:val="auto"/>
              </w:rPr>
            </w:pPr>
            <w:r>
              <w:rPr>
                <w:rFonts w:ascii="Arial" w:cs="Arial" w:eastAsia="Arial" w:hAnsi="Arial"/>
                <w:sz w:val="18"/>
                <w:szCs w:val="18"/>
                <w:color w:val="auto"/>
              </w:rPr>
              <w:t>20.35 %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14.43 %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jc w:val="both"/>
        <w:ind w:left="640" w:right="100" w:hanging="315"/>
        <w:spacing w:after="0" w:line="248" w:lineRule="auto"/>
        <w:tabs>
          <w:tab w:leader="none" w:pos="6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June 30,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Boston</w:t>
            </w:r>
          </w:p>
        </w:tc>
        <w:tc>
          <w:tcPr>
            <w:tcW w:w="16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 Angeles</w:t>
            </w: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New York</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San Francisco</w:t>
            </w:r>
          </w:p>
        </w:tc>
        <w:tc>
          <w:tcPr>
            <w:tcW w:w="1520" w:type="dxa"/>
            <w:vAlign w:val="bottom"/>
            <w:gridSpan w:val="3"/>
          </w:tcPr>
          <w:p>
            <w:pPr>
              <w:ind w:left="80"/>
              <w:spacing w:after="0"/>
              <w:rPr>
                <w:sz w:val="20"/>
                <w:szCs w:val="20"/>
                <w:color w:val="auto"/>
              </w:rPr>
            </w:pPr>
            <w:r>
              <w:rPr>
                <w:rFonts w:ascii="Arial" w:cs="Arial" w:eastAsia="Arial" w:hAnsi="Arial"/>
                <w:sz w:val="16"/>
                <w:szCs w:val="16"/>
                <w:b w:val="1"/>
                <w:bCs w:val="1"/>
                <w:color w:val="auto"/>
              </w:rPr>
              <w:t>Washington, DC</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 (1)</w:t>
            </w: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340"/>
              <w:spacing w:after="0"/>
              <w:rPr>
                <w:sz w:val="20"/>
                <w:szCs w:val="20"/>
                <w:color w:val="auto"/>
              </w:rPr>
            </w:pPr>
            <w:r>
              <w:rPr>
                <w:rFonts w:ascii="Arial" w:cs="Arial" w:eastAsia="Arial" w:hAnsi="Arial"/>
                <w:sz w:val="18"/>
                <w:szCs w:val="18"/>
                <w:color w:val="auto"/>
              </w:rPr>
              <w:t>Office</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218,351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204,242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128,233</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83,837</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634,663</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25"/>
        </w:trPr>
        <w:tc>
          <w:tcPr>
            <w:tcW w:w="2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Hotel</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660"/>
              <w:spacing w:after="0" w:line="20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221,851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204,242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128,233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89,838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644,164</w:t>
            </w:r>
          </w:p>
        </w:tc>
        <w:tc>
          <w:tcPr>
            <w:tcW w:w="0" w:type="dxa"/>
            <w:vAlign w:val="bottom"/>
          </w:tcPr>
          <w:p>
            <w:pPr>
              <w:spacing w:after="0"/>
              <w:rPr>
                <w:sz w:val="1"/>
                <w:szCs w:val="1"/>
                <w:color w:val="auto"/>
              </w:rPr>
            </w:pPr>
          </w:p>
        </w:tc>
      </w:tr>
      <w:tr>
        <w:trPr>
          <w:trHeight w:val="219"/>
        </w:trPr>
        <w:tc>
          <w:tcPr>
            <w:tcW w:w="2500" w:type="dxa"/>
            <w:vAlign w:val="bottom"/>
          </w:tcPr>
          <w:p>
            <w:pPr>
              <w:ind w:left="20"/>
              <w:spacing w:after="0" w:line="205" w:lineRule="exact"/>
              <w:rPr>
                <w:sz w:val="20"/>
                <w:szCs w:val="20"/>
                <w:color w:val="auto"/>
              </w:rPr>
            </w:pPr>
            <w:r>
              <w:rPr>
                <w:rFonts w:ascii="Arial" w:cs="Arial" w:eastAsia="Arial" w:hAnsi="Arial"/>
                <w:sz w:val="18"/>
                <w:szCs w:val="18"/>
                <w:color w:val="auto"/>
              </w:rPr>
              <w:t>% of Grand Totals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13.95 %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340"/>
              <w:spacing w:after="0"/>
              <w:rPr>
                <w:sz w:val="20"/>
                <w:szCs w:val="20"/>
                <w:color w:val="auto"/>
              </w:rPr>
            </w:pPr>
            <w:r>
              <w:rPr>
                <w:rFonts w:ascii="Arial" w:cs="Arial" w:eastAsia="Arial" w:hAnsi="Arial"/>
                <w:sz w:val="18"/>
                <w:szCs w:val="18"/>
                <w:color w:val="auto"/>
              </w:rPr>
              <w:t>Office</w:t>
            </w:r>
          </w:p>
        </w:tc>
        <w:tc>
          <w:tcPr>
            <w:tcW w:w="2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75,694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88,367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39,081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32,680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235,822</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25"/>
        </w:trPr>
        <w:tc>
          <w:tcPr>
            <w:tcW w:w="2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Hotel</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660"/>
              <w:spacing w:after="0" w:line="20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78,902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88,367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39,081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35,410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241,760</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 of Grand Totals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Net operating income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142,949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115,875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89,152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54,428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402,404</w:t>
            </w:r>
          </w:p>
        </w:tc>
        <w:tc>
          <w:tcPr>
            <w:tcW w:w="0" w:type="dxa"/>
            <w:vAlign w:val="bottom"/>
          </w:tcPr>
          <w:p>
            <w:pPr>
              <w:spacing w:after="0"/>
              <w:rPr>
                <w:sz w:val="1"/>
                <w:szCs w:val="1"/>
                <w:color w:val="auto"/>
              </w:rPr>
            </w:pPr>
          </w:p>
        </w:tc>
      </w:tr>
      <w:tr>
        <w:trPr>
          <w:trHeight w:val="219"/>
        </w:trPr>
        <w:tc>
          <w:tcPr>
            <w:tcW w:w="2500" w:type="dxa"/>
            <w:vAlign w:val="bottom"/>
          </w:tcPr>
          <w:p>
            <w:pPr>
              <w:ind w:left="20"/>
              <w:spacing w:after="0" w:line="205" w:lineRule="exact"/>
              <w:rPr>
                <w:sz w:val="20"/>
                <w:szCs w:val="20"/>
                <w:color w:val="auto"/>
              </w:rPr>
            </w:pPr>
            <w:r>
              <w:rPr>
                <w:rFonts w:ascii="Arial" w:cs="Arial" w:eastAsia="Arial" w:hAnsi="Arial"/>
                <w:sz w:val="18"/>
                <w:szCs w:val="18"/>
                <w:color w:val="auto"/>
              </w:rPr>
              <w:t>% of Grand Totals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13.53 %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186"/>
        </w:trPr>
        <w:tc>
          <w:tcPr>
            <w:tcW w:w="250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Less: Net operating income</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500"/>
              <w:spacing w:after="0" w:line="173" w:lineRule="exact"/>
              <w:rPr>
                <w:sz w:val="20"/>
                <w:szCs w:val="20"/>
                <w:color w:val="auto"/>
              </w:rPr>
            </w:pPr>
            <w:r>
              <w:rPr>
                <w:rFonts w:ascii="Arial" w:cs="Arial" w:eastAsia="Arial" w:hAnsi="Arial"/>
                <w:sz w:val="18"/>
                <w:szCs w:val="18"/>
                <w:color w:val="auto"/>
              </w:rPr>
              <w:t>attributable to</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500"/>
              <w:spacing w:after="0" w:line="173" w:lineRule="exact"/>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 property partnerships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(10,576)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(21,851)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(32,427)</w:t>
            </w:r>
          </w:p>
        </w:tc>
        <w:tc>
          <w:tcPr>
            <w:tcW w:w="0" w:type="dxa"/>
            <w:vAlign w:val="bottom"/>
          </w:tcPr>
          <w:p>
            <w:pPr>
              <w:spacing w:after="0"/>
              <w:rPr>
                <w:sz w:val="1"/>
                <w:szCs w:val="1"/>
                <w:color w:val="auto"/>
              </w:rPr>
            </w:pPr>
          </w:p>
        </w:tc>
      </w:tr>
      <w:tr>
        <w:trPr>
          <w:trHeight w:val="185"/>
        </w:trPr>
        <w:tc>
          <w:tcPr>
            <w:tcW w:w="2500" w:type="dxa"/>
            <w:vAlign w:val="bottom"/>
          </w:tcPr>
          <w:p>
            <w:pPr>
              <w:ind w:left="20"/>
              <w:spacing w:after="0" w:line="185" w:lineRule="exact"/>
              <w:rPr>
                <w:sz w:val="20"/>
                <w:szCs w:val="20"/>
                <w:color w:val="auto"/>
              </w:rPr>
            </w:pPr>
            <w:r>
              <w:rPr>
                <w:rFonts w:ascii="Arial" w:cs="Arial" w:eastAsia="Arial" w:hAnsi="Arial"/>
                <w:sz w:val="18"/>
                <w:szCs w:val="18"/>
                <w:color w:val="auto"/>
              </w:rPr>
              <w:t>Add: Company’s share of net</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500"/>
              <w:spacing w:after="0" w:line="173" w:lineRule="exact"/>
              <w:rPr>
                <w:sz w:val="20"/>
                <w:szCs w:val="20"/>
                <w:color w:val="auto"/>
              </w:rPr>
            </w:pPr>
            <w:r>
              <w:rPr>
                <w:rFonts w:ascii="Arial" w:cs="Arial" w:eastAsia="Arial" w:hAnsi="Arial"/>
                <w:sz w:val="18"/>
                <w:szCs w:val="18"/>
                <w:color w:val="auto"/>
              </w:rPr>
              <w:t>operating income from</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500"/>
              <w:spacing w:after="0" w:line="173" w:lineRule="exact"/>
              <w:rPr>
                <w:sz w:val="20"/>
                <w:szCs w:val="20"/>
                <w:color w:val="auto"/>
              </w:rPr>
            </w:pPr>
            <w:r>
              <w:rPr>
                <w:rFonts w:ascii="Arial" w:cs="Arial" w:eastAsia="Arial" w:hAnsi="Arial"/>
                <w:sz w:val="18"/>
                <w:szCs w:val="18"/>
                <w:color w:val="auto"/>
              </w:rPr>
              <w:t>unconsolidated joint</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ventures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2,627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15,026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4,127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5,316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27,911</w:t>
            </w:r>
          </w:p>
        </w:tc>
        <w:tc>
          <w:tcPr>
            <w:tcW w:w="0" w:type="dxa"/>
            <w:vAlign w:val="bottom"/>
          </w:tcPr>
          <w:p>
            <w:pPr>
              <w:spacing w:after="0"/>
              <w:rPr>
                <w:sz w:val="1"/>
                <w:szCs w:val="1"/>
                <w:color w:val="auto"/>
              </w:rPr>
            </w:pPr>
          </w:p>
        </w:tc>
      </w:tr>
      <w:tr>
        <w:trPr>
          <w:trHeight w:val="166"/>
        </w:trPr>
        <w:tc>
          <w:tcPr>
            <w:tcW w:w="250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color w:val="auto"/>
              </w:rPr>
              <w:t>Company’s share of net</w:t>
            </w:r>
          </w:p>
        </w:tc>
        <w:tc>
          <w:tcPr>
            <w:tcW w:w="2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15,026</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94,839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93,279</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59,744</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397,888</w:t>
            </w:r>
          </w:p>
        </w:tc>
        <w:tc>
          <w:tcPr>
            <w:tcW w:w="0" w:type="dxa"/>
            <w:vAlign w:val="bottom"/>
          </w:tcPr>
          <w:p>
            <w:pPr>
              <w:spacing w:after="0"/>
              <w:rPr>
                <w:sz w:val="1"/>
                <w:szCs w:val="1"/>
                <w:color w:val="auto"/>
              </w:rPr>
            </w:pPr>
          </w:p>
        </w:tc>
      </w:tr>
      <w:tr>
        <w:trPr>
          <w:trHeight w:val="207"/>
        </w:trPr>
        <w:tc>
          <w:tcPr>
            <w:tcW w:w="2500" w:type="dxa"/>
            <w:vAlign w:val="bottom"/>
            <w:tcBorders>
              <w:bottom w:val="single" w:sz="8" w:color="CCEEFF"/>
            </w:tcBorders>
            <w:shd w:val="clear" w:color="auto" w:fill="CCEEFF"/>
          </w:tcPr>
          <w:p>
            <w:pPr>
              <w:ind w:left="260"/>
              <w:spacing w:after="0" w:line="187" w:lineRule="exact"/>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of Grand Totals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33.92 %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3.78 %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Arial" w:cs="Arial" w:eastAsia="Arial" w:hAnsi="Arial"/>
                <w:sz w:val="18"/>
                <w:szCs w:val="18"/>
                <w:color w:val="auto"/>
              </w:rPr>
              <w:t>23.84 %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198" w:lineRule="exact"/>
              <w:rPr>
                <w:sz w:val="20"/>
                <w:szCs w:val="20"/>
                <w:color w:val="auto"/>
              </w:rPr>
            </w:pPr>
            <w:r>
              <w:rPr>
                <w:rFonts w:ascii="Arial" w:cs="Arial" w:eastAsia="Arial" w:hAnsi="Arial"/>
                <w:sz w:val="18"/>
                <w:szCs w:val="18"/>
                <w:color w:val="auto"/>
              </w:rPr>
              <w:t>23.44 %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15.02 %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jc w:val="both"/>
        <w:ind w:left="640" w:right="60" w:hanging="315"/>
        <w:spacing w:after="0" w:line="248" w:lineRule="auto"/>
        <w:tabs>
          <w:tab w:leader="none" w:pos="6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six months ended June 30,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Boston</w:t>
            </w:r>
          </w:p>
        </w:tc>
        <w:tc>
          <w:tcPr>
            <w:tcW w:w="16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 Angeles</w:t>
            </w: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New York</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San Francisco</w:t>
            </w: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rPr>
              <w:t>Washington, DC</w:t>
            </w:r>
          </w:p>
        </w:tc>
        <w:tc>
          <w:tcPr>
            <w:tcW w:w="280" w:type="dxa"/>
            <w:vAlign w:val="bottom"/>
          </w:tcPr>
          <w:p>
            <w:pPr>
              <w:spacing w:after="0"/>
              <w:rPr>
                <w:sz w:val="18"/>
                <w:szCs w:val="18"/>
                <w:color w:val="auto"/>
              </w:rPr>
            </w:pPr>
          </w:p>
        </w:tc>
        <w:tc>
          <w:tcPr>
            <w:tcW w:w="118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 (1)</w:t>
            </w: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340"/>
              <w:spacing w:after="0"/>
              <w:rPr>
                <w:sz w:val="20"/>
                <w:szCs w:val="20"/>
                <w:color w:val="auto"/>
              </w:rPr>
            </w:pPr>
            <w:r>
              <w:rPr>
                <w:rFonts w:ascii="Arial" w:cs="Arial" w:eastAsia="Arial" w:hAnsi="Arial"/>
                <w:sz w:val="18"/>
                <w:szCs w:val="18"/>
                <w:color w:val="auto"/>
              </w:rPr>
              <w:t>Office</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459,974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502,346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256,779</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167,025</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1,386,124</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11,751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18,938</w:t>
            </w:r>
          </w:p>
        </w:tc>
        <w:tc>
          <w:tcPr>
            <w:tcW w:w="0" w:type="dxa"/>
            <w:vAlign w:val="bottom"/>
          </w:tcPr>
          <w:p>
            <w:pPr>
              <w:spacing w:after="0"/>
              <w:rPr>
                <w:sz w:val="1"/>
                <w:szCs w:val="1"/>
                <w:color w:val="auto"/>
              </w:rPr>
            </w:pPr>
          </w:p>
        </w:tc>
      </w:tr>
      <w:tr>
        <w:trPr>
          <w:trHeight w:val="225"/>
        </w:trPr>
        <w:tc>
          <w:tcPr>
            <w:tcW w:w="2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Hotel</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660"/>
              <w:spacing w:after="0" w:line="20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468,343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502,346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257,790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178,776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1,407,255</w:t>
            </w:r>
          </w:p>
        </w:tc>
        <w:tc>
          <w:tcPr>
            <w:tcW w:w="0" w:type="dxa"/>
            <w:vAlign w:val="bottom"/>
          </w:tcPr>
          <w:p>
            <w:pPr>
              <w:spacing w:after="0"/>
              <w:rPr>
                <w:sz w:val="1"/>
                <w:szCs w:val="1"/>
                <w:color w:val="auto"/>
              </w:rPr>
            </w:pPr>
          </w:p>
        </w:tc>
      </w:tr>
      <w:tr>
        <w:trPr>
          <w:trHeight w:val="219"/>
        </w:trPr>
        <w:tc>
          <w:tcPr>
            <w:tcW w:w="2500" w:type="dxa"/>
            <w:vAlign w:val="bottom"/>
          </w:tcPr>
          <w:p>
            <w:pPr>
              <w:ind w:left="20"/>
              <w:spacing w:after="0" w:line="205" w:lineRule="exact"/>
              <w:rPr>
                <w:sz w:val="20"/>
                <w:szCs w:val="20"/>
                <w:color w:val="auto"/>
              </w:rPr>
            </w:pPr>
            <w:r>
              <w:rPr>
                <w:rFonts w:ascii="Arial" w:cs="Arial" w:eastAsia="Arial" w:hAnsi="Arial"/>
                <w:sz w:val="18"/>
                <w:szCs w:val="18"/>
                <w:color w:val="auto"/>
              </w:rPr>
              <w:t>% of Grand Totals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340"/>
              <w:spacing w:after="0"/>
              <w:rPr>
                <w:sz w:val="20"/>
                <w:szCs w:val="20"/>
                <w:color w:val="auto"/>
              </w:rPr>
            </w:pPr>
            <w:r>
              <w:rPr>
                <w:rFonts w:ascii="Arial" w:cs="Arial" w:eastAsia="Arial" w:hAnsi="Arial"/>
                <w:sz w:val="18"/>
                <w:szCs w:val="18"/>
                <w:color w:val="auto"/>
              </w:rPr>
              <w:t>Office</w:t>
            </w:r>
          </w:p>
        </w:tc>
        <w:tc>
          <w:tcPr>
            <w:tcW w:w="2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158,046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192,047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81,203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62,741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494,037</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12,055</w:t>
            </w:r>
          </w:p>
        </w:tc>
        <w:tc>
          <w:tcPr>
            <w:tcW w:w="0" w:type="dxa"/>
            <w:vAlign w:val="bottom"/>
          </w:tcPr>
          <w:p>
            <w:pPr>
              <w:spacing w:after="0"/>
              <w:rPr>
                <w:sz w:val="1"/>
                <w:szCs w:val="1"/>
                <w:color w:val="auto"/>
              </w:rPr>
            </w:pPr>
          </w:p>
        </w:tc>
      </w:tr>
      <w:tr>
        <w:trPr>
          <w:trHeight w:val="225"/>
        </w:trPr>
        <w:tc>
          <w:tcPr>
            <w:tcW w:w="2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Hotel</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4,047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660"/>
              <w:spacing w:after="0" w:line="20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164,983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192,047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84,433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68,676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510,139</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 of Grand Totals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Net operating income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303,360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310,299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173,357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110,100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897,116</w:t>
            </w:r>
          </w:p>
        </w:tc>
        <w:tc>
          <w:tcPr>
            <w:tcW w:w="0" w:type="dxa"/>
            <w:vAlign w:val="bottom"/>
          </w:tcPr>
          <w:p>
            <w:pPr>
              <w:spacing w:after="0"/>
              <w:rPr>
                <w:sz w:val="1"/>
                <w:szCs w:val="1"/>
                <w:color w:val="auto"/>
              </w:rPr>
            </w:pPr>
          </w:p>
        </w:tc>
      </w:tr>
      <w:tr>
        <w:trPr>
          <w:trHeight w:val="219"/>
        </w:trPr>
        <w:tc>
          <w:tcPr>
            <w:tcW w:w="2500" w:type="dxa"/>
            <w:vAlign w:val="bottom"/>
          </w:tcPr>
          <w:p>
            <w:pPr>
              <w:ind w:left="20"/>
              <w:spacing w:after="0" w:line="205" w:lineRule="exact"/>
              <w:rPr>
                <w:sz w:val="20"/>
                <w:szCs w:val="20"/>
                <w:color w:val="auto"/>
              </w:rPr>
            </w:pPr>
            <w:r>
              <w:rPr>
                <w:rFonts w:ascii="Arial" w:cs="Arial" w:eastAsia="Arial" w:hAnsi="Arial"/>
                <w:sz w:val="18"/>
                <w:szCs w:val="18"/>
                <w:color w:val="auto"/>
              </w:rPr>
              <w:t>% of Grand Totals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186"/>
        </w:trPr>
        <w:tc>
          <w:tcPr>
            <w:tcW w:w="250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Less: Net operating income</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500"/>
              <w:spacing w:after="0" w:line="173" w:lineRule="exact"/>
              <w:rPr>
                <w:sz w:val="20"/>
                <w:szCs w:val="20"/>
                <w:color w:val="auto"/>
              </w:rPr>
            </w:pPr>
            <w:r>
              <w:rPr>
                <w:rFonts w:ascii="Arial" w:cs="Arial" w:eastAsia="Arial" w:hAnsi="Arial"/>
                <w:sz w:val="18"/>
                <w:szCs w:val="18"/>
                <w:color w:val="auto"/>
              </w:rPr>
              <w:t>attributable to</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500"/>
              <w:spacing w:after="0" w:line="173" w:lineRule="exact"/>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 property partnerships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(69,863)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(90,663)</w:t>
            </w:r>
          </w:p>
        </w:tc>
        <w:tc>
          <w:tcPr>
            <w:tcW w:w="0" w:type="dxa"/>
            <w:vAlign w:val="bottom"/>
          </w:tcPr>
          <w:p>
            <w:pPr>
              <w:spacing w:after="0"/>
              <w:rPr>
                <w:sz w:val="1"/>
                <w:szCs w:val="1"/>
                <w:color w:val="auto"/>
              </w:rPr>
            </w:pPr>
          </w:p>
        </w:tc>
      </w:tr>
      <w:tr>
        <w:trPr>
          <w:trHeight w:val="185"/>
        </w:trPr>
        <w:tc>
          <w:tcPr>
            <w:tcW w:w="2500" w:type="dxa"/>
            <w:vAlign w:val="bottom"/>
          </w:tcPr>
          <w:p>
            <w:pPr>
              <w:ind w:left="20"/>
              <w:spacing w:after="0" w:line="185" w:lineRule="exact"/>
              <w:rPr>
                <w:sz w:val="20"/>
                <w:szCs w:val="20"/>
                <w:color w:val="auto"/>
              </w:rPr>
            </w:pPr>
            <w:r>
              <w:rPr>
                <w:rFonts w:ascii="Arial" w:cs="Arial" w:eastAsia="Arial" w:hAnsi="Arial"/>
                <w:sz w:val="18"/>
                <w:szCs w:val="18"/>
                <w:color w:val="auto"/>
              </w:rPr>
              <w:t>Add: Company’s share of net</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500"/>
              <w:spacing w:after="0" w:line="173" w:lineRule="exact"/>
              <w:rPr>
                <w:sz w:val="20"/>
                <w:szCs w:val="20"/>
                <w:color w:val="auto"/>
              </w:rPr>
            </w:pPr>
            <w:r>
              <w:rPr>
                <w:rFonts w:ascii="Arial" w:cs="Arial" w:eastAsia="Arial" w:hAnsi="Arial"/>
                <w:sz w:val="18"/>
                <w:szCs w:val="18"/>
                <w:color w:val="auto"/>
              </w:rPr>
              <w:t>operating income from</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500"/>
              <w:spacing w:after="0" w:line="173" w:lineRule="exact"/>
              <w:rPr>
                <w:sz w:val="20"/>
                <w:szCs w:val="20"/>
                <w:color w:val="auto"/>
              </w:rPr>
            </w:pPr>
            <w:r>
              <w:rPr>
                <w:rFonts w:ascii="Arial" w:cs="Arial" w:eastAsia="Arial" w:hAnsi="Arial"/>
                <w:sz w:val="18"/>
                <w:szCs w:val="18"/>
                <w:color w:val="auto"/>
              </w:rPr>
              <w:t>unconsolidated joint</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ventures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5,905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26,457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7,060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11,411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50,212</w:t>
            </w:r>
          </w:p>
        </w:tc>
        <w:tc>
          <w:tcPr>
            <w:tcW w:w="0" w:type="dxa"/>
            <w:vAlign w:val="bottom"/>
          </w:tcPr>
          <w:p>
            <w:pPr>
              <w:spacing w:after="0"/>
              <w:rPr>
                <w:sz w:val="1"/>
                <w:szCs w:val="1"/>
                <w:color w:val="auto"/>
              </w:rPr>
            </w:pPr>
          </w:p>
        </w:tc>
      </w:tr>
      <w:tr>
        <w:trPr>
          <w:trHeight w:val="166"/>
        </w:trPr>
        <w:tc>
          <w:tcPr>
            <w:tcW w:w="250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color w:val="auto"/>
              </w:rPr>
              <w:t>Company’s share of net</w:t>
            </w:r>
          </w:p>
        </w:tc>
        <w:tc>
          <w:tcPr>
            <w:tcW w:w="2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288,465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26,457</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239,815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180,417</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121,511</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856,665</w:t>
            </w:r>
          </w:p>
        </w:tc>
        <w:tc>
          <w:tcPr>
            <w:tcW w:w="0" w:type="dxa"/>
            <w:vAlign w:val="bottom"/>
          </w:tcPr>
          <w:p>
            <w:pPr>
              <w:spacing w:after="0"/>
              <w:rPr>
                <w:sz w:val="1"/>
                <w:szCs w:val="1"/>
                <w:color w:val="auto"/>
              </w:rPr>
            </w:pPr>
          </w:p>
        </w:tc>
      </w:tr>
      <w:tr>
        <w:trPr>
          <w:trHeight w:val="207"/>
        </w:trPr>
        <w:tc>
          <w:tcPr>
            <w:tcW w:w="2500" w:type="dxa"/>
            <w:vAlign w:val="bottom"/>
            <w:tcBorders>
              <w:bottom w:val="single" w:sz="8" w:color="CCEEFF"/>
            </w:tcBorders>
            <w:shd w:val="clear" w:color="auto" w:fill="CCEEFF"/>
          </w:tcPr>
          <w:p>
            <w:pPr>
              <w:ind w:left="260"/>
              <w:spacing w:after="0" w:line="187" w:lineRule="exact"/>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of Grand Totals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33.68 %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3.09 %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Arial" w:cs="Arial" w:eastAsia="Arial" w:hAnsi="Arial"/>
                <w:sz w:val="18"/>
                <w:szCs w:val="18"/>
                <w:color w:val="auto"/>
              </w:rPr>
              <w:t>27.99 %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198" w:lineRule="exact"/>
              <w:rPr>
                <w:sz w:val="20"/>
                <w:szCs w:val="20"/>
                <w:color w:val="auto"/>
              </w:rPr>
            </w:pPr>
            <w:r>
              <w:rPr>
                <w:rFonts w:ascii="Arial" w:cs="Arial" w:eastAsia="Arial" w:hAnsi="Arial"/>
                <w:sz w:val="18"/>
                <w:szCs w:val="18"/>
                <w:color w:val="auto"/>
              </w:rPr>
              <w:t>21.06 %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Arial" w:cs="Arial" w:eastAsia="Arial" w:hAnsi="Arial"/>
                <w:sz w:val="18"/>
                <w:szCs w:val="18"/>
                <w:color w:val="auto"/>
              </w:rPr>
              <w:t>14.18 %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jc w:val="both"/>
        <w:ind w:left="640" w:right="60" w:hanging="315"/>
        <w:spacing w:after="0" w:line="248" w:lineRule="auto"/>
        <w:tabs>
          <w:tab w:leader="none" w:pos="6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six months ended June 30,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Boston</w:t>
            </w:r>
          </w:p>
        </w:tc>
        <w:tc>
          <w:tcPr>
            <w:tcW w:w="16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 Angeles</w:t>
            </w: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New York</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San Francisco</w:t>
            </w: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rPr>
              <w:t>Washington, DC</w:t>
            </w:r>
          </w:p>
        </w:tc>
        <w:tc>
          <w:tcPr>
            <w:tcW w:w="280" w:type="dxa"/>
            <w:vAlign w:val="bottom"/>
          </w:tcPr>
          <w:p>
            <w:pPr>
              <w:spacing w:after="0"/>
              <w:rPr>
                <w:sz w:val="18"/>
                <w:szCs w:val="18"/>
                <w:color w:val="auto"/>
              </w:rPr>
            </w:pPr>
          </w:p>
        </w:tc>
        <w:tc>
          <w:tcPr>
            <w:tcW w:w="118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 (1)</w:t>
            </w: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340"/>
              <w:spacing w:after="0"/>
              <w:rPr>
                <w:sz w:val="20"/>
                <w:szCs w:val="20"/>
                <w:color w:val="auto"/>
              </w:rPr>
            </w:pPr>
            <w:r>
              <w:rPr>
                <w:rFonts w:ascii="Arial" w:cs="Arial" w:eastAsia="Arial" w:hAnsi="Arial"/>
                <w:sz w:val="18"/>
                <w:szCs w:val="18"/>
                <w:color w:val="auto"/>
              </w:rPr>
              <w:t>Office</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457,849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459,528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264,972</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176,973</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1,359,322</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19,358</w:t>
            </w:r>
          </w:p>
        </w:tc>
        <w:tc>
          <w:tcPr>
            <w:tcW w:w="0" w:type="dxa"/>
            <w:vAlign w:val="bottom"/>
          </w:tcPr>
          <w:p>
            <w:pPr>
              <w:spacing w:after="0"/>
              <w:rPr>
                <w:sz w:val="1"/>
                <w:szCs w:val="1"/>
                <w:color w:val="auto"/>
              </w:rPr>
            </w:pPr>
          </w:p>
        </w:tc>
      </w:tr>
      <w:tr>
        <w:trPr>
          <w:trHeight w:val="225"/>
        </w:trPr>
        <w:tc>
          <w:tcPr>
            <w:tcW w:w="2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Hotel</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6,924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660"/>
              <w:spacing w:after="0" w:line="20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472,242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459,528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264,972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188,862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1,385,604</w:t>
            </w:r>
          </w:p>
        </w:tc>
        <w:tc>
          <w:tcPr>
            <w:tcW w:w="0" w:type="dxa"/>
            <w:vAlign w:val="bottom"/>
          </w:tcPr>
          <w:p>
            <w:pPr>
              <w:spacing w:after="0"/>
              <w:rPr>
                <w:sz w:val="1"/>
                <w:szCs w:val="1"/>
                <w:color w:val="auto"/>
              </w:rPr>
            </w:pPr>
          </w:p>
        </w:tc>
      </w:tr>
      <w:tr>
        <w:trPr>
          <w:trHeight w:val="219"/>
        </w:trPr>
        <w:tc>
          <w:tcPr>
            <w:tcW w:w="2500" w:type="dxa"/>
            <w:vAlign w:val="bottom"/>
          </w:tcPr>
          <w:p>
            <w:pPr>
              <w:ind w:left="20"/>
              <w:spacing w:after="0" w:line="205" w:lineRule="exact"/>
              <w:rPr>
                <w:sz w:val="20"/>
                <w:szCs w:val="20"/>
                <w:color w:val="auto"/>
              </w:rPr>
            </w:pPr>
            <w:r>
              <w:rPr>
                <w:rFonts w:ascii="Arial" w:cs="Arial" w:eastAsia="Arial" w:hAnsi="Arial"/>
                <w:sz w:val="18"/>
                <w:szCs w:val="18"/>
                <w:color w:val="auto"/>
              </w:rPr>
              <w:t>% of Grand Totals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340"/>
              <w:spacing w:after="0"/>
              <w:rPr>
                <w:sz w:val="20"/>
                <w:szCs w:val="20"/>
                <w:color w:val="auto"/>
              </w:rPr>
            </w:pPr>
            <w:r>
              <w:rPr>
                <w:rFonts w:ascii="Arial" w:cs="Arial" w:eastAsia="Arial" w:hAnsi="Arial"/>
                <w:sz w:val="18"/>
                <w:szCs w:val="18"/>
                <w:color w:val="auto"/>
              </w:rPr>
              <w:t>Office</w:t>
            </w:r>
          </w:p>
        </w:tc>
        <w:tc>
          <w:tcPr>
            <w:tcW w:w="24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158,239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187,507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81,650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67,328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494,724</w:t>
            </w:r>
          </w:p>
        </w:tc>
        <w:tc>
          <w:tcPr>
            <w:tcW w:w="0" w:type="dxa"/>
            <w:vAlign w:val="bottom"/>
          </w:tcPr>
          <w:p>
            <w:pPr>
              <w:spacing w:after="0"/>
              <w:rPr>
                <w:sz w:val="1"/>
                <w:szCs w:val="1"/>
                <w:color w:val="auto"/>
              </w:rPr>
            </w:pPr>
          </w:p>
        </w:tc>
      </w:tr>
      <w:tr>
        <w:trPr>
          <w:trHeight w:val="227"/>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8,029</w:t>
            </w:r>
          </w:p>
        </w:tc>
        <w:tc>
          <w:tcPr>
            <w:tcW w:w="0" w:type="dxa"/>
            <w:vAlign w:val="bottom"/>
          </w:tcPr>
          <w:p>
            <w:pPr>
              <w:spacing w:after="0"/>
              <w:rPr>
                <w:sz w:val="1"/>
                <w:szCs w:val="1"/>
                <w:color w:val="auto"/>
              </w:rPr>
            </w:pPr>
          </w:p>
        </w:tc>
      </w:tr>
      <w:tr>
        <w:trPr>
          <w:trHeight w:val="225"/>
        </w:trPr>
        <w:tc>
          <w:tcPr>
            <w:tcW w:w="2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Hotel</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8,794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660"/>
              <w:spacing w:after="0" w:line="20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169,608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187,507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81,650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72,782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511,547</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 of Grand Totals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Net operating income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302,634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272,021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183,322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116,080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874,057</w:t>
            </w:r>
          </w:p>
        </w:tc>
        <w:tc>
          <w:tcPr>
            <w:tcW w:w="0" w:type="dxa"/>
            <w:vAlign w:val="bottom"/>
          </w:tcPr>
          <w:p>
            <w:pPr>
              <w:spacing w:after="0"/>
              <w:rPr>
                <w:sz w:val="1"/>
                <w:szCs w:val="1"/>
                <w:color w:val="auto"/>
              </w:rPr>
            </w:pPr>
          </w:p>
        </w:tc>
      </w:tr>
      <w:tr>
        <w:trPr>
          <w:trHeight w:val="219"/>
        </w:trPr>
        <w:tc>
          <w:tcPr>
            <w:tcW w:w="2500" w:type="dxa"/>
            <w:vAlign w:val="bottom"/>
          </w:tcPr>
          <w:p>
            <w:pPr>
              <w:ind w:left="20"/>
              <w:spacing w:after="0" w:line="205" w:lineRule="exact"/>
              <w:rPr>
                <w:sz w:val="20"/>
                <w:szCs w:val="20"/>
                <w:color w:val="auto"/>
              </w:rPr>
            </w:pPr>
            <w:r>
              <w:rPr>
                <w:rFonts w:ascii="Arial" w:cs="Arial" w:eastAsia="Arial" w:hAnsi="Arial"/>
                <w:sz w:val="18"/>
                <w:szCs w:val="18"/>
                <w:color w:val="auto"/>
              </w:rPr>
              <w:t>% of Grand Totals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186"/>
        </w:trPr>
        <w:tc>
          <w:tcPr>
            <w:tcW w:w="250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Less: Net operating income</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500"/>
              <w:spacing w:after="0" w:line="173" w:lineRule="exact"/>
              <w:rPr>
                <w:sz w:val="20"/>
                <w:szCs w:val="20"/>
                <w:color w:val="auto"/>
              </w:rPr>
            </w:pPr>
            <w:r>
              <w:rPr>
                <w:rFonts w:ascii="Arial" w:cs="Arial" w:eastAsia="Arial" w:hAnsi="Arial"/>
                <w:sz w:val="18"/>
                <w:szCs w:val="18"/>
                <w:color w:val="auto"/>
              </w:rPr>
              <w:t>attributable to</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500"/>
              <w:spacing w:after="0" w:line="173" w:lineRule="exact"/>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 property partnerships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(58,849)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(80,088)</w:t>
            </w:r>
          </w:p>
        </w:tc>
        <w:tc>
          <w:tcPr>
            <w:tcW w:w="0" w:type="dxa"/>
            <w:vAlign w:val="bottom"/>
          </w:tcPr>
          <w:p>
            <w:pPr>
              <w:spacing w:after="0"/>
              <w:rPr>
                <w:sz w:val="1"/>
                <w:szCs w:val="1"/>
                <w:color w:val="auto"/>
              </w:rPr>
            </w:pPr>
          </w:p>
        </w:tc>
      </w:tr>
      <w:tr>
        <w:trPr>
          <w:trHeight w:val="185"/>
        </w:trPr>
        <w:tc>
          <w:tcPr>
            <w:tcW w:w="2500" w:type="dxa"/>
            <w:vAlign w:val="bottom"/>
          </w:tcPr>
          <w:p>
            <w:pPr>
              <w:ind w:left="20"/>
              <w:spacing w:after="0" w:line="185" w:lineRule="exact"/>
              <w:rPr>
                <w:sz w:val="20"/>
                <w:szCs w:val="20"/>
                <w:color w:val="auto"/>
              </w:rPr>
            </w:pPr>
            <w:r>
              <w:rPr>
                <w:rFonts w:ascii="Arial" w:cs="Arial" w:eastAsia="Arial" w:hAnsi="Arial"/>
                <w:sz w:val="18"/>
                <w:szCs w:val="18"/>
                <w:color w:val="auto"/>
              </w:rPr>
              <w:t>Add: Company’s share of net</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500"/>
              <w:spacing w:after="0" w:line="173" w:lineRule="exact"/>
              <w:rPr>
                <w:sz w:val="20"/>
                <w:szCs w:val="20"/>
                <w:color w:val="auto"/>
              </w:rPr>
            </w:pPr>
            <w:r>
              <w:rPr>
                <w:rFonts w:ascii="Arial" w:cs="Arial" w:eastAsia="Arial" w:hAnsi="Arial"/>
                <w:sz w:val="18"/>
                <w:szCs w:val="18"/>
                <w:color w:val="auto"/>
              </w:rPr>
              <w:t>operating income from</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500"/>
              <w:spacing w:after="0" w:line="173" w:lineRule="exact"/>
              <w:rPr>
                <w:sz w:val="20"/>
                <w:szCs w:val="20"/>
                <w:color w:val="auto"/>
              </w:rPr>
            </w:pPr>
            <w:r>
              <w:rPr>
                <w:rFonts w:ascii="Arial" w:cs="Arial" w:eastAsia="Arial" w:hAnsi="Arial"/>
                <w:sz w:val="18"/>
                <w:szCs w:val="18"/>
                <w:color w:val="auto"/>
              </w:rPr>
              <w:t>unconsolidated joint</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ventures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5,726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30,956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7,286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11,130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56,669</w:t>
            </w:r>
          </w:p>
        </w:tc>
        <w:tc>
          <w:tcPr>
            <w:tcW w:w="0" w:type="dxa"/>
            <w:vAlign w:val="bottom"/>
          </w:tcPr>
          <w:p>
            <w:pPr>
              <w:spacing w:after="0"/>
              <w:rPr>
                <w:sz w:val="1"/>
                <w:szCs w:val="1"/>
                <w:color w:val="auto"/>
              </w:rPr>
            </w:pPr>
          </w:p>
        </w:tc>
      </w:tr>
      <w:tr>
        <w:trPr>
          <w:trHeight w:val="166"/>
        </w:trPr>
        <w:tc>
          <w:tcPr>
            <w:tcW w:w="250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color w:val="auto"/>
              </w:rPr>
              <w:t>Company’s share of net</w:t>
            </w:r>
          </w:p>
        </w:tc>
        <w:tc>
          <w:tcPr>
            <w:tcW w:w="2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287,121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30,956</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214,743</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190,608</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127,210</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850,638</w:t>
            </w:r>
          </w:p>
        </w:tc>
        <w:tc>
          <w:tcPr>
            <w:tcW w:w="0" w:type="dxa"/>
            <w:vAlign w:val="bottom"/>
          </w:tcPr>
          <w:p>
            <w:pPr>
              <w:spacing w:after="0"/>
              <w:rPr>
                <w:sz w:val="1"/>
                <w:szCs w:val="1"/>
                <w:color w:val="auto"/>
              </w:rPr>
            </w:pPr>
          </w:p>
        </w:tc>
      </w:tr>
      <w:tr>
        <w:trPr>
          <w:trHeight w:val="207"/>
        </w:trPr>
        <w:tc>
          <w:tcPr>
            <w:tcW w:w="2500" w:type="dxa"/>
            <w:vAlign w:val="bottom"/>
            <w:tcBorders>
              <w:bottom w:val="single" w:sz="8" w:color="CCEEFF"/>
            </w:tcBorders>
            <w:shd w:val="clear" w:color="auto" w:fill="CCEEFF"/>
          </w:tcPr>
          <w:p>
            <w:pPr>
              <w:ind w:left="260"/>
              <w:spacing w:after="0" w:line="187" w:lineRule="exact"/>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of Grand Totals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33.76 %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3.64 %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Arial" w:cs="Arial" w:eastAsia="Arial" w:hAnsi="Arial"/>
                <w:sz w:val="18"/>
                <w:szCs w:val="18"/>
                <w:color w:val="auto"/>
              </w:rPr>
              <w:t>25.24 %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198" w:lineRule="exact"/>
              <w:rPr>
                <w:sz w:val="20"/>
                <w:szCs w:val="20"/>
                <w:color w:val="auto"/>
              </w:rPr>
            </w:pPr>
            <w:r>
              <w:rPr>
                <w:rFonts w:ascii="Arial" w:cs="Arial" w:eastAsia="Arial" w:hAnsi="Arial"/>
                <w:sz w:val="18"/>
                <w:szCs w:val="18"/>
                <w:color w:val="auto"/>
              </w:rPr>
              <w:t>22.41 %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Arial" w:cs="Arial" w:eastAsia="Arial" w:hAnsi="Arial"/>
                <w:sz w:val="18"/>
                <w:szCs w:val="18"/>
                <w:color w:val="auto"/>
              </w:rPr>
              <w:t>14.95 %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jc w:val="both"/>
        <w:ind w:left="640" w:right="80" w:hanging="315"/>
        <w:spacing w:after="0" w:line="248" w:lineRule="auto"/>
        <w:tabs>
          <w:tab w:leader="none" w:pos="635" w:val="left"/>
        </w:tabs>
        <w:numPr>
          <w:ilvl w:val="1"/>
          <w:numId w:val="23"/>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rFonts w:ascii="Arial" w:cs="Arial" w:eastAsia="Arial" w:hAnsi="Arial"/>
          <w:sz w:val="16"/>
          <w:szCs w:val="16"/>
          <w:color w:val="auto"/>
        </w:rPr>
      </w:pPr>
    </w:p>
    <w:p>
      <w:pPr>
        <w:spacing w:after="0" w:line="255" w:lineRule="exact"/>
        <w:rPr>
          <w:rFonts w:ascii="Arial" w:cs="Arial" w:eastAsia="Arial" w:hAnsi="Arial"/>
          <w:sz w:val="16"/>
          <w:szCs w:val="16"/>
          <w:color w:val="auto"/>
        </w:rPr>
      </w:pPr>
    </w:p>
    <w:p>
      <w:pPr>
        <w:ind w:left="300" w:hanging="294"/>
        <w:spacing w:after="0"/>
        <w:tabs>
          <w:tab w:leader="none" w:pos="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 Common Unit</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21"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The following table provides a reconciliation of both the net income attributable to Boston Properties, Inc. common shareholders and the number of common shares used in the computation of basic earnings per share (“EPS”), which is calculated by dividing net income attributable to Boston Properties, Inc. common shareholders by the weighted-average number of common shares outstanding during the period. Unvested share-based payment awards that contain non-forfeitable rights to dividends or dividend equivalents (whether paid or unpaid) are also participating securities. As such, unvested restricted common stock of Boston Properties, Inc. and Boston Properties Limited Partnership’s LTIP Units, 2012 OPP Units and MYLTIP Units are considered participating securities. Participating securities are included in the computation of basic EPS of Boston Properties, Inc. using the two-class method. Participating securities are included in the computation of diluted EPS of Boston Properties, Inc. using the if-converted method if the impact is dilutive. Because the 2012 OPP Units and 2013 - 2018 MYLTIP Units required, and the 2019 - 2021 MYLTIP Units require, Boston Properties, Inc. to outperform absolute and/or relative return thresholds, unless such thresholds have been met by the end of the applicable reporting period, Boston Properties, Inc. excludes such units from the diluted EPS calculation. Other potentially dilutive common shares, including stock options, restricted stock and other securities of Boston Properties Limited Partnership that are exchangeable for Boston Properties, Inc.’s Common Stock, and the related impact on earnings, are considered when calculating diluted EPS.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Three months ended June 30, 2021</w:t>
      </w:r>
    </w:p>
    <w:p>
      <w:pPr>
        <w:spacing w:after="0" w:line="28" w:lineRule="exact"/>
        <w:rPr>
          <w:sz w:val="20"/>
          <w:szCs w:val="20"/>
          <w:color w:val="auto"/>
        </w:rPr>
      </w:pPr>
    </w:p>
    <w:tbl>
      <w:tblPr>
        <w:tblLayout w:type="fixed"/>
        <w:tblInd w:w="5800" w:type="dxa"/>
        <w:tblCellMar>
          <w:top w:w="0" w:type="dxa"/>
          <w:left w:w="0" w:type="dxa"/>
          <w:bottom w:w="0" w:type="dxa"/>
          <w:right w:w="0" w:type="dxa"/>
        </w:tblCellMar>
      </w:tblPr>
      <w:tr>
        <w:trPr>
          <w:trHeight w:val="158"/>
        </w:trPr>
        <w:tc>
          <w:tcPr>
            <w:tcW w:w="17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9"/>
              </w:rPr>
              <w:t>Income</w:t>
            </w:r>
          </w:p>
        </w:tc>
        <w:tc>
          <w:tcPr>
            <w:tcW w:w="20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7"/>
              </w:rPr>
              <w:t>Shares</w:t>
            </w:r>
          </w:p>
        </w:tc>
        <w:tc>
          <w:tcPr>
            <w:tcW w:w="17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8"/>
              </w:rPr>
              <w:t>Per Share</w:t>
            </w:r>
          </w:p>
        </w:tc>
      </w:tr>
      <w:tr>
        <w:trPr>
          <w:trHeight w:val="212"/>
        </w:trPr>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(Numerator)</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8"/>
              </w:rPr>
              <w:t>(Denominator)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9"/>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0</wp:posOffset>
            </wp:positionV>
            <wp:extent cx="34448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44875" cy="8255"/>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6"/>
          <w:szCs w:val="16"/>
          <w:b w:val="1"/>
          <w:bCs w:val="1"/>
          <w:color w:val="auto"/>
        </w:rPr>
        <w:t>(in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17715" cy="143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19" w:lineRule="exact"/>
        <w:rPr>
          <w:sz w:val="20"/>
          <w:szCs w:val="20"/>
          <w:color w:val="auto"/>
        </w:rPr>
      </w:pPr>
    </w:p>
    <w:p>
      <w:pPr>
        <w:ind w:left="500" w:right="140" w:hanging="158"/>
        <w:spacing w:after="0" w:line="223"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Based Compensation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19" w:lineRule="exact"/>
        <w:rPr>
          <w:sz w:val="20"/>
          <w:szCs w:val="20"/>
          <w:color w:val="auto"/>
        </w:rPr>
      </w:pPr>
    </w:p>
    <w:p>
      <w:pPr>
        <w:ind w:left="500" w:right="140" w:hanging="158"/>
        <w:spacing w:after="0" w:line="223" w:lineRule="auto"/>
        <w:rPr>
          <w:sz w:val="20"/>
          <w:szCs w:val="20"/>
          <w:color w:val="auto"/>
        </w:rPr>
      </w:pPr>
      <w:r>
        <w:rPr>
          <w:rFonts w:ascii="Arial" w:cs="Arial" w:eastAsia="Arial" w:hAnsi="Arial"/>
          <w:sz w:val="18"/>
          <w:szCs w:val="18"/>
          <w:color w:val="auto"/>
        </w:rPr>
        <w:t>Net income attributable to Boston Properties, Inc. common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111,703</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156,107</w:t>
            </w:r>
          </w:p>
        </w:tc>
        <w:tc>
          <w:tcPr>
            <w:tcW w:w="240" w:type="dxa"/>
            <w:vAlign w:val="bottom"/>
          </w:tcPr>
          <w:p>
            <w:pPr>
              <w:spacing w:after="0"/>
              <w:rPr>
                <w:sz w:val="18"/>
                <w:szCs w:val="18"/>
                <w:color w:val="auto"/>
              </w:rPr>
            </w:pPr>
          </w:p>
        </w:tc>
        <w:tc>
          <w:tcPr>
            <w:tcW w:w="640" w:type="dxa"/>
            <w:vAlign w:val="bottom"/>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center"/>
              <w:ind w:left="431"/>
              <w:spacing w:after="0"/>
              <w:rPr>
                <w:sz w:val="20"/>
                <w:szCs w:val="20"/>
                <w:color w:val="auto"/>
              </w:rPr>
            </w:pPr>
            <w:r>
              <w:rPr>
                <w:rFonts w:ascii="Arial" w:cs="Arial" w:eastAsia="Arial" w:hAnsi="Arial"/>
                <w:sz w:val="18"/>
                <w:szCs w:val="18"/>
                <w:color w:val="auto"/>
                <w:w w:val="96"/>
              </w:rPr>
              <w:t>0.72</w:t>
            </w:r>
          </w:p>
        </w:tc>
      </w:tr>
      <w:tr>
        <w:trPr>
          <w:trHeight w:val="453"/>
        </w:trPr>
        <w:tc>
          <w:tcPr>
            <w:tcW w:w="52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jc w:val="center"/>
              <w:ind w:left="391"/>
              <w:spacing w:after="0"/>
              <w:rPr>
                <w:sz w:val="20"/>
                <w:szCs w:val="20"/>
                <w:color w:val="auto"/>
              </w:rPr>
            </w:pPr>
            <w:r>
              <w:rPr>
                <w:rFonts w:ascii="Arial" w:cs="Arial" w:eastAsia="Arial" w:hAnsi="Arial"/>
                <w:sz w:val="18"/>
                <w:szCs w:val="18"/>
                <w:color w:val="auto"/>
                <w:w w:val="97"/>
              </w:rPr>
              <w:t>(0.01)</w:t>
            </w:r>
          </w:p>
        </w:tc>
      </w:tr>
      <w:tr>
        <w:trPr>
          <w:trHeight w:val="578"/>
        </w:trPr>
        <w:tc>
          <w:tcPr>
            <w:tcW w:w="5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111,703</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156,519</w:t>
            </w:r>
          </w:p>
        </w:tc>
        <w:tc>
          <w:tcPr>
            <w:tcW w:w="24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center"/>
              <w:ind w:left="431"/>
              <w:spacing w:after="0"/>
              <w:rPr>
                <w:sz w:val="20"/>
                <w:szCs w:val="20"/>
                <w:color w:val="auto"/>
              </w:rPr>
            </w:pPr>
            <w:r>
              <w:rPr>
                <w:rFonts w:ascii="Arial" w:cs="Arial" w:eastAsia="Arial" w:hAnsi="Arial"/>
                <w:sz w:val="18"/>
                <w:szCs w:val="18"/>
                <w:color w:val="auto"/>
                <w:w w:val="96"/>
              </w:rPr>
              <w:t>0.71</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-700405</wp:posOffset>
            </wp:positionV>
            <wp:extent cx="7117715" cy="143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7715" cy="143510"/>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-413385</wp:posOffset>
            </wp:positionV>
            <wp:extent cx="7117715" cy="143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spacing w:after="0" w:line="214"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Three months ended June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9"/>
              </w:rPr>
              <w:t>Income</w:t>
            </w:r>
          </w:p>
        </w:tc>
        <w:tc>
          <w:tcPr>
            <w:tcW w:w="20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7"/>
              </w:rPr>
              <w:t>Shares</w:t>
            </w:r>
          </w:p>
        </w:tc>
        <w:tc>
          <w:tcPr>
            <w:tcW w:w="17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8"/>
              </w:rPr>
              <w:t>Per Share</w:t>
            </w:r>
          </w:p>
        </w:tc>
      </w:tr>
      <w:tr>
        <w:trPr>
          <w:trHeight w:val="212"/>
        </w:trPr>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(Numerator)</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8"/>
              </w:rPr>
              <w:t>(Denominator)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9"/>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34448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44875" cy="825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6"/>
          <w:szCs w:val="16"/>
          <w:b w:val="1"/>
          <w:bCs w:val="1"/>
          <w:color w:val="auto"/>
        </w:rPr>
        <w:t>(in thousands, except for per share amounts)</w:t>
      </w:r>
    </w:p>
    <w:p>
      <w:pPr>
        <w:spacing w:after="0" w:line="48" w:lineRule="exact"/>
        <w:rPr>
          <w:sz w:val="20"/>
          <w:szCs w:val="20"/>
          <w:color w:val="auto"/>
        </w:rPr>
      </w:pPr>
    </w:p>
    <w:p>
      <w:pPr>
        <w:sectPr>
          <w:pgSz w:w="11900" w:h="16838" w:orient="portrait"/>
          <w:cols w:equalWidth="0" w:num="2">
            <w:col w:w="5080" w:space="720"/>
            <w:col w:w="5420"/>
          </w:cols>
          <w:pgMar w:left="320" w:top="298" w:right="35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800" w:type="dxa"/>
            <w:vAlign w:val="bottom"/>
          </w:tcPr>
          <w:p>
            <w:pPr>
              <w:ind w:left="340"/>
              <w:spacing w:after="0" w:line="185"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8"/>
                <w:szCs w:val="18"/>
                <w:color w:val="auto"/>
              </w:rPr>
              <w:t>shareholders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266,525</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155,386</w:t>
            </w:r>
          </w:p>
        </w:tc>
        <w:tc>
          <w:tcPr>
            <w:tcW w:w="24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7"/>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Allocation of undistributed earnings to participating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65"/>
        </w:trPr>
        <w:tc>
          <w:tcPr>
            <w:tcW w:w="5800" w:type="dxa"/>
            <w:vAlign w:val="bottom"/>
          </w:tcPr>
          <w:p>
            <w:pPr>
              <w:ind w:left="340"/>
              <w:spacing w:after="0" w:line="165"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8"/>
                <w:szCs w:val="18"/>
                <w:color w:val="auto"/>
              </w:rPr>
              <w:t>shareholders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266,189</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155,386</w:t>
            </w:r>
          </w:p>
        </w:tc>
        <w:tc>
          <w:tcPr>
            <w:tcW w:w="24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80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800" w:type="dxa"/>
            <w:vAlign w:val="bottom"/>
          </w:tcPr>
          <w:p>
            <w:pPr>
              <w:ind w:left="340"/>
              <w:spacing w:after="0" w:line="185"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266,189</w:t>
            </w:r>
          </w:p>
        </w:tc>
        <w:tc>
          <w:tcPr>
            <w:tcW w:w="220" w:type="dxa"/>
            <w:vAlign w:val="bottom"/>
          </w:tcPr>
          <w:p>
            <w:pPr>
              <w:spacing w:after="0"/>
              <w:rPr>
                <w:sz w:val="16"/>
                <w:szCs w:val="16"/>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155,407</w:t>
            </w:r>
          </w:p>
        </w:tc>
        <w:tc>
          <w:tcPr>
            <w:tcW w:w="240" w:type="dxa"/>
            <w:vAlign w:val="bottom"/>
          </w:tcPr>
          <w:p>
            <w:pPr>
              <w:spacing w:after="0"/>
              <w:rPr>
                <w:sz w:val="16"/>
                <w:szCs w:val="16"/>
                <w:color w:val="auto"/>
              </w:rPr>
            </w:pPr>
          </w:p>
        </w:tc>
        <w:tc>
          <w:tcPr>
            <w:tcW w:w="320" w:type="dxa"/>
            <w:vAlign w:val="bottom"/>
            <w:vMerge w:val="restart"/>
          </w:tcPr>
          <w:p>
            <w:pPr>
              <w:jc w:val="right"/>
              <w:ind w:right="131"/>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92"/>
        </w:trPr>
        <w:tc>
          <w:tcPr>
            <w:tcW w:w="5800" w:type="dxa"/>
            <w:vAlign w:val="bottom"/>
          </w:tcPr>
          <w:p>
            <w:pPr>
              <w:ind w:left="500"/>
              <w:spacing w:after="0" w:line="187" w:lineRule="exact"/>
              <w:rPr>
                <w:sz w:val="20"/>
                <w:szCs w:val="20"/>
                <w:color w:val="auto"/>
              </w:rPr>
            </w:pPr>
            <w:r>
              <w:rPr>
                <w:rFonts w:ascii="Arial" w:cs="Arial" w:eastAsia="Arial" w:hAnsi="Arial"/>
                <w:sz w:val="18"/>
                <w:szCs w:val="18"/>
                <w:color w:val="auto"/>
              </w:rPr>
              <w:t>shareholders</w:t>
            </w:r>
          </w:p>
        </w:tc>
        <w:tc>
          <w:tcPr>
            <w:tcW w:w="24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5"/>
          </w:tcPr>
          <w:p>
            <w:pPr>
              <w:jc w:val="center"/>
              <w:ind w:left="1014"/>
              <w:spacing w:after="0"/>
              <w:rPr>
                <w:sz w:val="20"/>
                <w:szCs w:val="20"/>
                <w:color w:val="auto"/>
              </w:rPr>
            </w:pPr>
            <w:r>
              <w:rPr>
                <w:rFonts w:ascii="Arial" w:cs="Arial" w:eastAsia="Arial" w:hAnsi="Arial"/>
                <w:sz w:val="16"/>
                <w:szCs w:val="16"/>
                <w:b w:val="1"/>
                <w:bCs w:val="1"/>
                <w:color w:val="auto"/>
                <w:w w:val="99"/>
              </w:rPr>
              <w:t>Six months ended June 30, 2021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48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7"/>
              </w:rPr>
              <w:t>Shares</w:t>
            </w:r>
          </w:p>
        </w:tc>
        <w:tc>
          <w:tcPr>
            <w:tcW w:w="320" w:type="dxa"/>
            <w:vAlign w:val="bottom"/>
          </w:tcPr>
          <w:p>
            <w:pPr>
              <w:spacing w:after="0"/>
              <w:rPr>
                <w:sz w:val="13"/>
                <w:szCs w:val="13"/>
                <w:color w:val="auto"/>
              </w:rPr>
            </w:pPr>
          </w:p>
        </w:tc>
        <w:tc>
          <w:tcPr>
            <w:tcW w:w="1340" w:type="dxa"/>
            <w:vAlign w:val="bottom"/>
          </w:tcPr>
          <w:p>
            <w:pPr>
              <w:jc w:val="right"/>
              <w:ind w:right="373"/>
              <w:spacing w:after="0" w:line="155" w:lineRule="exact"/>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13"/>
        </w:trPr>
        <w:tc>
          <w:tcPr>
            <w:tcW w:w="5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8"/>
              </w:rPr>
              <w:t>(Denominator)</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6"/>
        </w:trPr>
        <w:tc>
          <w:tcPr>
            <w:tcW w:w="5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80" w:type="dxa"/>
            <w:vAlign w:val="bottom"/>
            <w:gridSpan w:val="6"/>
          </w:tcPr>
          <w:p>
            <w:pPr>
              <w:jc w:val="center"/>
              <w:ind w:right="153"/>
              <w:spacing w:after="0"/>
              <w:rPr>
                <w:sz w:val="20"/>
                <w:szCs w:val="20"/>
                <w:color w:val="auto"/>
              </w:rPr>
            </w:pPr>
            <w:r>
              <w:rPr>
                <w:rFonts w:ascii="Arial" w:cs="Arial" w:eastAsia="Arial" w:hAnsi="Arial"/>
                <w:sz w:val="16"/>
                <w:szCs w:val="16"/>
                <w:b w:val="1"/>
                <w:bCs w:val="1"/>
                <w:color w:val="auto"/>
                <w:w w:val="99"/>
              </w:rPr>
              <w:t>(in thousands, except for per share amounts)</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800" w:type="dxa"/>
            <w:vAlign w:val="bottom"/>
          </w:tcPr>
          <w:p>
            <w:pPr>
              <w:ind w:left="340"/>
              <w:spacing w:after="0" w:line="185"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8"/>
                <w:szCs w:val="18"/>
                <w:color w:val="auto"/>
              </w:rPr>
              <w:t>shareholders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203,372</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156,016</w:t>
            </w:r>
          </w:p>
        </w:tc>
        <w:tc>
          <w:tcPr>
            <w:tcW w:w="24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7"/>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Allocation of undistributed earnings to participating securities</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5800" w:type="dxa"/>
            <w:vAlign w:val="bottom"/>
          </w:tcPr>
          <w:p>
            <w:pPr>
              <w:ind w:left="340"/>
              <w:spacing w:after="0" w:line="165"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8"/>
                <w:szCs w:val="18"/>
                <w:color w:val="auto"/>
              </w:rPr>
              <w:t>shareholders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203,372</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156,016</w:t>
            </w:r>
          </w:p>
        </w:tc>
        <w:tc>
          <w:tcPr>
            <w:tcW w:w="24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80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800" w:type="dxa"/>
            <w:vAlign w:val="bottom"/>
          </w:tcPr>
          <w:p>
            <w:pPr>
              <w:ind w:left="340"/>
              <w:spacing w:after="0" w:line="185"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203,372</w:t>
            </w:r>
          </w:p>
        </w:tc>
        <w:tc>
          <w:tcPr>
            <w:tcW w:w="220" w:type="dxa"/>
            <w:vAlign w:val="bottom"/>
          </w:tcPr>
          <w:p>
            <w:pPr>
              <w:spacing w:after="0"/>
              <w:rPr>
                <w:sz w:val="16"/>
                <w:szCs w:val="16"/>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156,307</w:t>
            </w:r>
          </w:p>
        </w:tc>
        <w:tc>
          <w:tcPr>
            <w:tcW w:w="240" w:type="dxa"/>
            <w:vAlign w:val="bottom"/>
          </w:tcPr>
          <w:p>
            <w:pPr>
              <w:spacing w:after="0"/>
              <w:rPr>
                <w:sz w:val="16"/>
                <w:szCs w:val="16"/>
                <w:color w:val="auto"/>
              </w:rPr>
            </w:pPr>
          </w:p>
        </w:tc>
        <w:tc>
          <w:tcPr>
            <w:tcW w:w="320" w:type="dxa"/>
            <w:vAlign w:val="bottom"/>
            <w:vMerge w:val="restart"/>
          </w:tcPr>
          <w:p>
            <w:pPr>
              <w:jc w:val="right"/>
              <w:ind w:right="131"/>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2"/>
        </w:trPr>
        <w:tc>
          <w:tcPr>
            <w:tcW w:w="5800" w:type="dxa"/>
            <w:vAlign w:val="bottom"/>
          </w:tcPr>
          <w:p>
            <w:pPr>
              <w:ind w:left="500"/>
              <w:spacing w:after="0" w:line="187" w:lineRule="exact"/>
              <w:rPr>
                <w:sz w:val="20"/>
                <w:szCs w:val="20"/>
                <w:color w:val="auto"/>
              </w:rPr>
            </w:pPr>
            <w:r>
              <w:rPr>
                <w:rFonts w:ascii="Arial" w:cs="Arial" w:eastAsia="Arial" w:hAnsi="Arial"/>
                <w:sz w:val="18"/>
                <w:szCs w:val="18"/>
                <w:color w:val="auto"/>
              </w:rPr>
              <w:t>shareholders</w:t>
            </w:r>
          </w:p>
        </w:tc>
        <w:tc>
          <w:tcPr>
            <w:tcW w:w="24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5"/>
          </w:tcPr>
          <w:p>
            <w:pPr>
              <w:jc w:val="center"/>
              <w:ind w:left="1015"/>
              <w:spacing w:after="0"/>
              <w:rPr>
                <w:sz w:val="20"/>
                <w:szCs w:val="20"/>
                <w:color w:val="auto"/>
              </w:rPr>
            </w:pPr>
            <w:r>
              <w:rPr>
                <w:rFonts w:ascii="Arial" w:cs="Arial" w:eastAsia="Arial" w:hAnsi="Arial"/>
                <w:sz w:val="16"/>
                <w:szCs w:val="16"/>
                <w:b w:val="1"/>
                <w:bCs w:val="1"/>
                <w:color w:val="auto"/>
                <w:w w:val="99"/>
              </w:rPr>
              <w:t>Six months ended June 30, 2020</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48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7"/>
              </w:rPr>
              <w:t>Shares</w:t>
            </w:r>
          </w:p>
        </w:tc>
        <w:tc>
          <w:tcPr>
            <w:tcW w:w="320" w:type="dxa"/>
            <w:vAlign w:val="bottom"/>
          </w:tcPr>
          <w:p>
            <w:pPr>
              <w:spacing w:after="0"/>
              <w:rPr>
                <w:sz w:val="13"/>
                <w:szCs w:val="13"/>
                <w:color w:val="auto"/>
              </w:rPr>
            </w:pPr>
          </w:p>
        </w:tc>
        <w:tc>
          <w:tcPr>
            <w:tcW w:w="1340" w:type="dxa"/>
            <w:vAlign w:val="bottom"/>
          </w:tcPr>
          <w:p>
            <w:pPr>
              <w:jc w:val="right"/>
              <w:ind w:right="374"/>
              <w:spacing w:after="0" w:line="155" w:lineRule="exact"/>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13"/>
        </w:trPr>
        <w:tc>
          <w:tcPr>
            <w:tcW w:w="5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8"/>
              </w:rPr>
              <w:t>(Denominator)</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6"/>
        </w:trPr>
        <w:tc>
          <w:tcPr>
            <w:tcW w:w="5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80" w:type="dxa"/>
            <w:vAlign w:val="bottom"/>
            <w:gridSpan w:val="6"/>
          </w:tcPr>
          <w:p>
            <w:pPr>
              <w:jc w:val="center"/>
              <w:ind w:right="154"/>
              <w:spacing w:after="0"/>
              <w:rPr>
                <w:sz w:val="20"/>
                <w:szCs w:val="20"/>
                <w:color w:val="auto"/>
              </w:rPr>
            </w:pPr>
            <w:r>
              <w:rPr>
                <w:rFonts w:ascii="Arial" w:cs="Arial" w:eastAsia="Arial" w:hAnsi="Arial"/>
                <w:sz w:val="16"/>
                <w:szCs w:val="16"/>
                <w:b w:val="1"/>
                <w:bCs w:val="1"/>
                <w:color w:val="auto"/>
                <w:w w:val="99"/>
              </w:rPr>
              <w:t>(in thousands, except for per share amounts)</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800" w:type="dxa"/>
            <w:vAlign w:val="bottom"/>
          </w:tcPr>
          <w:p>
            <w:pPr>
              <w:ind w:left="340"/>
              <w:spacing w:after="0" w:line="185"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8"/>
                <w:szCs w:val="18"/>
                <w:color w:val="auto"/>
              </w:rPr>
              <w:t>shareholders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764,232</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155,199</w:t>
            </w:r>
          </w:p>
        </w:tc>
        <w:tc>
          <w:tcPr>
            <w:tcW w:w="24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7"/>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Allocation of undistributed earnings to participating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5800" w:type="dxa"/>
            <w:vAlign w:val="bottom"/>
          </w:tcPr>
          <w:p>
            <w:pPr>
              <w:ind w:left="340"/>
              <w:spacing w:after="0" w:line="165"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8"/>
                <w:szCs w:val="18"/>
                <w:color w:val="auto"/>
              </w:rPr>
              <w:t>shareholders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762,888</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155,199</w:t>
            </w:r>
          </w:p>
        </w:tc>
        <w:tc>
          <w:tcPr>
            <w:tcW w:w="24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7"/>
        </w:trPr>
        <w:tc>
          <w:tcPr>
            <w:tcW w:w="580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800" w:type="dxa"/>
            <w:vAlign w:val="bottom"/>
          </w:tcPr>
          <w:p>
            <w:pPr>
              <w:ind w:left="340"/>
              <w:spacing w:after="0" w:line="185" w:lineRule="exact"/>
              <w:rPr>
                <w:sz w:val="20"/>
                <w:szCs w:val="20"/>
                <w:color w:val="auto"/>
              </w:rPr>
            </w:pPr>
            <w:r>
              <w:rPr>
                <w:rFonts w:ascii="Arial" w:cs="Arial" w:eastAsia="Arial" w:hAnsi="Arial"/>
                <w:sz w:val="18"/>
                <w:szCs w:val="18"/>
                <w:color w:val="auto"/>
              </w:rPr>
              <w:t>Net income attributable to Boston Properties, Inc. common</w:t>
            </w: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762,888</w:t>
            </w:r>
          </w:p>
        </w:tc>
        <w:tc>
          <w:tcPr>
            <w:tcW w:w="220" w:type="dxa"/>
            <w:vAlign w:val="bottom"/>
          </w:tcPr>
          <w:p>
            <w:pPr>
              <w:spacing w:after="0"/>
              <w:rPr>
                <w:sz w:val="16"/>
                <w:szCs w:val="16"/>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155,333</w:t>
            </w:r>
          </w:p>
        </w:tc>
        <w:tc>
          <w:tcPr>
            <w:tcW w:w="240" w:type="dxa"/>
            <w:vAlign w:val="bottom"/>
          </w:tcPr>
          <w:p>
            <w:pPr>
              <w:spacing w:after="0"/>
              <w:rPr>
                <w:sz w:val="16"/>
                <w:szCs w:val="16"/>
                <w:color w:val="auto"/>
              </w:rPr>
            </w:pPr>
          </w:p>
        </w:tc>
        <w:tc>
          <w:tcPr>
            <w:tcW w:w="320" w:type="dxa"/>
            <w:vAlign w:val="bottom"/>
            <w:vMerge w:val="restart"/>
          </w:tcPr>
          <w:p>
            <w:pPr>
              <w:jc w:val="right"/>
              <w:ind w:right="131"/>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192"/>
        </w:trPr>
        <w:tc>
          <w:tcPr>
            <w:tcW w:w="5800" w:type="dxa"/>
            <w:vAlign w:val="bottom"/>
          </w:tcPr>
          <w:p>
            <w:pPr>
              <w:ind w:left="500"/>
              <w:spacing w:after="0" w:line="187" w:lineRule="exact"/>
              <w:rPr>
                <w:sz w:val="20"/>
                <w:szCs w:val="20"/>
                <w:color w:val="auto"/>
              </w:rPr>
            </w:pPr>
            <w:r>
              <w:rPr>
                <w:rFonts w:ascii="Arial" w:cs="Arial" w:eastAsia="Arial" w:hAnsi="Arial"/>
                <w:sz w:val="18"/>
                <w:szCs w:val="18"/>
                <w:color w:val="auto"/>
              </w:rPr>
              <w:t>shareholders</w:t>
            </w:r>
          </w:p>
        </w:tc>
        <w:tc>
          <w:tcPr>
            <w:tcW w:w="24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21" w:lineRule="exact"/>
        <w:rPr>
          <w:sz w:val="20"/>
          <w:szCs w:val="20"/>
          <w:color w:val="auto"/>
        </w:rPr>
      </w:pPr>
    </w:p>
    <w:p>
      <w:pPr>
        <w:ind w:right="20" w:firstLine="439"/>
        <w:spacing w:after="0" w:line="261" w:lineRule="auto"/>
        <w:rPr>
          <w:sz w:val="20"/>
          <w:szCs w:val="20"/>
          <w:color w:val="auto"/>
        </w:rPr>
      </w:pPr>
      <w:r>
        <w:rPr>
          <w:rFonts w:ascii="Arial" w:cs="Arial" w:eastAsia="Arial" w:hAnsi="Arial"/>
          <w:sz w:val="17"/>
          <w:szCs w:val="17"/>
          <w:color w:val="auto"/>
        </w:rPr>
        <w:t>The following table provides a reconciliation of both the net income attributable to Boston Properties Limited Partnership common unitholders and the number of common units used in the computation of basic earnings per common unit, which is calculated by dividing net income attributable to Boston Properties Limited Partnership common unitholders by the weighted-average number of common units outstanding during the period. Unvested share-based payment awards that contain non-forfeitable rights to dividends or dividend equivalents (whether paid or unpaid) are also participating securities. As such, unvested restricted common stock of Boston Properties, Inc. and Boston Properties Limited Partnership’s LTIP Units, 2012 OPP Units and MYLTIP Units are considered participating securities. Participating securities are included in the computation of basic earnings per common unit using the two-class method. Participating securities are included in the computation of diluted earnings per common unit using the if-converted method if the impact is dilutive. Because the 2012 OPP Units and 2013</w:t>
      </w:r>
    </w:p>
    <w:p>
      <w:pPr>
        <w:spacing w:after="0" w:line="1" w:lineRule="exact"/>
        <w:rPr>
          <w:sz w:val="20"/>
          <w:szCs w:val="20"/>
          <w:color w:val="auto"/>
        </w:rPr>
      </w:pPr>
    </w:p>
    <w:p>
      <w:pPr>
        <w:ind w:right="60" w:firstLine="6"/>
        <w:spacing w:after="0" w:line="265" w:lineRule="auto"/>
        <w:tabs>
          <w:tab w:leader="none" w:pos="1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2018 MYLTIP Units required, and the 2019 - 2021 MYLTIP Units require, Boston Properties, Inc. to outperform absolute and/or relative return thresholds, unless such thresholds have been met by the end of the applicable reporting period, Boston Properties Limited Partnership excludes such units from the diluted earnings per common unit calculation. Other potentially dilutive common units and the related impact on earnings are considered when calculating diluted earnings per common unit. Included in the number of units (the denominator) below are approximately 17,043,000 and 17,273,000 redeemable common units for the three months ended June 30, 2021 and 2020, respectively, and 17,018,000 and 17,405,000 redeemable common units for the six months ended June 30, 2021, and 2020, respectively.</w:t>
      </w:r>
    </w:p>
    <w:p>
      <w:pPr>
        <w:sectPr>
          <w:pgSz w:w="11900" w:h="16838" w:orient="portrait"/>
          <w:cols w:equalWidth="0" w:num="1">
            <w:col w:w="11220"/>
          </w:cols>
          <w:pgMar w:left="320" w:top="2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7117715" cy="143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ind w:left="580" w:hanging="158"/>
        <w:spacing w:after="0" w:line="223"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17715" cy="143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Effect of Dilutive Securities: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17715" cy="143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Diluted Earnings:</w:t>
      </w:r>
    </w:p>
    <w:p>
      <w:pPr>
        <w:spacing w:after="0" w:line="19" w:lineRule="exact"/>
        <w:rPr>
          <w:sz w:val="20"/>
          <w:szCs w:val="20"/>
          <w:color w:val="auto"/>
        </w:rPr>
      </w:pPr>
    </w:p>
    <w:p>
      <w:pPr>
        <w:ind w:left="500" w:right="80" w:hanging="158"/>
        <w:spacing w:after="0" w:line="223"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Three months ended June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480"/>
              <w:spacing w:after="0" w:line="158"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tcBorders>
              <w:top w:val="single" w:sz="8" w:color="auto"/>
            </w:tcBorders>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9"/>
              </w:rPr>
              <w:t>Units</w:t>
            </w: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35"/>
              <w:spacing w:after="0" w:line="158" w:lineRule="exact"/>
              <w:rPr>
                <w:sz w:val="20"/>
                <w:szCs w:val="20"/>
                <w:color w:val="auto"/>
              </w:rPr>
            </w:pPr>
            <w:r>
              <w:rPr>
                <w:rFonts w:ascii="Arial" w:cs="Arial" w:eastAsia="Arial" w:hAnsi="Arial"/>
                <w:sz w:val="16"/>
                <w:szCs w:val="16"/>
                <w:b w:val="1"/>
                <w:bCs w:val="1"/>
                <w:color w:val="auto"/>
              </w:rPr>
              <w:t>Per Unit</w:t>
            </w:r>
          </w:p>
        </w:tc>
      </w:tr>
      <w:tr>
        <w:trPr>
          <w:trHeight w:val="213"/>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8"/>
              </w:rPr>
              <w:t>(Denominator)</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Amount</w:t>
            </w:r>
          </w:p>
        </w:tc>
      </w:tr>
      <w:tr>
        <w:trPr>
          <w:trHeight w:val="206"/>
        </w:trPr>
        <w:tc>
          <w:tcPr>
            <w:tcW w:w="240" w:type="dxa"/>
            <w:vAlign w:val="bottom"/>
          </w:tcPr>
          <w:p>
            <w:pPr>
              <w:spacing w:after="0"/>
              <w:rPr>
                <w:sz w:val="17"/>
                <w:szCs w:val="17"/>
                <w:color w:val="auto"/>
              </w:rPr>
            </w:pPr>
          </w:p>
        </w:tc>
        <w:tc>
          <w:tcPr>
            <w:tcW w:w="5180" w:type="dxa"/>
            <w:vAlign w:val="bottom"/>
            <w:gridSpan w:val="6"/>
          </w:tcPr>
          <w:p>
            <w:pPr>
              <w:jc w:val="center"/>
              <w:ind w:right="175"/>
              <w:spacing w:after="0"/>
              <w:rPr>
                <w:sz w:val="20"/>
                <w:szCs w:val="20"/>
                <w:color w:val="auto"/>
              </w:rPr>
            </w:pPr>
            <w:r>
              <w:rPr>
                <w:rFonts w:ascii="Arial" w:cs="Arial" w:eastAsia="Arial" w:hAnsi="Arial"/>
                <w:sz w:val="16"/>
                <w:szCs w:val="16"/>
                <w:b w:val="1"/>
                <w:bCs w:val="1"/>
                <w:color w:val="auto"/>
                <w:w w:val="99"/>
              </w:rPr>
              <w:t>(in thousands, except for per unit amounts)</w:t>
            </w:r>
          </w:p>
        </w:tc>
      </w:tr>
      <w:tr>
        <w:trPr>
          <w:trHeight w:val="624"/>
        </w:trPr>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125,846</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173,150</w:t>
            </w:r>
          </w:p>
        </w:tc>
        <w:tc>
          <w:tcPr>
            <w:tcW w:w="240" w:type="dxa"/>
            <w:vAlign w:val="bottom"/>
          </w:tcPr>
          <w:p>
            <w:pPr>
              <w:spacing w:after="0"/>
              <w:rPr>
                <w:sz w:val="24"/>
                <w:szCs w:val="24"/>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453"/>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78"/>
        </w:trPr>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125,846</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173,562</w:t>
            </w:r>
          </w:p>
        </w:tc>
        <w:tc>
          <w:tcPr>
            <w:tcW w:w="24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80" w:space="320"/>
            <w:col w:w="5420"/>
          </w:cols>
          <w:pgMar w:left="320" w:top="29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5"/>
          </w:tcPr>
          <w:p>
            <w:pPr>
              <w:jc w:val="center"/>
              <w:ind w:left="917"/>
              <w:spacing w:after="0"/>
              <w:rPr>
                <w:sz w:val="20"/>
                <w:szCs w:val="20"/>
                <w:color w:val="auto"/>
              </w:rPr>
            </w:pPr>
            <w:r>
              <w:rPr>
                <w:rFonts w:ascii="Arial" w:cs="Arial" w:eastAsia="Arial" w:hAnsi="Arial"/>
                <w:sz w:val="16"/>
                <w:szCs w:val="16"/>
                <w:b w:val="1"/>
                <w:bCs w:val="1"/>
                <w:color w:val="auto"/>
                <w:w w:val="99"/>
              </w:rPr>
              <w:t>Three months ended June 30, 2020</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48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Units</w:t>
            </w:r>
          </w:p>
        </w:tc>
        <w:tc>
          <w:tcPr>
            <w:tcW w:w="400" w:type="dxa"/>
            <w:vAlign w:val="bottom"/>
          </w:tcPr>
          <w:p>
            <w:pPr>
              <w:spacing w:after="0"/>
              <w:rPr>
                <w:sz w:val="13"/>
                <w:szCs w:val="13"/>
                <w:color w:val="auto"/>
              </w:rPr>
            </w:pPr>
          </w:p>
        </w:tc>
        <w:tc>
          <w:tcPr>
            <w:tcW w:w="1260" w:type="dxa"/>
            <w:vAlign w:val="bottom"/>
          </w:tcPr>
          <w:p>
            <w:pPr>
              <w:jc w:val="right"/>
              <w:ind w:right="435"/>
              <w:spacing w:after="0" w:line="155" w:lineRule="exact"/>
              <w:rPr>
                <w:sz w:val="20"/>
                <w:szCs w:val="20"/>
                <w:color w:val="auto"/>
              </w:rPr>
            </w:pPr>
            <w:r>
              <w:rPr>
                <w:rFonts w:ascii="Arial" w:cs="Arial" w:eastAsia="Arial" w:hAnsi="Arial"/>
                <w:sz w:val="16"/>
                <w:szCs w:val="16"/>
                <w:b w:val="1"/>
                <w:bCs w:val="1"/>
                <w:color w:val="auto"/>
              </w:rPr>
              <w:t>Per Unit</w:t>
            </w:r>
          </w:p>
        </w:tc>
        <w:tc>
          <w:tcPr>
            <w:tcW w:w="0" w:type="dxa"/>
            <w:vAlign w:val="bottom"/>
          </w:tcPr>
          <w:p>
            <w:pPr>
              <w:spacing w:after="0"/>
              <w:rPr>
                <w:sz w:val="1"/>
                <w:szCs w:val="1"/>
                <w:color w:val="auto"/>
              </w:rPr>
            </w:pPr>
          </w:p>
        </w:tc>
      </w:tr>
      <w:tr>
        <w:trPr>
          <w:trHeight w:val="213"/>
        </w:trPr>
        <w:tc>
          <w:tcPr>
            <w:tcW w:w="5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8"/>
              </w:rPr>
              <w:t>(Denominator)</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6"/>
        </w:trPr>
        <w:tc>
          <w:tcPr>
            <w:tcW w:w="5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80" w:type="dxa"/>
            <w:vAlign w:val="bottom"/>
            <w:gridSpan w:val="6"/>
          </w:tcPr>
          <w:p>
            <w:pPr>
              <w:jc w:val="center"/>
              <w:ind w:right="175"/>
              <w:spacing w:after="0"/>
              <w:rPr>
                <w:sz w:val="20"/>
                <w:szCs w:val="20"/>
                <w:color w:val="auto"/>
              </w:rPr>
            </w:pPr>
            <w:r>
              <w:rPr>
                <w:rFonts w:ascii="Arial" w:cs="Arial" w:eastAsia="Arial" w:hAnsi="Arial"/>
                <w:sz w:val="16"/>
                <w:szCs w:val="16"/>
                <w:b w:val="1"/>
                <w:bCs w:val="1"/>
                <w:color w:val="auto"/>
                <w:w w:val="99"/>
              </w:rPr>
              <w:t>(in thousands, except for per unit amounts)</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800" w:type="dxa"/>
            <w:vAlign w:val="bottom"/>
          </w:tcPr>
          <w:p>
            <w:pPr>
              <w:ind w:left="340"/>
              <w:spacing w:after="0" w:line="185" w:lineRule="exact"/>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8"/>
                <w:szCs w:val="18"/>
                <w:color w:val="auto"/>
              </w:rPr>
              <w:t>common unitholders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301,975</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172,659</w:t>
            </w:r>
          </w:p>
        </w:tc>
        <w:tc>
          <w:tcPr>
            <w:tcW w:w="240" w:type="dxa"/>
            <w:vAlign w:val="bottom"/>
          </w:tcPr>
          <w:p>
            <w:pPr>
              <w:spacing w:after="0"/>
              <w:rPr>
                <w:sz w:val="18"/>
                <w:szCs w:val="18"/>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7"/>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Allocation of undistributed earnings to participating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5800" w:type="dxa"/>
            <w:vAlign w:val="bottom"/>
          </w:tcPr>
          <w:p>
            <w:pPr>
              <w:ind w:left="340"/>
              <w:spacing w:after="0" w:line="165" w:lineRule="exact"/>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8"/>
                <w:szCs w:val="18"/>
                <w:color w:val="auto"/>
              </w:rPr>
              <w:t>common unitholders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301,601</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172,659</w:t>
            </w:r>
          </w:p>
        </w:tc>
        <w:tc>
          <w:tcPr>
            <w:tcW w:w="240" w:type="dxa"/>
            <w:vAlign w:val="bottom"/>
          </w:tcPr>
          <w:p>
            <w:pPr>
              <w:spacing w:after="0"/>
              <w:rPr>
                <w:sz w:val="18"/>
                <w:szCs w:val="18"/>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80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800" w:type="dxa"/>
            <w:vAlign w:val="bottom"/>
          </w:tcPr>
          <w:p>
            <w:pPr>
              <w:ind w:left="340"/>
              <w:spacing w:after="0" w:line="185" w:lineRule="exact"/>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301,601</w:t>
            </w:r>
          </w:p>
        </w:tc>
        <w:tc>
          <w:tcPr>
            <w:tcW w:w="220" w:type="dxa"/>
            <w:vAlign w:val="bottom"/>
          </w:tcPr>
          <w:p>
            <w:pPr>
              <w:spacing w:after="0"/>
              <w:rPr>
                <w:sz w:val="16"/>
                <w:szCs w:val="16"/>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172,680</w:t>
            </w:r>
          </w:p>
        </w:tc>
        <w:tc>
          <w:tcPr>
            <w:tcW w:w="240" w:type="dxa"/>
            <w:vAlign w:val="bottom"/>
          </w:tcPr>
          <w:p>
            <w:pPr>
              <w:spacing w:after="0"/>
              <w:rPr>
                <w:sz w:val="16"/>
                <w:szCs w:val="16"/>
                <w:color w:val="auto"/>
              </w:rPr>
            </w:pPr>
          </w:p>
        </w:tc>
        <w:tc>
          <w:tcPr>
            <w:tcW w:w="400" w:type="dxa"/>
            <w:vAlign w:val="bottom"/>
            <w:vMerge w:val="restart"/>
          </w:tcPr>
          <w:p>
            <w:pPr>
              <w:jc w:val="right"/>
              <w:ind w:right="211"/>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2"/>
        </w:trPr>
        <w:tc>
          <w:tcPr>
            <w:tcW w:w="5800" w:type="dxa"/>
            <w:vAlign w:val="bottom"/>
          </w:tcPr>
          <w:p>
            <w:pPr>
              <w:ind w:left="500"/>
              <w:spacing w:after="0" w:line="187" w:lineRule="exact"/>
              <w:rPr>
                <w:sz w:val="20"/>
                <w:szCs w:val="20"/>
                <w:color w:val="auto"/>
              </w:rPr>
            </w:pPr>
            <w:r>
              <w:rPr>
                <w:rFonts w:ascii="Arial" w:cs="Arial" w:eastAsia="Arial" w:hAnsi="Arial"/>
                <w:sz w:val="18"/>
                <w:szCs w:val="18"/>
                <w:color w:val="auto"/>
              </w:rPr>
              <w:t>common unitholders</w:t>
            </w:r>
          </w:p>
        </w:tc>
        <w:tc>
          <w:tcPr>
            <w:tcW w:w="24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5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5"/>
          </w:tcPr>
          <w:p>
            <w:pPr>
              <w:jc w:val="center"/>
              <w:ind w:left="937"/>
              <w:spacing w:after="0"/>
              <w:rPr>
                <w:sz w:val="20"/>
                <w:szCs w:val="20"/>
                <w:color w:val="auto"/>
              </w:rPr>
            </w:pPr>
            <w:r>
              <w:rPr>
                <w:rFonts w:ascii="Arial" w:cs="Arial" w:eastAsia="Arial" w:hAnsi="Arial"/>
                <w:sz w:val="16"/>
                <w:szCs w:val="16"/>
                <w:b w:val="1"/>
                <w:bCs w:val="1"/>
                <w:color w:val="auto"/>
                <w:w w:val="99"/>
              </w:rPr>
              <w:t>Six months ended June 30, 2021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48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Units</w:t>
            </w:r>
          </w:p>
        </w:tc>
        <w:tc>
          <w:tcPr>
            <w:tcW w:w="400" w:type="dxa"/>
            <w:vAlign w:val="bottom"/>
          </w:tcPr>
          <w:p>
            <w:pPr>
              <w:spacing w:after="0"/>
              <w:rPr>
                <w:sz w:val="13"/>
                <w:szCs w:val="13"/>
                <w:color w:val="auto"/>
              </w:rPr>
            </w:pPr>
          </w:p>
        </w:tc>
        <w:tc>
          <w:tcPr>
            <w:tcW w:w="1260" w:type="dxa"/>
            <w:vAlign w:val="bottom"/>
          </w:tcPr>
          <w:p>
            <w:pPr>
              <w:jc w:val="right"/>
              <w:ind w:right="435"/>
              <w:spacing w:after="0" w:line="155" w:lineRule="exact"/>
              <w:rPr>
                <w:sz w:val="20"/>
                <w:szCs w:val="20"/>
                <w:color w:val="auto"/>
              </w:rPr>
            </w:pPr>
            <w:r>
              <w:rPr>
                <w:rFonts w:ascii="Arial" w:cs="Arial" w:eastAsia="Arial" w:hAnsi="Arial"/>
                <w:sz w:val="16"/>
                <w:szCs w:val="16"/>
                <w:b w:val="1"/>
                <w:bCs w:val="1"/>
                <w:color w:val="auto"/>
              </w:rPr>
              <w:t>Per Unit</w:t>
            </w:r>
          </w:p>
        </w:tc>
        <w:tc>
          <w:tcPr>
            <w:tcW w:w="0" w:type="dxa"/>
            <w:vAlign w:val="bottom"/>
          </w:tcPr>
          <w:p>
            <w:pPr>
              <w:spacing w:after="0"/>
              <w:rPr>
                <w:sz w:val="1"/>
                <w:szCs w:val="1"/>
                <w:color w:val="auto"/>
              </w:rPr>
            </w:pPr>
          </w:p>
        </w:tc>
      </w:tr>
      <w:tr>
        <w:trPr>
          <w:trHeight w:val="212"/>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(Denominator)</w:t>
            </w:r>
          </w:p>
        </w:tc>
        <w:tc>
          <w:tcPr>
            <w:tcW w:w="400" w:type="dxa"/>
            <w:vAlign w:val="bottom"/>
          </w:tcPr>
          <w:p>
            <w:pPr>
              <w:spacing w:after="0"/>
              <w:rPr>
                <w:sz w:val="18"/>
                <w:szCs w:val="18"/>
                <w:color w:val="auto"/>
              </w:rPr>
            </w:pPr>
          </w:p>
        </w:tc>
        <w:tc>
          <w:tcPr>
            <w:tcW w:w="1260" w:type="dxa"/>
            <w:vAlign w:val="bottom"/>
          </w:tcPr>
          <w:p>
            <w:pPr>
              <w:jc w:val="right"/>
              <w:ind w:right="455"/>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0</wp:posOffset>
            </wp:positionV>
            <wp:extent cx="34448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44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b w:val="1"/>
          <w:bCs w:val="1"/>
          <w:color w:val="auto"/>
        </w:rPr>
        <w:t>(in thousands, except for per unit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17715" cy="143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19" w:lineRule="exact"/>
        <w:rPr>
          <w:sz w:val="20"/>
          <w:szCs w:val="20"/>
          <w:color w:val="auto"/>
        </w:rPr>
      </w:pPr>
    </w:p>
    <w:p>
      <w:pPr>
        <w:ind w:left="500" w:hanging="158"/>
        <w:spacing w:after="0" w:line="223"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Based Compensation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19" w:lineRule="exact"/>
        <w:rPr>
          <w:sz w:val="20"/>
          <w:szCs w:val="20"/>
          <w:color w:val="auto"/>
        </w:rPr>
      </w:pPr>
    </w:p>
    <w:p>
      <w:pPr>
        <w:ind w:left="500" w:hanging="158"/>
        <w:spacing w:after="0" w:line="223"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231,619</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173,034</w:t>
            </w:r>
          </w:p>
        </w:tc>
        <w:tc>
          <w:tcPr>
            <w:tcW w:w="240" w:type="dxa"/>
            <w:vAlign w:val="bottom"/>
          </w:tcPr>
          <w:p>
            <w:pPr>
              <w:spacing w:after="0"/>
              <w:rPr>
                <w:sz w:val="18"/>
                <w:szCs w:val="18"/>
                <w:color w:val="auto"/>
              </w:rPr>
            </w:pPr>
          </w:p>
        </w:tc>
        <w:tc>
          <w:tcPr>
            <w:tcW w:w="680" w:type="dxa"/>
            <w:vAlign w:val="bottom"/>
          </w:tcPr>
          <w:p>
            <w:pPr>
              <w:jc w:val="right"/>
              <w:ind w:right="4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53"/>
        </w:trPr>
        <w:tc>
          <w:tcPr>
            <w:tcW w:w="52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78"/>
        </w:trPr>
        <w:tc>
          <w:tcPr>
            <w:tcW w:w="5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231,619</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173,325</w:t>
            </w:r>
          </w:p>
        </w:tc>
        <w:tc>
          <w:tcPr>
            <w:tcW w:w="24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-700405</wp:posOffset>
            </wp:positionV>
            <wp:extent cx="7117715" cy="143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7715" cy="143510"/>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-413385</wp:posOffset>
            </wp:positionV>
            <wp:extent cx="7117715" cy="143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spacing w:after="0" w:line="214"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Six months ended June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9"/>
              </w:rPr>
              <w:t>Income</w:t>
            </w:r>
          </w:p>
        </w:tc>
        <w:tc>
          <w:tcPr>
            <w:tcW w:w="20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9"/>
              </w:rPr>
              <w:t>Units</w:t>
            </w:r>
          </w:p>
        </w:tc>
        <w:tc>
          <w:tcPr>
            <w:tcW w:w="1660" w:type="dxa"/>
            <w:vAlign w:val="bottom"/>
            <w:tcBorders>
              <w:top w:val="single" w:sz="8" w:color="auto"/>
            </w:tcBorders>
          </w:tcPr>
          <w:p>
            <w:pPr>
              <w:ind w:left="520"/>
              <w:spacing w:after="0" w:line="158" w:lineRule="exact"/>
              <w:rPr>
                <w:sz w:val="20"/>
                <w:szCs w:val="20"/>
                <w:color w:val="auto"/>
              </w:rPr>
            </w:pPr>
            <w:r>
              <w:rPr>
                <w:rFonts w:ascii="Arial" w:cs="Arial" w:eastAsia="Arial" w:hAnsi="Arial"/>
                <w:sz w:val="16"/>
                <w:szCs w:val="16"/>
                <w:b w:val="1"/>
                <w:bCs w:val="1"/>
                <w:color w:val="auto"/>
              </w:rPr>
              <w:t>Per Unit</w:t>
            </w:r>
          </w:p>
        </w:tc>
      </w:tr>
      <w:tr>
        <w:trPr>
          <w:trHeight w:val="212"/>
        </w:trPr>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(Numerator)</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8"/>
              </w:rPr>
              <w:t>(Denominator)</w:t>
            </w:r>
          </w:p>
        </w:tc>
        <w:tc>
          <w:tcPr>
            <w:tcW w:w="1660" w:type="dxa"/>
            <w:vAlign w:val="bottom"/>
          </w:tcPr>
          <w:p>
            <w:pPr>
              <w:ind w:left="520"/>
              <w:spacing w:after="0"/>
              <w:rPr>
                <w:sz w:val="20"/>
                <w:szCs w:val="20"/>
                <w:color w:val="auto"/>
              </w:rPr>
            </w:pPr>
            <w:r>
              <w:rPr>
                <w:rFonts w:ascii="Arial" w:cs="Arial" w:eastAsia="Arial" w:hAnsi="Arial"/>
                <w:sz w:val="16"/>
                <w:szCs w:val="16"/>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34448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44875" cy="825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6"/>
          <w:szCs w:val="16"/>
          <w:b w:val="1"/>
          <w:bCs w:val="1"/>
          <w:color w:val="auto"/>
        </w:rPr>
        <w:t>(in thousands, except for per unit amounts)</w:t>
      </w:r>
    </w:p>
    <w:p>
      <w:pPr>
        <w:spacing w:after="0" w:line="48" w:lineRule="exact"/>
        <w:rPr>
          <w:sz w:val="20"/>
          <w:szCs w:val="20"/>
          <w:color w:val="auto"/>
        </w:rPr>
      </w:pPr>
    </w:p>
    <w:p>
      <w:pPr>
        <w:sectPr>
          <w:pgSz w:w="11900" w:h="16838" w:orient="portrait"/>
          <w:cols w:equalWidth="0" w:num="2">
            <w:col w:w="5400" w:space="400"/>
            <w:col w:w="5420"/>
          </w:cols>
          <w:pgMar w:left="320" w:top="298" w:right="35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800" w:type="dxa"/>
            <w:vAlign w:val="bottom"/>
          </w:tcPr>
          <w:p>
            <w:pPr>
              <w:ind w:left="340"/>
              <w:spacing w:after="0" w:line="185" w:lineRule="exact"/>
              <w:rPr>
                <w:sz w:val="20"/>
                <w:szCs w:val="20"/>
                <w:color w:val="auto"/>
              </w:rPr>
            </w:pPr>
            <w:r>
              <w:rPr>
                <w:rFonts w:ascii="Arial" w:cs="Arial" w:eastAsia="Arial" w:hAnsi="Arial"/>
                <w:sz w:val="18"/>
                <w:szCs w:val="18"/>
                <w:color w:val="auto"/>
              </w:rPr>
              <w:t>Net income attributable to Boston Properties Limited Partnership</w:t>
            </w: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8"/>
                <w:szCs w:val="18"/>
                <w:color w:val="auto"/>
              </w:rPr>
              <w:t>common unitholders</w:t>
            </w:r>
          </w:p>
        </w:tc>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868,308</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172,604</w:t>
            </w:r>
          </w:p>
        </w:tc>
        <w:tc>
          <w:tcPr>
            <w:tcW w:w="240" w:type="dxa"/>
            <w:vAlign w:val="bottom"/>
          </w:tcPr>
          <w:p>
            <w:pPr>
              <w:spacing w:after="0"/>
              <w:rPr>
                <w:sz w:val="18"/>
                <w:szCs w:val="18"/>
                <w:color w:val="auto"/>
              </w:rPr>
            </w:pPr>
          </w:p>
        </w:tc>
        <w:tc>
          <w:tcPr>
            <w:tcW w:w="640" w:type="dxa"/>
            <w:vAlign w:val="bottom"/>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7"/>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Allocation of undistributed earnings to participating securities</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65"/>
        </w:trPr>
        <w:tc>
          <w:tcPr>
            <w:tcW w:w="5800" w:type="dxa"/>
            <w:vAlign w:val="bottom"/>
          </w:tcPr>
          <w:p>
            <w:pPr>
              <w:ind w:left="340"/>
              <w:spacing w:after="0" w:line="165" w:lineRule="exact"/>
              <w:rPr>
                <w:sz w:val="20"/>
                <w:szCs w:val="20"/>
                <w:color w:val="auto"/>
              </w:rPr>
            </w:pPr>
            <w:r>
              <w:rPr>
                <w:rFonts w:ascii="Arial" w:cs="Arial" w:eastAsia="Arial" w:hAnsi="Arial"/>
                <w:sz w:val="18"/>
                <w:szCs w:val="18"/>
                <w:color w:val="auto"/>
              </w:rPr>
              <w:t>Net income attributable to Boston Properties Limited Partnership</w:t>
            </w:r>
          </w:p>
        </w:tc>
        <w:tc>
          <w:tcPr>
            <w:tcW w:w="5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500"/>
              <w:spacing w:after="0"/>
              <w:rPr>
                <w:sz w:val="20"/>
                <w:szCs w:val="20"/>
                <w:color w:val="auto"/>
              </w:rPr>
            </w:pPr>
            <w:r>
              <w:rPr>
                <w:rFonts w:ascii="Arial" w:cs="Arial" w:eastAsia="Arial" w:hAnsi="Arial"/>
                <w:sz w:val="18"/>
                <w:szCs w:val="18"/>
                <w:color w:val="auto"/>
              </w:rPr>
              <w:t>common unitholders</w:t>
            </w:r>
          </w:p>
        </w:tc>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866,813</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172,604</w:t>
            </w:r>
          </w:p>
        </w:tc>
        <w:tc>
          <w:tcPr>
            <w:tcW w:w="240" w:type="dxa"/>
            <w:vAlign w:val="bottom"/>
          </w:tcPr>
          <w:p>
            <w:pPr>
              <w:spacing w:after="0"/>
              <w:rPr>
                <w:sz w:val="18"/>
                <w:szCs w:val="18"/>
                <w:color w:val="auto"/>
              </w:rPr>
            </w:pPr>
          </w:p>
        </w:tc>
        <w:tc>
          <w:tcPr>
            <w:tcW w:w="640" w:type="dxa"/>
            <w:vAlign w:val="bottom"/>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5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80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Diluted Earnings:</w:t>
            </w:r>
          </w:p>
        </w:tc>
        <w:tc>
          <w:tcPr>
            <w:tcW w:w="5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800" w:type="dxa"/>
            <w:vAlign w:val="bottom"/>
          </w:tcPr>
          <w:p>
            <w:pPr>
              <w:ind w:left="340"/>
              <w:spacing w:after="0" w:line="185" w:lineRule="exact"/>
              <w:rPr>
                <w:sz w:val="20"/>
                <w:szCs w:val="20"/>
                <w:color w:val="auto"/>
              </w:rPr>
            </w:pPr>
            <w:r>
              <w:rPr>
                <w:rFonts w:ascii="Arial" w:cs="Arial" w:eastAsia="Arial" w:hAnsi="Arial"/>
                <w:sz w:val="18"/>
                <w:szCs w:val="18"/>
                <w:color w:val="auto"/>
              </w:rPr>
              <w:t>Net income attributable to Boston Properties Limited Partnership</w:t>
            </w:r>
          </w:p>
        </w:tc>
        <w:tc>
          <w:tcPr>
            <w:tcW w:w="520" w:type="dxa"/>
            <w:vAlign w:val="bottom"/>
            <w:vMerge w:val="restart"/>
          </w:tcPr>
          <w:p>
            <w:pPr>
              <w:jc w:val="right"/>
              <w:ind w:right="331"/>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866,813</w:t>
            </w:r>
          </w:p>
        </w:tc>
        <w:tc>
          <w:tcPr>
            <w:tcW w:w="220" w:type="dxa"/>
            <w:vAlign w:val="bottom"/>
          </w:tcPr>
          <w:p>
            <w:pPr>
              <w:spacing w:after="0"/>
              <w:rPr>
                <w:sz w:val="16"/>
                <w:szCs w:val="16"/>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172,738</w:t>
            </w:r>
          </w:p>
        </w:tc>
        <w:tc>
          <w:tcPr>
            <w:tcW w:w="240" w:type="dxa"/>
            <w:vAlign w:val="bottom"/>
          </w:tcPr>
          <w:p>
            <w:pPr>
              <w:spacing w:after="0"/>
              <w:rPr>
                <w:sz w:val="16"/>
                <w:szCs w:val="16"/>
                <w:color w:val="auto"/>
              </w:rPr>
            </w:pPr>
          </w:p>
        </w:tc>
        <w:tc>
          <w:tcPr>
            <w:tcW w:w="640" w:type="dxa"/>
            <w:vAlign w:val="bottom"/>
            <w:vMerge w:val="restart"/>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192"/>
        </w:trPr>
        <w:tc>
          <w:tcPr>
            <w:tcW w:w="5800" w:type="dxa"/>
            <w:vAlign w:val="bottom"/>
          </w:tcPr>
          <w:p>
            <w:pPr>
              <w:ind w:left="500"/>
              <w:spacing w:after="0" w:line="187" w:lineRule="exact"/>
              <w:rPr>
                <w:sz w:val="20"/>
                <w:szCs w:val="20"/>
                <w:color w:val="auto"/>
              </w:rPr>
            </w:pPr>
            <w:r>
              <w:rPr>
                <w:rFonts w:ascii="Arial" w:cs="Arial" w:eastAsia="Arial" w:hAnsi="Arial"/>
                <w:sz w:val="18"/>
                <w:szCs w:val="18"/>
                <w:color w:val="auto"/>
              </w:rPr>
              <w:t>common unitholders</w:t>
            </w:r>
          </w:p>
        </w:tc>
        <w:tc>
          <w:tcPr>
            <w:tcW w:w="5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Option and Incentive Plan</w:t>
      </w:r>
    </w:p>
    <w:p>
      <w:pPr>
        <w:spacing w:after="0" w:line="108" w:lineRule="exact"/>
        <w:rPr>
          <w:sz w:val="20"/>
          <w:szCs w:val="20"/>
          <w:color w:val="auto"/>
        </w:rPr>
      </w:pPr>
    </w:p>
    <w:p>
      <w:pPr>
        <w:ind w:right="140" w:firstLine="439"/>
        <w:spacing w:after="0" w:line="249" w:lineRule="auto"/>
        <w:rPr>
          <w:sz w:val="20"/>
          <w:szCs w:val="20"/>
          <w:color w:val="auto"/>
        </w:rPr>
      </w:pPr>
      <w:r>
        <w:rPr>
          <w:rFonts w:ascii="Arial" w:cs="Arial" w:eastAsia="Arial" w:hAnsi="Arial"/>
          <w:sz w:val="18"/>
          <w:szCs w:val="18"/>
          <w:color w:val="auto"/>
        </w:rPr>
        <w:t>On February 2, 2021, Boston Properties, Inc.’s Compensation Committee approved the 2021 MYLTIP awards under the Boston Properties, Inc. 2012 Stock Option and Incentive Plan (the “2012 Plan”) to certain officers and employees of Boston Properties, Inc. The 2021 MYLTIP awards consist of two, equally-weighted (50% each)</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components that utilize Boston Properties, Inc.’s TSR over a three-year measurement period as the performance metric.</w:t>
      </w:r>
    </w:p>
    <w:p>
      <w:pPr>
        <w:spacing w:after="0" w:line="165" w:lineRule="exact"/>
        <w:rPr>
          <w:sz w:val="20"/>
          <w:szCs w:val="20"/>
          <w:color w:val="auto"/>
        </w:rPr>
      </w:pPr>
    </w:p>
    <w:p>
      <w:pPr>
        <w:ind w:right="100" w:firstLine="439"/>
        <w:spacing w:after="0" w:line="265" w:lineRule="auto"/>
        <w:rPr>
          <w:sz w:val="20"/>
          <w:szCs w:val="20"/>
          <w:color w:val="auto"/>
        </w:rPr>
      </w:pPr>
      <w:r>
        <w:rPr>
          <w:rFonts w:ascii="Arial" w:cs="Arial" w:eastAsia="Arial" w:hAnsi="Arial"/>
          <w:sz w:val="17"/>
          <w:szCs w:val="17"/>
          <w:color w:val="auto"/>
        </w:rPr>
        <w:t>The first component of the 2021 MYLTIP, which represents one-half (50%) of the target grant-date value, retains the basic general structure of the 2020 MYLTIP awards with certain changes, including a change to the custom index against which Boston Properties, Inc.’s TSR is compared. The number of LTIP Units that can be earned under this component ranges from zero to 200% of the target number of LTIP Units, based on Boston Properties, Inc.’s annualized relative TSR performance compared to a custom index. Under this component, 100% of the target number of LTIP Units will be earned if Boston Properties, Inc.’s TSR equals the custom index TSR; for relative TSR performance between -1,000 basis points and +1,000 basis points, the number of LTIP Units earned will be determined using linear interpolation.</w:t>
      </w:r>
    </w:p>
    <w:p>
      <w:pPr>
        <w:spacing w:after="0" w:line="141" w:lineRule="exact"/>
        <w:rPr>
          <w:sz w:val="20"/>
          <w:szCs w:val="20"/>
          <w:color w:val="auto"/>
        </w:rPr>
      </w:pPr>
    </w:p>
    <w:p>
      <w:pPr>
        <w:ind w:firstLine="439"/>
        <w:spacing w:after="0" w:line="266" w:lineRule="auto"/>
        <w:rPr>
          <w:sz w:val="20"/>
          <w:szCs w:val="20"/>
          <w:color w:val="auto"/>
        </w:rPr>
      </w:pPr>
      <w:r>
        <w:rPr>
          <w:rFonts w:ascii="Arial" w:cs="Arial" w:eastAsia="Arial" w:hAnsi="Arial"/>
          <w:sz w:val="17"/>
          <w:szCs w:val="17"/>
          <w:color w:val="auto"/>
        </w:rPr>
        <w:t>The second component represents the remaining one-half (50%) of the target grant-date value of the 2021 MYLTIP. The number of LTIP Units that can be earned under this component ranges from zero to 200% of the target number of LTIP Units, based on Boston Properties, Inc.’s cumulative absolute TSR during the performance period. Under this component, 100% of the target number of LTIP Units will be earned if Boston Properties, Inc.’s achieves an absolute TSR equal to +1,000 basis points; if Boston Properties, Inc.’s absolute TSR is greater than -4,000 basis points but less than +6,000 basis points, then the number of LTIP Units earned will be determined using linear interpolation.</w:t>
      </w:r>
    </w:p>
    <w:p>
      <w:pPr>
        <w:spacing w:after="0" w:line="140" w:lineRule="exact"/>
        <w:rPr>
          <w:sz w:val="20"/>
          <w:szCs w:val="20"/>
          <w:color w:val="auto"/>
        </w:rPr>
      </w:pPr>
    </w:p>
    <w:p>
      <w:pPr>
        <w:ind w:right="20" w:firstLine="439"/>
        <w:spacing w:after="0" w:line="247" w:lineRule="auto"/>
        <w:rPr>
          <w:sz w:val="20"/>
          <w:szCs w:val="20"/>
          <w:color w:val="auto"/>
        </w:rPr>
      </w:pPr>
      <w:r>
        <w:rPr>
          <w:rFonts w:ascii="Arial" w:cs="Arial" w:eastAsia="Arial" w:hAnsi="Arial"/>
          <w:sz w:val="18"/>
          <w:szCs w:val="18"/>
          <w:color w:val="auto"/>
        </w:rPr>
        <w:t>Total earned awards under the 2021 MYLTIP, if any, is the sum of the number of LTIP Units earned under the first and second components and will range from zero to a maximum of 352,021 LTIP Units with a target of approximately 176,009 LTIP Units and linear interpolation between zero and maximum. Earned awards (if any) will vest 100% on February 1, 2024, but may not be converted, redeemed, sold or otherwise transferred for one additional year thereafter. Vesting will be accelerated in the event of a change in control, termination of employment by Boston Properties, Inc. without cause, or termination of employment by the award recipient for good reason, death, disability or retirement. If there is a change of control prior to February 1, 2024, earned awards will be calculated based on TSR performance up to the date of the change of control. The 2021 MYLTIP awards are in the form of LTIP Units issued on the grant date, and they are subject to forfeiture to the extent awards are not earned. Prior to the performance measurement date holders of the 2021 MYLTIP Units are only entitled to one-tenth (10%) of the regular quarterly distributions payable on common partnership units. Following the completion of the three-year performance period, Boston Properties, Inc. will also make a “catch-up” cash payment on the 2021 MYLTIP Units that are ultimately earned in an amount equal to the regular and special distributions, if any, declared during the performance period on Boston Properties, Inc.’s common stock, less the distributions actually paid to holders of 2021 MYLTIP Units during the performance period on all of the awarded 2021 MYLTIP Units. Under ASC 718 “Compensation - Stock Compensation,” the 2021 MYLTIP awards have an aggregate value of approximately $15.3 million, which amount will generally be amortized into earnings under the graded vesting method.</w:t>
      </w:r>
    </w:p>
    <w:p>
      <w:pPr>
        <w:spacing w:after="0" w:line="156" w:lineRule="exact"/>
        <w:rPr>
          <w:sz w:val="20"/>
          <w:szCs w:val="20"/>
          <w:color w:val="auto"/>
        </w:rPr>
      </w:pPr>
    </w:p>
    <w:p>
      <w:pPr>
        <w:ind w:right="60" w:firstLine="439"/>
        <w:spacing w:after="0" w:line="248" w:lineRule="auto"/>
        <w:rPr>
          <w:sz w:val="20"/>
          <w:szCs w:val="20"/>
          <w:color w:val="auto"/>
        </w:rPr>
      </w:pPr>
      <w:r>
        <w:rPr>
          <w:rFonts w:ascii="Arial" w:cs="Arial" w:eastAsia="Arial" w:hAnsi="Arial"/>
          <w:sz w:val="18"/>
          <w:szCs w:val="18"/>
          <w:color w:val="auto"/>
        </w:rPr>
        <w:t>On February 5, 2021, the measurement period for the Company’s 2018 MYLTIP awards ended and, based on Boston Properties, Inc.’s relative TSR performance, the final awards were determined to be 29.2% of target, or an aggregate of approximately $4.6 million (after giving effect to employee separations). As a result, an aggregate of 285,925 2018 MYLTIP Units that had been previously granted were automatically forfeited.</w:t>
      </w:r>
    </w:p>
    <w:p>
      <w:pPr>
        <w:spacing w:after="0" w:line="155" w:lineRule="exact"/>
        <w:rPr>
          <w:sz w:val="20"/>
          <w:szCs w:val="20"/>
          <w:color w:val="auto"/>
        </w:rPr>
      </w:pPr>
    </w:p>
    <w:p>
      <w:pPr>
        <w:ind w:right="20" w:firstLine="439"/>
        <w:spacing w:after="0" w:line="262" w:lineRule="auto"/>
        <w:rPr>
          <w:sz w:val="20"/>
          <w:szCs w:val="20"/>
          <w:color w:val="auto"/>
        </w:rPr>
      </w:pPr>
      <w:r>
        <w:rPr>
          <w:rFonts w:ascii="Arial" w:cs="Arial" w:eastAsia="Arial" w:hAnsi="Arial"/>
          <w:sz w:val="17"/>
          <w:szCs w:val="17"/>
          <w:color w:val="auto"/>
        </w:rPr>
        <w:t>At Boston Properties, Inc.’s 2021 annual meeting of stockholders held on May 20, 2021, its stockholders approved the Boston Properties, Inc. 2021 Stock Incentive Plan (the “2021 Plan”). The 2021 Plan replaces the 2012 Plan and no further awards will be granted under the 2012 Plan. The material features of the 2021 Plan include, among other things: (i) the maximum number of shares of Common Stock reserved and available for issuance under the 2021 Plan is 5,400,000 shares less one share for every one share that was granted between March 4, 2021 and May 19, 2021 under the 2012 Plan, (ii) shares of Common Stock underlying awards granted under the 2021 Plan or the 2012 Plan that are forfeited, canceled or otherwise terminated (other than by exercise) will be added back to the shares of Common Stock available for issuance under the 2021 Plan and, with respect to “full-value” awards under the 2021 Plan or the 2012 Plan, shares tendered or held back for taxes and shares previously reserved for issuance pursuant to such an award to the extent that such shares are not issued and are no longer issuable pursuant to such an award (e.g., in the event that a full-value award that may be settled in cash or by issuance of shares of Common Stock is settled in cash) will be added back to the shares available for issuance under the 2021 Plan, (iii) the award of stock options (both incentive and non-qualified options), stock appreciation rights, restricted stock units, restricted stock, unrestricted stock, dividend equivalent rights, cash-based awards and other equity-based awards (including LTIP Units) is permitted, (iv) stock options may not be repriced and “underwater” stock options may not be exchanged for another award or cash without stockholder approval; and (v)</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term of the 2021 Plan is for ten years from the date of stockholder approval.</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six months ended June 30, 2021, Boston Properties, Inc. issued 38,499 shares of restricted common stock and Boston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Properties Limited Partnership issued 281,640 LTIP Units and 352,021 2021 MYLTIP Units to employees and non-employee director advisors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under the 2012 Plan and the 2021 Plan. Employees paid $0.01 per share of restricted common stock and $0.25 per LTIP Unit and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MYLTIP Unit. When issued, LTIP Units are not economically equivalent in value to a share of Common Stock, but over time can increase 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value to one-for-one parity with Common Stock if there is sufficient appreciation in the value of the Company’s assets. The aggregate value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LTIP Units is included in noncontrolling interests in the Consolidated Balance Sheets of Boston Properties, Inc. and Boston Properties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Partnership. A substantial majority of the grants of restricted common stock and LTIP Units to employees vest in four equal annual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installments. Restricted common stock is measured at fair value on the date of grant based on the number of shares granted and the closing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price of Boston Properties, Inc.’s Common Stock on the date of grant as quoted on the New York Stock Exchange. Such value is recognized as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 expense ratably over the corresponding employee service period. The shares of restricted common stock granted during the six months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2021 were valued at approximately $3.6 million ($94.17 per share weighted-average). The LTIP Units granted were valued at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$23.8 million (approximately $84.43 per unit weighted-average fair value) using a Monte Carlo simulation method model.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per unit fair values of the LTIP Units granted were estimated on the dates of grant and for a substantial majority of such units were valued using</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an expected life of 5.7 years, a risk-free interest rate of 0.65% and an expected price volatility of 30.0%. Because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2012 OPP Units and 2013 - 2021 MYLTIP Units are subject to both a service condition and a market condition, the Company recognizes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related compensation expense under the graded vesting attribution method. Under the graded vesting attribution method, each portion of</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the award that vests at a different date is accounted for as a separate award and recognized over the period appropriate to that portion so that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cost for each portion should be recognized in full by the time that portion vests. The Company recognizes forfeitures as they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occur on its awards of stock-based compensation. Dividends paid on both vested and unvested shares of restricted stock are charged directly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to Dividends in Excess of Earnings in Boston Properties, Inc.’s Consolidated Balance Sheets and Partners’ Capital in Boston Properties Limited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Partnership’s Consolidated Balance Sheets. Aggregate stock-based compensation expense associated with restricted stock, LTIP Units and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MYLTIP Units was approximately $14.0 million and $10.1 million for the three months ended June 30, 2021 and 2020, respectively, and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$33.8 million and $27.3 million for the six months ended June 30, 2021 and 2020, respectively. At June 30, 2021, there was (1) an aggregate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$32.3 million of unrecognized compensation expense related to unvested restricted stock, LTIP Units and 2018 MYLTIP Units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and (2) an aggregate of approximately $12.0 million of unrecognized compensation expense related to unvested 2019 - 2021 MYLTIP Units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that is expected to be recognized over a weighted-average period of approximately 2.2 years.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08" w:lineRule="exact"/>
        <w:rPr>
          <w:sz w:val="20"/>
          <w:szCs w:val="20"/>
          <w:color w:val="auto"/>
        </w:rPr>
      </w:pPr>
    </w:p>
    <w:p>
      <w:pPr>
        <w:ind w:right="460" w:firstLine="439"/>
        <w:spacing w:after="0" w:line="249" w:lineRule="auto"/>
        <w:rPr>
          <w:sz w:val="20"/>
          <w:szCs w:val="20"/>
          <w:color w:val="auto"/>
        </w:rPr>
      </w:pPr>
      <w:r>
        <w:rPr>
          <w:rFonts w:ascii="Arial" w:cs="Arial" w:eastAsia="Arial" w:hAnsi="Arial"/>
          <w:sz w:val="18"/>
          <w:szCs w:val="18"/>
          <w:color w:val="auto"/>
        </w:rPr>
        <w:t>On July 13, 2021, the Company entered into an agreement to sell its 181,191 and 201 Spring Street properties located in Lexington, Massachusetts for an aggregate gross sale price of $191.5 million. 181,191 and 201 Spring Street are three Class A office properties aggregating approximately 333,000 net rentable square feet and are 100% leased.</w:t>
      </w:r>
    </w:p>
    <w:p>
      <w:pPr>
        <w:spacing w:after="0" w:line="154"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 xml:space="preserve">On July 20, 2021, the Company </w:t>
      </w:r>
      <w:r>
        <w:rPr>
          <w:rFonts w:ascii="Arial" w:cs="Arial" w:eastAsia="Arial" w:hAnsi="Arial"/>
          <w:sz w:val="18"/>
          <w:szCs w:val="18"/>
          <w:color w:val="auto"/>
          <w:highlight w:val="white"/>
        </w:rPr>
        <w:t>agreed to</w:t>
      </w:r>
      <w:r>
        <w:rPr>
          <w:rFonts w:ascii="Arial" w:cs="Arial" w:eastAsia="Arial" w:hAnsi="Arial"/>
          <w:sz w:val="18"/>
          <w:szCs w:val="18"/>
          <w:color w:val="auto"/>
        </w:rPr>
        <w:t xml:space="preserve"> acquire Safeco Plaza in Seattle, Washington for an aggregate cash purchase price of approximately $465.0 million. The Company and its prospective partner have funded a deposit of $51.5 million of which the Company’s share is $26.3 million. Safeco Plaza is an approximately 800,000 square foot Class A office building. </w:t>
      </w:r>
      <w:r>
        <w:rPr>
          <w:rFonts w:ascii="Arial" w:cs="Arial" w:eastAsia="Arial" w:hAnsi="Arial"/>
          <w:sz w:val="18"/>
          <w:szCs w:val="18"/>
          <w:color w:val="auto"/>
          <w:highlight w:val="white"/>
        </w:rPr>
        <w:t>The acquisition is subject to customary closing</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conditions for a transaction of this type, and there can be no assurance that the acquisition will be consummated on the terms currently contemplated or at all </w:t>
      </w:r>
      <w:r>
        <w:rPr>
          <w:rFonts w:ascii="Arial" w:cs="Arial" w:eastAsia="Arial" w:hAnsi="Arial"/>
          <w:sz w:val="18"/>
          <w:szCs w:val="18"/>
          <w:color w:val="auto"/>
        </w:rPr>
        <w:t>(See Note 3).</w:t>
      </w:r>
    </w:p>
    <w:p>
      <w:pPr>
        <w:spacing w:after="0" w:line="154" w:lineRule="exact"/>
        <w:rPr>
          <w:sz w:val="20"/>
          <w:szCs w:val="20"/>
          <w:color w:val="auto"/>
        </w:rPr>
      </w:pPr>
    </w:p>
    <w:p>
      <w:pPr>
        <w:ind w:right="80" w:firstLine="439"/>
        <w:spacing w:after="0" w:line="248" w:lineRule="auto"/>
        <w:rPr>
          <w:sz w:val="20"/>
          <w:szCs w:val="20"/>
          <w:color w:val="auto"/>
        </w:rPr>
      </w:pPr>
      <w:r>
        <w:rPr>
          <w:rFonts w:ascii="Arial" w:cs="Arial" w:eastAsia="Arial" w:hAnsi="Arial"/>
          <w:sz w:val="18"/>
          <w:szCs w:val="18"/>
          <w:color w:val="auto"/>
        </w:rPr>
        <w:t>On August 2, 2021, the Company acquired Shady Grove Bio+Tech Campus in Rockville, Maryland for an aggregate purchase price of approximately $116.5 million. Shady Grove Bio+Tech Campus is an approximately 435,000 net rentable square foot, seven-building office park situated on an approximately 31-acre site. The Company intends to reposition three of the buildings, which are currently vacant, to support life sciences uses (See Note 3).</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2—Management’s Discussion and Analysis of Financial Condition and 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discussion should be read in conjunction with the financial statements and notes thereto appearing elsewhere in this report.</w:t>
      </w:r>
    </w:p>
    <w:p>
      <w:pPr>
        <w:spacing w:after="0" w:line="97" w:lineRule="exact"/>
        <w:rPr>
          <w:sz w:val="20"/>
          <w:szCs w:val="20"/>
          <w:color w:val="auto"/>
        </w:rPr>
      </w:pPr>
    </w:p>
    <w:p>
      <w:pPr>
        <w:ind w:right="20" w:firstLine="439"/>
        <w:spacing w:after="0" w:line="262" w:lineRule="auto"/>
        <w:rPr>
          <w:sz w:val="20"/>
          <w:szCs w:val="20"/>
          <w:color w:val="auto"/>
        </w:rPr>
      </w:pPr>
      <w:r>
        <w:rPr>
          <w:rFonts w:ascii="Arial" w:cs="Arial" w:eastAsia="Arial" w:hAnsi="Arial"/>
          <w:sz w:val="17"/>
          <w:szCs w:val="17"/>
          <w:color w:val="212529"/>
        </w:rPr>
        <w:t xml:space="preserve">This Quarterly Report on Form </w:t>
      </w:r>
      <w:r>
        <w:rPr>
          <w:rFonts w:ascii="Arial" w:cs="Arial" w:eastAsia="Arial" w:hAnsi="Arial"/>
          <w:sz w:val="14"/>
          <w:szCs w:val="14"/>
          <w:color w:val="212529"/>
        </w:rPr>
        <w:t>10-Q</w:t>
      </w:r>
      <w:r>
        <w:rPr>
          <w:rFonts w:ascii="Arial" w:cs="Arial" w:eastAsia="Arial" w:hAnsi="Arial"/>
          <w:sz w:val="17"/>
          <w:szCs w:val="17"/>
          <w:color w:val="212529"/>
        </w:rPr>
        <w:t>, including the documents incorporated by reference, contain forward</w:t>
      </w:r>
      <w:r>
        <w:rPr>
          <w:rFonts w:ascii="Arial" w:cs="Arial" w:eastAsia="Arial" w:hAnsi="Arial"/>
          <w:sz w:val="17"/>
          <w:szCs w:val="17"/>
          <w:color w:val="000000"/>
        </w:rPr>
        <w:t>-looking</w:t>
      </w:r>
      <w:r>
        <w:rPr>
          <w:rFonts w:ascii="Arial" w:cs="Arial" w:eastAsia="Arial" w:hAnsi="Arial"/>
          <w:sz w:val="17"/>
          <w:szCs w:val="17"/>
          <w:color w:val="212529"/>
        </w:rPr>
        <w:t xml:space="preserve"> statements within the meaning of the federal securities laws, Section 27A of the Securities Act of 1933, as amended, and Section 21E of the Securities Exchange Act of 1934, as amended. We intend these forward-looking statements to be covered by the safe harbor provisions for forward-looking statements contained in the Private Securities Litigation Reform Act of 1995 and are including this statement for purposes of complying with those safe harbor provisions, in each case, to the extent applicable. Such statements are contained principally, but not only, under the captions “Risk Factors” and “Management’s Discussion and Analysis of Financial Condition and Results of Operations.” We caution investors that any such forward-looking statements are based on current beliefs or expectations of future events and on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Such statements are subject to risks, uncertainties and assumptions and are not guarantees of future performance or occurrences, which may be affected by known and unknown risks, trends, uncertainties and factors that are, in some cases, beyond our control. Should one or more of these known or unknown risks or uncertainties materialize, or should underlying assumptions prove incorrect, actual results may vary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and trends at the time they are made, to anticipate future results or trends.</w:t>
      </w:r>
    </w:p>
    <w:p>
      <w:pPr>
        <w:spacing w:after="0" w:line="149" w:lineRule="exact"/>
        <w:rPr>
          <w:sz w:val="20"/>
          <w:szCs w:val="20"/>
          <w:color w:val="auto"/>
        </w:rPr>
      </w:pPr>
    </w:p>
    <w:p>
      <w:pPr>
        <w:ind w:right="400" w:firstLine="439"/>
        <w:spacing w:after="0" w:line="266" w:lineRule="auto"/>
        <w:rPr>
          <w:sz w:val="20"/>
          <w:szCs w:val="20"/>
          <w:color w:val="auto"/>
        </w:rPr>
      </w:pPr>
      <w:r>
        <w:rPr>
          <w:rFonts w:ascii="Arial" w:cs="Arial" w:eastAsia="Arial" w:hAnsi="Arial"/>
          <w:sz w:val="17"/>
          <w:szCs w:val="17"/>
          <w:color w:val="auto"/>
        </w:rPr>
        <w:t xml:space="preserve">One </w:t>
      </w:r>
      <w:r>
        <w:rPr>
          <w:rFonts w:ascii="Arial" w:cs="Arial" w:eastAsia="Arial" w:hAnsi="Arial"/>
          <w:sz w:val="17"/>
          <w:szCs w:val="17"/>
          <w:color w:val="212529"/>
        </w:rPr>
        <w:t>of the most significant factors that may cause actual results to differ materially from those expressed or implied by the forward-looking statements is the ongoing impact of the global COVID-19 pandemic on the U.S. and global economies, which has impacted, and is likely to continue to impact, us and, directly or indirectly, many of the other important factors below and the risks described in (i) our Annual Report on Form 10-K for the fiscal year ended December 31, 2020 including those described under the caption “Risk Factors,” (ii) our subsequent filings under the Exchange Act and (iii) the risk factors set forth in this Form 10-Q in Part II, Item 1A.</w:t>
      </w:r>
    </w:p>
    <w:p>
      <w:pPr>
        <w:spacing w:after="0" w:line="140" w:lineRule="exact"/>
        <w:rPr>
          <w:sz w:val="20"/>
          <w:szCs w:val="20"/>
          <w:color w:val="auto"/>
        </w:rPr>
      </w:pPr>
    </w:p>
    <w:p>
      <w:pPr>
        <w:ind w:right="600" w:firstLine="439"/>
        <w:spacing w:after="0" w:line="252" w:lineRule="auto"/>
        <w:rPr>
          <w:sz w:val="20"/>
          <w:szCs w:val="20"/>
          <w:color w:val="auto"/>
        </w:rPr>
      </w:pPr>
      <w:r>
        <w:rPr>
          <w:rFonts w:ascii="Arial" w:cs="Arial" w:eastAsia="Arial" w:hAnsi="Arial"/>
          <w:sz w:val="18"/>
          <w:szCs w:val="18"/>
          <w:color w:val="auto"/>
        </w:rPr>
        <w:t xml:space="preserve">Some </w:t>
      </w:r>
      <w:r>
        <w:rPr>
          <w:rFonts w:ascii="Arial" w:cs="Arial" w:eastAsia="Arial" w:hAnsi="Arial"/>
          <w:sz w:val="18"/>
          <w:szCs w:val="18"/>
          <w:color w:val="212529"/>
        </w:rPr>
        <w:t>of the risks and uncertainties that may cause our actual results, performance or achievements to differ</w:t>
      </w:r>
      <w:r>
        <w:rPr>
          <w:rFonts w:ascii="Arial" w:cs="Arial" w:eastAsia="Arial" w:hAnsi="Arial"/>
          <w:sz w:val="18"/>
          <w:szCs w:val="18"/>
          <w:color w:val="auto"/>
        </w:rPr>
        <w:t xml:space="preserve"> materially </w:t>
      </w:r>
      <w:r>
        <w:rPr>
          <w:rFonts w:ascii="Arial" w:cs="Arial" w:eastAsia="Arial" w:hAnsi="Arial"/>
          <w:sz w:val="18"/>
          <w:szCs w:val="18"/>
          <w:color w:val="212529"/>
        </w:rPr>
        <w:t>from those</w:t>
      </w:r>
      <w:r>
        <w:rPr>
          <w:rFonts w:ascii="Arial" w:cs="Arial" w:eastAsia="Arial" w:hAnsi="Arial"/>
          <w:sz w:val="18"/>
          <w:szCs w:val="18"/>
          <w:color w:val="auto"/>
        </w:rPr>
        <w:t xml:space="preserve"> </w:t>
      </w:r>
      <w:r>
        <w:rPr>
          <w:rFonts w:ascii="Arial" w:cs="Arial" w:eastAsia="Arial" w:hAnsi="Arial"/>
          <w:sz w:val="18"/>
          <w:szCs w:val="18"/>
          <w:color w:val="212529"/>
        </w:rPr>
        <w:t>expressed or implied by forward-looking statements include, among others, the following:</w:t>
      </w:r>
    </w:p>
    <w:p>
      <w:pPr>
        <w:spacing w:after="0" w:line="150" w:lineRule="exact"/>
        <w:rPr>
          <w:sz w:val="20"/>
          <w:szCs w:val="20"/>
          <w:color w:val="auto"/>
        </w:rPr>
      </w:pPr>
    </w:p>
    <w:p>
      <w:pPr>
        <w:ind w:left="1280" w:hanging="635"/>
        <w:spacing w:after="0" w:line="263" w:lineRule="auto"/>
        <w:tabs>
          <w:tab w:leader="none" w:pos="1275" w:val="left"/>
        </w:tabs>
        <w:numPr>
          <w:ilvl w:val="0"/>
          <w:numId w:val="26"/>
        </w:numPr>
        <w:rPr>
          <w:rFonts w:ascii="Arial" w:cs="Arial" w:eastAsia="Arial" w:hAnsi="Arial"/>
          <w:sz w:val="17"/>
          <w:szCs w:val="17"/>
          <w:color w:val="auto"/>
        </w:rPr>
      </w:pPr>
      <w:r>
        <w:rPr>
          <w:rFonts w:ascii="Arial" w:cs="Arial" w:eastAsia="Arial" w:hAnsi="Arial"/>
          <w:sz w:val="17"/>
          <w:szCs w:val="17"/>
          <w:color w:val="212529"/>
        </w:rPr>
        <w:t>the risks and uncertainties related to the impact of the COVID-19 global pandemic, including the duration, scope and severity of the pandemic domestically and internationally; federal, state and local government actions or restrictive measures implemented in response to COVID-19, the effectiveness of such measures, as well as the effect of any relaxation of current restrictions, and the direct and indirect impact of such measures on our and our tenants’ businesses, financial condition, results of operations, cash flows, liquidity, performance and demand for office space, and the U.S. and international economy and economic activity generally; the emergence and characteristics of new variants, the speed, effectiveness and distribution of vaccines (including effectiveness against COVID-19 variant strains), whether new or existing actions and measures continue to impact the ability of our residential tenants to generate sufficient income to pay, or make them unwilling to pay rent in a timely manner, in full or at all; the health, continued service and availability of our personnel, including our key personnel and property management teams; and the effectiveness or lack of effectiveness of governmental relief in providing assistance to individuals and large and small businesses, including our tenants, that have suffered significant adverse effects from COVID-19;</w:t>
      </w:r>
    </w:p>
    <w:p>
      <w:pPr>
        <w:spacing w:after="0" w:line="76" w:lineRule="exact"/>
        <w:rPr>
          <w:rFonts w:ascii="Arial" w:cs="Arial" w:eastAsia="Arial" w:hAnsi="Arial"/>
          <w:sz w:val="17"/>
          <w:szCs w:val="17"/>
          <w:color w:val="auto"/>
        </w:rPr>
      </w:pPr>
    </w:p>
    <w:p>
      <w:pPr>
        <w:ind w:left="1280" w:right="20" w:hanging="635"/>
        <w:spacing w:after="0" w:line="249" w:lineRule="auto"/>
        <w:tabs>
          <w:tab w:leader="none" w:pos="1275" w:val="left"/>
        </w:tabs>
        <w:numPr>
          <w:ilvl w:val="0"/>
          <w:numId w:val="26"/>
        </w:numPr>
        <w:rPr>
          <w:rFonts w:ascii="Arial" w:cs="Arial" w:eastAsia="Arial" w:hAnsi="Arial"/>
          <w:sz w:val="18"/>
          <w:szCs w:val="18"/>
          <w:color w:val="212529"/>
        </w:rPr>
      </w:pPr>
      <w:r>
        <w:rPr>
          <w:rFonts w:ascii="Arial" w:cs="Arial" w:eastAsia="Arial" w:hAnsi="Arial"/>
          <w:sz w:val="18"/>
          <w:szCs w:val="18"/>
          <w:color w:val="212529"/>
        </w:rPr>
        <w:t>volatile or adverse global economic and political conditions, health crises and dislocations in the credit markets could adversely affect our access to cost-effective capital and have a resulting material adverse effect on our business opportunities, results of operations and financial condition;</w:t>
      </w:r>
    </w:p>
    <w:p>
      <w:pPr>
        <w:spacing w:after="0" w:line="87" w:lineRule="exact"/>
        <w:rPr>
          <w:rFonts w:ascii="Arial" w:cs="Arial" w:eastAsia="Arial" w:hAnsi="Arial"/>
          <w:sz w:val="18"/>
          <w:szCs w:val="18"/>
          <w:color w:val="212529"/>
        </w:rPr>
      </w:pPr>
    </w:p>
    <w:p>
      <w:pPr>
        <w:ind w:left="1280" w:right="120" w:hanging="635"/>
        <w:spacing w:after="0" w:line="249" w:lineRule="auto"/>
        <w:tabs>
          <w:tab w:leader="none" w:pos="1275" w:val="left"/>
        </w:tabs>
        <w:numPr>
          <w:ilvl w:val="0"/>
          <w:numId w:val="26"/>
        </w:numPr>
        <w:rPr>
          <w:rFonts w:ascii="Arial" w:cs="Arial" w:eastAsia="Arial" w:hAnsi="Arial"/>
          <w:sz w:val="18"/>
          <w:szCs w:val="18"/>
          <w:color w:val="212529"/>
        </w:rPr>
      </w:pPr>
      <w:r>
        <w:rPr>
          <w:rFonts w:ascii="Arial" w:cs="Arial" w:eastAsia="Arial" w:hAnsi="Arial"/>
          <w:sz w:val="18"/>
          <w:szCs w:val="18"/>
          <w:color w:val="auto"/>
        </w:rPr>
        <w:t xml:space="preserve">general </w:t>
      </w:r>
      <w:r>
        <w:rPr>
          <w:rFonts w:ascii="Arial" w:cs="Arial" w:eastAsia="Arial" w:hAnsi="Arial"/>
          <w:sz w:val="18"/>
          <w:szCs w:val="18"/>
          <w:color w:val="212529"/>
        </w:rPr>
        <w:t>risks affecting the real estate industry (including, without limitation, the inability to enter into or renew leases, tenant</w:t>
      </w:r>
      <w:r>
        <w:rPr>
          <w:rFonts w:ascii="Arial" w:cs="Arial" w:eastAsia="Arial" w:hAnsi="Arial"/>
          <w:sz w:val="18"/>
          <w:szCs w:val="18"/>
          <w:color w:val="auto"/>
        </w:rPr>
        <w:t xml:space="preserve"> </w:t>
      </w:r>
      <w:r>
        <w:rPr>
          <w:rFonts w:ascii="Arial" w:cs="Arial" w:eastAsia="Arial" w:hAnsi="Arial"/>
          <w:sz w:val="18"/>
          <w:szCs w:val="18"/>
          <w:color w:val="212529"/>
        </w:rPr>
        <w:t>space utilization, dependence on tenants’ financial condition, and competition from other developers, owners and operators of real estate);</w:t>
      </w:r>
    </w:p>
    <w:p>
      <w:pPr>
        <w:spacing w:after="0" w:line="73" w:lineRule="exact"/>
        <w:rPr>
          <w:rFonts w:ascii="Arial" w:cs="Arial" w:eastAsia="Arial" w:hAnsi="Arial"/>
          <w:sz w:val="18"/>
          <w:szCs w:val="18"/>
          <w:color w:val="212529"/>
        </w:rPr>
      </w:pPr>
    </w:p>
    <w:p>
      <w:pPr>
        <w:ind w:left="1280" w:right="440" w:hanging="635"/>
        <w:spacing w:after="0" w:line="252" w:lineRule="auto"/>
        <w:tabs>
          <w:tab w:leader="none" w:pos="1275" w:val="left"/>
        </w:tabs>
        <w:numPr>
          <w:ilvl w:val="0"/>
          <w:numId w:val="26"/>
        </w:numPr>
        <w:rPr>
          <w:rFonts w:ascii="Arial" w:cs="Arial" w:eastAsia="Arial" w:hAnsi="Arial"/>
          <w:sz w:val="18"/>
          <w:szCs w:val="18"/>
          <w:color w:val="212529"/>
        </w:rPr>
      </w:pPr>
      <w:r>
        <w:rPr>
          <w:rFonts w:ascii="Arial" w:cs="Arial" w:eastAsia="Arial" w:hAnsi="Arial"/>
          <w:sz w:val="18"/>
          <w:szCs w:val="18"/>
          <w:color w:val="212529"/>
        </w:rPr>
        <w:t>failure to manage effectively our growth and expansion into new markets and sub-markets or to integrate acquisitions and developments successfully;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hanging="635"/>
        <w:spacing w:after="0"/>
        <w:tabs>
          <w:tab w:leader="none" w:pos="128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the ability of our joint venture partners to satisfy their obligations;</w:t>
      </w:r>
    </w:p>
    <w:p>
      <w:pPr>
        <w:spacing w:after="0" w:line="85" w:lineRule="exact"/>
        <w:rPr>
          <w:rFonts w:ascii="Arial" w:cs="Arial" w:eastAsia="Arial" w:hAnsi="Arial"/>
          <w:sz w:val="18"/>
          <w:szCs w:val="18"/>
          <w:color w:val="212529"/>
        </w:rPr>
      </w:pPr>
    </w:p>
    <w:p>
      <w:pPr>
        <w:ind w:left="1280" w:right="200" w:hanging="635"/>
        <w:spacing w:after="0" w:line="271" w:lineRule="auto"/>
        <w:tabs>
          <w:tab w:leader="none" w:pos="1275" w:val="left"/>
        </w:tabs>
        <w:numPr>
          <w:ilvl w:val="0"/>
          <w:numId w:val="27"/>
        </w:numPr>
        <w:rPr>
          <w:rFonts w:ascii="Arial" w:cs="Arial" w:eastAsia="Arial" w:hAnsi="Arial"/>
          <w:sz w:val="17"/>
          <w:szCs w:val="17"/>
          <w:color w:val="212529"/>
        </w:rPr>
      </w:pPr>
      <w:r>
        <w:rPr>
          <w:rFonts w:ascii="Arial" w:cs="Arial" w:eastAsia="Arial" w:hAnsi="Arial"/>
          <w:sz w:val="17"/>
          <w:szCs w:val="17"/>
          <w:color w:val="212529"/>
        </w:rPr>
        <w:t>risks and uncertainties affecting property development and construction (including, without limitation, construction delays, increased construction costs, cost overruns, inability to obtain necessary permits, tenant accounting considerations that may result in negotiated lease provisions that limit a tenant’s liability during construction, and public opposition to such activities);</w:t>
      </w:r>
    </w:p>
    <w:p>
      <w:pPr>
        <w:spacing w:after="0" w:line="69" w:lineRule="exact"/>
        <w:rPr>
          <w:rFonts w:ascii="Arial" w:cs="Arial" w:eastAsia="Arial" w:hAnsi="Arial"/>
          <w:sz w:val="17"/>
          <w:szCs w:val="17"/>
          <w:color w:val="212529"/>
        </w:rPr>
      </w:pPr>
    </w:p>
    <w:p>
      <w:pPr>
        <w:ind w:left="1280" w:right="500" w:hanging="635"/>
        <w:spacing w:after="0" w:line="281" w:lineRule="auto"/>
        <w:tabs>
          <w:tab w:leader="none" w:pos="1275" w:val="left"/>
        </w:tabs>
        <w:numPr>
          <w:ilvl w:val="0"/>
          <w:numId w:val="27"/>
        </w:numPr>
        <w:rPr>
          <w:rFonts w:ascii="Arial" w:cs="Arial" w:eastAsia="Arial" w:hAnsi="Arial"/>
          <w:sz w:val="17"/>
          <w:szCs w:val="17"/>
          <w:color w:val="212529"/>
        </w:rPr>
      </w:pPr>
      <w:r>
        <w:rPr>
          <w:rFonts w:ascii="Arial" w:cs="Arial" w:eastAsia="Arial" w:hAnsi="Arial"/>
          <w:sz w:val="17"/>
          <w:szCs w:val="17"/>
          <w:color w:val="212529"/>
        </w:rPr>
        <w:t>risks associated with the availability and terms of financing and the use of debt to fund acquisitions and developments or refinance existing indebtedness, including the impact of higher interest rates on the cost and/or availability of financing;</w:t>
      </w:r>
    </w:p>
    <w:p>
      <w:pPr>
        <w:spacing w:after="0" w:line="60" w:lineRule="exact"/>
        <w:rPr>
          <w:rFonts w:ascii="Arial" w:cs="Arial" w:eastAsia="Arial" w:hAnsi="Arial"/>
          <w:sz w:val="17"/>
          <w:szCs w:val="17"/>
          <w:color w:val="212529"/>
        </w:rPr>
      </w:pPr>
    </w:p>
    <w:p>
      <w:pPr>
        <w:ind w:left="1280" w:hanging="635"/>
        <w:spacing w:after="0"/>
        <w:tabs>
          <w:tab w:leader="none" w:pos="128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risks associated with forward interest rate contracts and the effectiveness of such arrangements;</w:t>
      </w:r>
    </w:p>
    <w:p>
      <w:pPr>
        <w:spacing w:after="0" w:line="85" w:lineRule="exact"/>
        <w:rPr>
          <w:rFonts w:ascii="Arial" w:cs="Arial" w:eastAsia="Arial" w:hAnsi="Arial"/>
          <w:sz w:val="18"/>
          <w:szCs w:val="18"/>
          <w:color w:val="212529"/>
        </w:rPr>
      </w:pPr>
    </w:p>
    <w:p>
      <w:pPr>
        <w:ind w:left="1280" w:right="140" w:hanging="635"/>
        <w:spacing w:after="0" w:line="252" w:lineRule="auto"/>
        <w:tabs>
          <w:tab w:leader="none" w:pos="1275"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risks associated with downturns in the national and local economies, increases in interest rates, and volatility in the securities markets;</w:t>
      </w:r>
    </w:p>
    <w:p>
      <w:pPr>
        <w:spacing w:after="0" w:line="83" w:lineRule="exact"/>
        <w:rPr>
          <w:rFonts w:ascii="Arial" w:cs="Arial" w:eastAsia="Arial" w:hAnsi="Arial"/>
          <w:sz w:val="18"/>
          <w:szCs w:val="18"/>
          <w:color w:val="212529"/>
        </w:rPr>
      </w:pPr>
    </w:p>
    <w:p>
      <w:pPr>
        <w:ind w:left="1280" w:hanging="635"/>
        <w:spacing w:after="0"/>
        <w:tabs>
          <w:tab w:leader="none" w:pos="128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risks associated with actual or threatened terrorist attacks;</w:t>
      </w:r>
    </w:p>
    <w:p>
      <w:pPr>
        <w:spacing w:after="0" w:line="98" w:lineRule="exact"/>
        <w:rPr>
          <w:rFonts w:ascii="Arial" w:cs="Arial" w:eastAsia="Arial" w:hAnsi="Arial"/>
          <w:sz w:val="18"/>
          <w:szCs w:val="18"/>
          <w:color w:val="212529"/>
        </w:rPr>
      </w:pPr>
    </w:p>
    <w:p>
      <w:pPr>
        <w:ind w:left="1280" w:hanging="635"/>
        <w:spacing w:after="0"/>
        <w:tabs>
          <w:tab w:leader="none" w:pos="128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costs of compliance with the Americans with Disabilities Act and other similar laws;</w:t>
      </w:r>
    </w:p>
    <w:p>
      <w:pPr>
        <w:spacing w:after="0" w:line="85" w:lineRule="exact"/>
        <w:rPr>
          <w:rFonts w:ascii="Arial" w:cs="Arial" w:eastAsia="Arial" w:hAnsi="Arial"/>
          <w:sz w:val="18"/>
          <w:szCs w:val="18"/>
          <w:color w:val="212529"/>
        </w:rPr>
      </w:pPr>
    </w:p>
    <w:p>
      <w:pPr>
        <w:ind w:left="1280" w:hanging="635"/>
        <w:spacing w:after="0"/>
        <w:tabs>
          <w:tab w:leader="none" w:pos="128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potential liability for uninsured losses and environmental contamination;</w:t>
      </w:r>
    </w:p>
    <w:p>
      <w:pPr>
        <w:spacing w:after="0" w:line="98" w:lineRule="exact"/>
        <w:rPr>
          <w:rFonts w:ascii="Arial" w:cs="Arial" w:eastAsia="Arial" w:hAnsi="Arial"/>
          <w:sz w:val="18"/>
          <w:szCs w:val="18"/>
          <w:color w:val="212529"/>
        </w:rPr>
      </w:pPr>
    </w:p>
    <w:p>
      <w:pPr>
        <w:ind w:left="1280" w:hanging="635"/>
        <w:spacing w:after="0"/>
        <w:tabs>
          <w:tab w:leader="none" w:pos="128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risks associated with the physical effects of climate change;</w:t>
      </w:r>
    </w:p>
    <w:p>
      <w:pPr>
        <w:spacing w:after="0" w:line="98" w:lineRule="exact"/>
        <w:rPr>
          <w:rFonts w:ascii="Arial" w:cs="Arial" w:eastAsia="Arial" w:hAnsi="Arial"/>
          <w:sz w:val="18"/>
          <w:szCs w:val="18"/>
          <w:color w:val="212529"/>
        </w:rPr>
      </w:pPr>
    </w:p>
    <w:p>
      <w:pPr>
        <w:ind w:left="1280" w:right="180" w:hanging="635"/>
        <w:spacing w:after="0" w:line="281" w:lineRule="auto"/>
        <w:tabs>
          <w:tab w:leader="none" w:pos="1275" w:val="left"/>
        </w:tabs>
        <w:numPr>
          <w:ilvl w:val="0"/>
          <w:numId w:val="27"/>
        </w:numPr>
        <w:rPr>
          <w:rFonts w:ascii="Arial" w:cs="Arial" w:eastAsia="Arial" w:hAnsi="Arial"/>
          <w:sz w:val="17"/>
          <w:szCs w:val="17"/>
          <w:color w:val="212529"/>
        </w:rPr>
      </w:pPr>
      <w:r>
        <w:rPr>
          <w:rFonts w:ascii="Arial" w:cs="Arial" w:eastAsia="Arial" w:hAnsi="Arial"/>
          <w:sz w:val="17"/>
          <w:szCs w:val="17"/>
          <w:color w:val="212529"/>
        </w:rPr>
        <w:t>risks associated with security breaches through cyber attacks, cyber intrusions or otherwise, as well as other significant disruptions of our information technology (IT) networks and related systems, which support our operations and our buildings;</w:t>
      </w:r>
    </w:p>
    <w:p>
      <w:pPr>
        <w:spacing w:after="0" w:line="47" w:lineRule="exact"/>
        <w:rPr>
          <w:rFonts w:ascii="Arial" w:cs="Arial" w:eastAsia="Arial" w:hAnsi="Arial"/>
          <w:sz w:val="17"/>
          <w:szCs w:val="17"/>
          <w:color w:val="212529"/>
        </w:rPr>
      </w:pPr>
    </w:p>
    <w:p>
      <w:pPr>
        <w:ind w:left="1280" w:hanging="635"/>
        <w:spacing w:after="0"/>
        <w:tabs>
          <w:tab w:leader="none" w:pos="128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risks associated with BXP’s potential failure to qualify as a REIT under the Internal Revenue Code of 1986, as amended;</w:t>
      </w:r>
    </w:p>
    <w:p>
      <w:pPr>
        <w:spacing w:after="0" w:line="98" w:lineRule="exact"/>
        <w:rPr>
          <w:rFonts w:ascii="Arial" w:cs="Arial" w:eastAsia="Arial" w:hAnsi="Arial"/>
          <w:sz w:val="18"/>
          <w:szCs w:val="18"/>
          <w:color w:val="212529"/>
        </w:rPr>
      </w:pPr>
    </w:p>
    <w:p>
      <w:pPr>
        <w:ind w:left="1280" w:hanging="635"/>
        <w:spacing w:after="0"/>
        <w:tabs>
          <w:tab w:leader="none" w:pos="128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possible adverse changes in tax and environmental laws;</w:t>
      </w:r>
    </w:p>
    <w:p>
      <w:pPr>
        <w:spacing w:after="0" w:line="98" w:lineRule="exact"/>
        <w:rPr>
          <w:rFonts w:ascii="Arial" w:cs="Arial" w:eastAsia="Arial" w:hAnsi="Arial"/>
          <w:sz w:val="18"/>
          <w:szCs w:val="18"/>
          <w:color w:val="212529"/>
        </w:rPr>
      </w:pPr>
    </w:p>
    <w:p>
      <w:pPr>
        <w:ind w:left="1280" w:right="80" w:hanging="635"/>
        <w:spacing w:after="0" w:line="252" w:lineRule="auto"/>
        <w:tabs>
          <w:tab w:leader="none" w:pos="1275"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the impact of newly adopted accounting principles on our accounting policies and on period-to-period comparisons of financial results;</w:t>
      </w:r>
    </w:p>
    <w:p>
      <w:pPr>
        <w:spacing w:after="0" w:line="70" w:lineRule="exact"/>
        <w:rPr>
          <w:rFonts w:ascii="Arial" w:cs="Arial" w:eastAsia="Arial" w:hAnsi="Arial"/>
          <w:sz w:val="18"/>
          <w:szCs w:val="18"/>
          <w:color w:val="212529"/>
        </w:rPr>
      </w:pPr>
    </w:p>
    <w:p>
      <w:pPr>
        <w:ind w:left="1280" w:hanging="635"/>
        <w:spacing w:after="0"/>
        <w:tabs>
          <w:tab w:leader="none" w:pos="128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risks associated with possible state and local tax audits;</w:t>
      </w:r>
    </w:p>
    <w:p>
      <w:pPr>
        <w:spacing w:after="0" w:line="98" w:lineRule="exact"/>
        <w:rPr>
          <w:rFonts w:ascii="Arial" w:cs="Arial" w:eastAsia="Arial" w:hAnsi="Arial"/>
          <w:sz w:val="18"/>
          <w:szCs w:val="18"/>
          <w:color w:val="212529"/>
        </w:rPr>
      </w:pPr>
    </w:p>
    <w:p>
      <w:pPr>
        <w:ind w:left="1280" w:hanging="635"/>
        <w:spacing w:after="0"/>
        <w:tabs>
          <w:tab w:leader="none" w:pos="128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risks associated with our dependence on key personnel whose continued service is not guaranteed; and</w:t>
      </w:r>
    </w:p>
    <w:p>
      <w:pPr>
        <w:spacing w:after="0" w:line="98" w:lineRule="exact"/>
        <w:rPr>
          <w:rFonts w:ascii="Arial" w:cs="Arial" w:eastAsia="Arial" w:hAnsi="Arial"/>
          <w:sz w:val="18"/>
          <w:szCs w:val="18"/>
          <w:color w:val="212529"/>
        </w:rPr>
      </w:pPr>
    </w:p>
    <w:p>
      <w:pPr>
        <w:ind w:left="1280" w:right="180" w:hanging="635"/>
        <w:spacing w:after="0" w:line="252" w:lineRule="auto"/>
        <w:tabs>
          <w:tab w:leader="none" w:pos="1275"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the other risk factors identified in our most recently filed Annual Report on Form 10-K for the fiscal year ended December 31, 2020 or described herein, including those under the caption “Risk Factors.”</w:t>
      </w:r>
    </w:p>
    <w:p>
      <w:pPr>
        <w:spacing w:after="0" w:line="230"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The risks set forth above are not exhaustive. Other sections of this report may include additional factors that could adversely affect our business and financial performance. Moreover, we operate in a very competitive and rapidly changing environment, particularly in light of the circumstances relating to COVID-19.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399"/>
        <w:spacing w:after="0" w:line="248" w:lineRule="auto"/>
        <w:rPr>
          <w:sz w:val="20"/>
          <w:szCs w:val="20"/>
          <w:color w:val="auto"/>
        </w:rPr>
      </w:pPr>
      <w:r>
        <w:rPr>
          <w:rFonts w:ascii="Arial" w:cs="Arial" w:eastAsia="Arial" w:hAnsi="Arial"/>
          <w:sz w:val="18"/>
          <w:szCs w:val="18"/>
          <w:color w:val="auto"/>
        </w:rPr>
        <w:t>BXP is one of the largest publicly traded office real estate investment trusts (REITs) (based on total market capitalization as of June 30, 2021) in the United States that develops, owns and manages primarily Class A office properties. Our properties are concentrated in five markets in the United States - Boston, Los Angeles, New York, San Francisco and Washington, DC - with the expected addition of Seattle as a sixth market in the third quarter of 2021. BPLP is the entity through which BXP conducts substantially all of its business and owns (either directly or through subsidiaries) substantially all of its assets. We generate revenue and cash primarily by leasing Class A</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office space to our tenants. When making leasing decisions, we consider, among other things, the creditworthiness of the tenant and the industry in which it conducts business, the length of the lease, the rental rate to be paid at inception and throughout the lease term, the costs of tenant improvements, free rent periods and other landlord concessions, anticipated operating expenses and real estate taxes, current and anticipated vacancy in our properties and the market overall (including sublease space), current and expected future demand for the space, the impact of any expansion rights and general economic factors.</w:t>
      </w:r>
    </w:p>
    <w:p>
      <w:pPr>
        <w:spacing w:after="0" w:line="154" w:lineRule="exact"/>
        <w:rPr>
          <w:sz w:val="20"/>
          <w:szCs w:val="20"/>
          <w:color w:val="auto"/>
        </w:rPr>
      </w:pPr>
    </w:p>
    <w:p>
      <w:pPr>
        <w:ind w:right="40" w:firstLine="399"/>
        <w:spacing w:after="0" w:line="247" w:lineRule="auto"/>
        <w:rPr>
          <w:sz w:val="20"/>
          <w:szCs w:val="20"/>
          <w:color w:val="auto"/>
        </w:rPr>
      </w:pPr>
      <w:r>
        <w:rPr>
          <w:rFonts w:ascii="Arial" w:cs="Arial" w:eastAsia="Arial" w:hAnsi="Arial"/>
          <w:sz w:val="18"/>
          <w:szCs w:val="18"/>
          <w:color w:val="auto"/>
        </w:rPr>
        <w:t>Our core strategy has always been to develop, acquire and manage high-quality properties in supply-constrained markets with high barriers-to-entry and to focus on executing long-term leases with financially strong tenants. Historically, these factors have minimized our exposure in weaker economic cycles and enhanced revenues as market conditions improve. Our tenant base is diverse across market sectors and the weighted-average lease term for our in-place leases, excluding residential units, was approximately 7.6 years, as of June 30, 2021, including leases signed by our unconsolidated joint ventures. The weighted-average lease term for our top 20 office tenants was approximately 11 years as of June 30, 2021.</w:t>
      </w:r>
    </w:p>
    <w:p>
      <w:pPr>
        <w:spacing w:after="0" w:line="158" w:lineRule="exact"/>
        <w:rPr>
          <w:sz w:val="20"/>
          <w:szCs w:val="20"/>
          <w:color w:val="auto"/>
        </w:rPr>
      </w:pPr>
    </w:p>
    <w:p>
      <w:pPr>
        <w:ind w:right="240" w:firstLine="399"/>
        <w:spacing w:after="0" w:line="252" w:lineRule="auto"/>
        <w:rPr>
          <w:sz w:val="20"/>
          <w:szCs w:val="20"/>
          <w:color w:val="auto"/>
        </w:rPr>
      </w:pPr>
      <w:r>
        <w:rPr>
          <w:rFonts w:ascii="Arial" w:cs="Arial" w:eastAsia="Arial" w:hAnsi="Arial"/>
          <w:sz w:val="18"/>
          <w:szCs w:val="18"/>
          <w:color w:val="auto"/>
        </w:rPr>
        <w:t>To be successful in any leasing environment, we believe we must consider all aspects of the tenant-landlord relationship. In this regard, we believe that our competitive leasing advantage is based on the following attributes:</w:t>
      </w:r>
    </w:p>
    <w:p>
      <w:pPr>
        <w:spacing w:after="0" w:line="150" w:lineRule="exact"/>
        <w:rPr>
          <w:sz w:val="20"/>
          <w:szCs w:val="20"/>
          <w:color w:val="auto"/>
        </w:rPr>
      </w:pPr>
    </w:p>
    <w:p>
      <w:pPr>
        <w:ind w:left="640" w:hanging="315"/>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understanding of tenants’ short- and long-term space utilization and amenity needs in the local markets;</w:t>
      </w:r>
    </w:p>
    <w:p>
      <w:pPr>
        <w:spacing w:after="0" w:line="85" w:lineRule="exact"/>
        <w:rPr>
          <w:rFonts w:ascii="Arial" w:cs="Arial" w:eastAsia="Arial" w:hAnsi="Arial"/>
          <w:sz w:val="18"/>
          <w:szCs w:val="18"/>
          <w:color w:val="auto"/>
        </w:rPr>
      </w:pPr>
    </w:p>
    <w:p>
      <w:pPr>
        <w:ind w:left="640" w:hanging="315"/>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track record of developing and operating Class A office properties in a sustainable and responsible manner;</w:t>
      </w:r>
    </w:p>
    <w:p>
      <w:pPr>
        <w:spacing w:after="0" w:line="98" w:lineRule="exact"/>
        <w:rPr>
          <w:rFonts w:ascii="Arial" w:cs="Arial" w:eastAsia="Arial" w:hAnsi="Arial"/>
          <w:sz w:val="18"/>
          <w:szCs w:val="18"/>
          <w:color w:val="auto"/>
        </w:rPr>
      </w:pPr>
    </w:p>
    <w:p>
      <w:pPr>
        <w:ind w:left="640" w:hanging="315"/>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as a premier developer, owner and manager of primarily Class A office properties;</w:t>
      </w:r>
    </w:p>
    <w:p>
      <w:pPr>
        <w:spacing w:after="0" w:line="98" w:lineRule="exact"/>
        <w:rPr>
          <w:rFonts w:ascii="Arial" w:cs="Arial" w:eastAsia="Arial" w:hAnsi="Arial"/>
          <w:sz w:val="18"/>
          <w:szCs w:val="18"/>
          <w:color w:val="auto"/>
        </w:rPr>
      </w:pPr>
    </w:p>
    <w:p>
      <w:pPr>
        <w:ind w:left="640" w:hanging="315"/>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financial strength and our ability to maintain high building standards; and</w:t>
      </w:r>
    </w:p>
    <w:p>
      <w:pPr>
        <w:spacing w:after="0" w:line="85" w:lineRule="exact"/>
        <w:rPr>
          <w:rFonts w:ascii="Arial" w:cs="Arial" w:eastAsia="Arial" w:hAnsi="Arial"/>
          <w:sz w:val="18"/>
          <w:szCs w:val="18"/>
          <w:color w:val="auto"/>
        </w:rPr>
      </w:pPr>
    </w:p>
    <w:p>
      <w:pPr>
        <w:ind w:left="640" w:hanging="315"/>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relationships with local brokers.</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320" w:firstLine="439"/>
        <w:spacing w:after="0" w:line="247" w:lineRule="auto"/>
        <w:rPr>
          <w:sz w:val="20"/>
          <w:szCs w:val="20"/>
          <w:color w:val="auto"/>
        </w:rPr>
      </w:pPr>
      <w:r>
        <w:rPr>
          <w:rFonts w:ascii="Arial" w:cs="Arial" w:eastAsia="Arial" w:hAnsi="Arial"/>
          <w:sz w:val="18"/>
          <w:szCs w:val="18"/>
          <w:color w:val="auto"/>
        </w:rPr>
        <w:t>Employment growth, economic growth and low interest rates typically create a positive environment for real estate performance, particularly for companies in the office sector. Following a significant drop in U.S. GDP in 2020 due to the COVID-19 pandemic, overall economic conditions began to improve in the first half of 2021 as millions of Americans began receiving COVID-19 vaccines. The second quarter of 2021 marked ongoing economic improvement both year-over-year compared to the second quarter of 2020 and sequentially as compared to the first quarter of 2021. In the second quarter of 2021, GDP growth was 6.5%, an increase as compared to the first quarter of 2021, and the unemployment rate was approximately 5.9%, only 2.4% greater than the pre-pandemic rate in February 2020.</w:t>
      </w:r>
    </w:p>
    <w:p>
      <w:pPr>
        <w:spacing w:after="0" w:line="158" w:lineRule="exact"/>
        <w:rPr>
          <w:sz w:val="20"/>
          <w:szCs w:val="20"/>
          <w:color w:val="auto"/>
        </w:rPr>
      </w:pPr>
    </w:p>
    <w:p>
      <w:pPr>
        <w:ind w:right="20" w:firstLine="439"/>
        <w:spacing w:after="0" w:line="247" w:lineRule="auto"/>
        <w:rPr>
          <w:sz w:val="20"/>
          <w:szCs w:val="20"/>
          <w:color w:val="auto"/>
        </w:rPr>
      </w:pPr>
      <w:r>
        <w:rPr>
          <w:rFonts w:ascii="Arial" w:cs="Arial" w:eastAsia="Arial" w:hAnsi="Arial"/>
          <w:sz w:val="18"/>
          <w:szCs w:val="18"/>
          <w:color w:val="auto"/>
        </w:rPr>
        <w:t>As the economic recovery continues, many companies are evaluating their space requirements based on their current and projected headcounts and employees’ desire for more work-location flexibility. We believe as the number of vaccinations increases and employees return to their offices in greater numbers, our strategically located, high-quality office properties will remain a vital component of the strategies of today’s forward-thinking organizations that prioritize fostering collaboration, innovation, productivity and culture, and we expect tenants will take advantage of the availability of Class A space and upgrade. We believe these factors combined to result in improved leasing activity during the second quarter of 2021, with signed leases having terms consistent with our historical averages.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BXP Priorities</w:t>
      </w:r>
    </w:p>
    <w:p>
      <w:pPr>
        <w:spacing w:after="0" w:line="117" w:lineRule="exact"/>
        <w:rPr>
          <w:sz w:val="20"/>
          <w:szCs w:val="20"/>
          <w:color w:val="auto"/>
        </w:rPr>
      </w:pPr>
    </w:p>
    <w:p>
      <w:pPr>
        <w:jc w:val="both"/>
        <w:ind w:right="220" w:firstLine="439"/>
        <w:spacing w:after="0" w:line="249" w:lineRule="auto"/>
        <w:rPr>
          <w:sz w:val="20"/>
          <w:szCs w:val="20"/>
          <w:color w:val="auto"/>
        </w:rPr>
      </w:pPr>
      <w:r>
        <w:rPr>
          <w:rFonts w:ascii="Arial" w:cs="Arial" w:eastAsia="Arial" w:hAnsi="Arial"/>
          <w:sz w:val="18"/>
          <w:szCs w:val="18"/>
          <w:color w:val="auto"/>
        </w:rPr>
        <w:t>Despite the concerns surrounding the COVID-19 pandemic and the lingering impact on economic conditions in our markets, we remain optimistic for our industry generally and our company in particular, given low interest rates, the demand for workers across sectors, the high quality of our properties, the supply and demand characteristics of our markets and the success of our development efforts.</w:t>
      </w:r>
    </w:p>
    <w:p>
      <w:pPr>
        <w:spacing w:after="0" w:line="154" w:lineRule="exact"/>
        <w:rPr>
          <w:sz w:val="20"/>
          <w:szCs w:val="20"/>
          <w:color w:val="auto"/>
        </w:rPr>
      </w:pPr>
    </w:p>
    <w:p>
      <w:pPr>
        <w:jc w:val="both"/>
        <w:ind w:right="220" w:firstLine="439"/>
        <w:spacing w:after="0" w:line="252" w:lineRule="auto"/>
        <w:rPr>
          <w:sz w:val="20"/>
          <w:szCs w:val="20"/>
          <w:color w:val="auto"/>
        </w:rPr>
      </w:pPr>
      <w:r>
        <w:rPr>
          <w:rFonts w:ascii="Arial" w:cs="Arial" w:eastAsia="Arial" w:hAnsi="Arial"/>
          <w:sz w:val="18"/>
          <w:szCs w:val="18"/>
          <w:color w:val="auto"/>
        </w:rPr>
        <w:t>As a leading developer, owner and manager of marquee Class A office properties in the United States, our priorities remain focused on the following:</w:t>
      </w:r>
    </w:p>
    <w:p>
      <w:pPr>
        <w:spacing w:after="0" w:line="150" w:lineRule="exact"/>
        <w:rPr>
          <w:sz w:val="20"/>
          <w:szCs w:val="20"/>
          <w:color w:val="auto"/>
        </w:rPr>
      </w:pPr>
    </w:p>
    <w:p>
      <w:pPr>
        <w:ind w:left="640" w:hanging="235"/>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ensuring tenant health, safety and satisfaction;</w:t>
      </w:r>
    </w:p>
    <w:p>
      <w:pPr>
        <w:spacing w:after="0" w:line="85" w:lineRule="exact"/>
        <w:rPr>
          <w:rFonts w:ascii="Arial" w:cs="Arial" w:eastAsia="Arial" w:hAnsi="Arial"/>
          <w:sz w:val="18"/>
          <w:szCs w:val="18"/>
          <w:color w:val="auto"/>
        </w:rPr>
      </w:pPr>
    </w:p>
    <w:p>
      <w:pPr>
        <w:ind w:left="640" w:hanging="235"/>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leasing available space in our in-service and development properties, as well as proactively focusing on future lease expirations;</w:t>
      </w:r>
    </w:p>
    <w:p>
      <w:pPr>
        <w:spacing w:after="0" w:line="98" w:lineRule="exact"/>
        <w:rPr>
          <w:rFonts w:ascii="Arial" w:cs="Arial" w:eastAsia="Arial" w:hAnsi="Arial"/>
          <w:sz w:val="18"/>
          <w:szCs w:val="18"/>
          <w:color w:val="auto"/>
        </w:rPr>
      </w:pPr>
    </w:p>
    <w:p>
      <w:pPr>
        <w:ind w:left="640" w:hanging="235"/>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completing the construction of our development properties;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160" w:hanging="235"/>
        <w:spacing w:after="0" w:line="252"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continuing and completing the redevelopment and repositioning of several key properties to increase future revenue and asset values over the long-term;</w:t>
      </w:r>
    </w:p>
    <w:p>
      <w:pPr>
        <w:spacing w:after="0" w:line="70" w:lineRule="exact"/>
        <w:rPr>
          <w:rFonts w:ascii="Arial" w:cs="Arial" w:eastAsia="Arial" w:hAnsi="Arial"/>
          <w:sz w:val="18"/>
          <w:szCs w:val="18"/>
          <w:color w:val="auto"/>
        </w:rPr>
      </w:pPr>
    </w:p>
    <w:p>
      <w:pPr>
        <w:ind w:left="640" w:hanging="235"/>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discipline in our underwriting of investment opportunities;</w:t>
      </w:r>
    </w:p>
    <w:p>
      <w:pPr>
        <w:spacing w:after="0" w:line="98" w:lineRule="exact"/>
        <w:rPr>
          <w:rFonts w:ascii="Arial" w:cs="Arial" w:eastAsia="Arial" w:hAnsi="Arial"/>
          <w:sz w:val="18"/>
          <w:szCs w:val="18"/>
          <w:color w:val="auto"/>
        </w:rPr>
      </w:pPr>
    </w:p>
    <w:p>
      <w:pPr>
        <w:ind w:left="640" w:hanging="235"/>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our near-term debt maturities and maintaining our conservative balance sheet; and</w:t>
      </w:r>
    </w:p>
    <w:p>
      <w:pPr>
        <w:spacing w:after="0" w:line="98" w:lineRule="exact"/>
        <w:rPr>
          <w:rFonts w:ascii="Arial" w:cs="Arial" w:eastAsia="Arial" w:hAnsi="Arial"/>
          <w:sz w:val="18"/>
          <w:szCs w:val="18"/>
          <w:color w:val="auto"/>
        </w:rPr>
      </w:pPr>
    </w:p>
    <w:p>
      <w:pPr>
        <w:ind w:left="640" w:hanging="235"/>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actively managing our operations in a sustainable and responsible manner.</w:t>
      </w:r>
    </w:p>
    <w:p>
      <w:pPr>
        <w:spacing w:after="0" w:line="272" w:lineRule="exact"/>
        <w:rPr>
          <w:sz w:val="20"/>
          <w:szCs w:val="20"/>
          <w:color w:val="auto"/>
        </w:rPr>
      </w:pPr>
    </w:p>
    <w:p>
      <w:pPr>
        <w:ind w:left="440" w:right="1100" w:firstLine="199"/>
        <w:spacing w:after="0" w:line="385" w:lineRule="auto"/>
        <w:rPr>
          <w:sz w:val="20"/>
          <w:szCs w:val="20"/>
          <w:color w:val="auto"/>
        </w:rPr>
      </w:pPr>
      <w:r>
        <w:rPr>
          <w:rFonts w:ascii="Arial" w:cs="Arial" w:eastAsia="Arial" w:hAnsi="Arial"/>
          <w:sz w:val="18"/>
          <w:szCs w:val="18"/>
          <w:color w:val="auto"/>
        </w:rPr>
        <w:t xml:space="preserve">The following is an overview of portfolio activity, leasing activity and capital markets activity in the second quarter of 2021. </w:t>
      </w:r>
      <w:r>
        <w:rPr>
          <w:rFonts w:ascii="Arial" w:cs="Arial" w:eastAsia="Arial" w:hAnsi="Arial"/>
          <w:sz w:val="18"/>
          <w:szCs w:val="18"/>
          <w:i w:val="1"/>
          <w:iCs w:val="1"/>
          <w:color w:val="auto"/>
        </w:rPr>
        <w:t>Leasing Activity and Occupancy</w:t>
      </w:r>
    </w:p>
    <w:p>
      <w:pPr>
        <w:spacing w:after="0" w:line="1" w:lineRule="exact"/>
        <w:rPr>
          <w:sz w:val="20"/>
          <w:szCs w:val="20"/>
          <w:color w:val="auto"/>
        </w:rPr>
      </w:pPr>
    </w:p>
    <w:p>
      <w:pPr>
        <w:ind w:right="20" w:firstLine="439"/>
        <w:spacing w:after="0" w:line="247" w:lineRule="auto"/>
        <w:rPr>
          <w:sz w:val="20"/>
          <w:szCs w:val="20"/>
          <w:color w:val="auto"/>
        </w:rPr>
      </w:pPr>
      <w:r>
        <w:rPr>
          <w:rFonts w:ascii="Arial" w:cs="Arial" w:eastAsia="Arial" w:hAnsi="Arial"/>
          <w:sz w:val="18"/>
          <w:szCs w:val="18"/>
          <w:color w:val="auto"/>
        </w:rPr>
        <w:t>When compared to periods prior to the pandemic, our second quarter 2021 revenue continued to be adversely affected due to (1) declines in revenue from our retail tenants, parking and our hotel, and (2) a decline in occupancy in our in-service office and retail properties due to a slowdown in new leasing activity for vacant and expiring space. However, in the second quarter of 2021, as vaccination rates in our markets increased and economic conditions began to improve, we began to see meaningful growth in tour and leasing activity across the portfolio and increases in revenue from our retail tenants, parking and our hotel as compared to the second quarter of 2020 and the first quarter of 2021, indicating that these revenue streams are slowly beginning to recover.</w:t>
      </w:r>
    </w:p>
    <w:p>
      <w:pPr>
        <w:spacing w:after="0" w:line="158" w:lineRule="exact"/>
        <w:rPr>
          <w:sz w:val="20"/>
          <w:szCs w:val="20"/>
          <w:color w:val="auto"/>
        </w:rPr>
      </w:pPr>
    </w:p>
    <w:p>
      <w:pPr>
        <w:ind w:firstLine="439"/>
        <w:spacing w:after="0" w:line="265" w:lineRule="auto"/>
        <w:rPr>
          <w:sz w:val="20"/>
          <w:szCs w:val="20"/>
          <w:color w:val="auto"/>
        </w:rPr>
      </w:pPr>
      <w:r>
        <w:rPr>
          <w:rFonts w:ascii="Arial" w:cs="Arial" w:eastAsia="Arial" w:hAnsi="Arial"/>
          <w:sz w:val="17"/>
          <w:szCs w:val="17"/>
          <w:color w:val="auto"/>
        </w:rPr>
        <w:t>Lease revenue from our retail leases was approximately $42.3 million in the second quarter of 2021, a decrease of $3.4 million from the first quarter of 2021. However, lease revenue in the first quarter of 2021 included approximately $4.5 million of lease termination income, compared to termination income of approximately $0.8 million in the second quarter of 2021. Excluding termination income in both quarters, our revenue from retail leases increased approximately $0.3 million from the first quarter of 2021. These amount represents our consolidated lease revenue plus our share of the lease revenue from the unconsolidated joint ventures (calculated based on our ownership percentage) minus our partners’ share of lease revenue from our consolidated joint ventures (calculated based upon the partners’ percentage ownership interests).</w:t>
      </w:r>
    </w:p>
    <w:p>
      <w:pPr>
        <w:spacing w:after="0" w:line="141" w:lineRule="exact"/>
        <w:rPr>
          <w:sz w:val="20"/>
          <w:szCs w:val="20"/>
          <w:color w:val="auto"/>
        </w:rPr>
      </w:pPr>
    </w:p>
    <w:p>
      <w:pPr>
        <w:ind w:right="80" w:firstLine="439"/>
        <w:spacing w:after="0" w:line="248" w:lineRule="auto"/>
        <w:rPr>
          <w:sz w:val="20"/>
          <w:szCs w:val="20"/>
          <w:color w:val="auto"/>
        </w:rPr>
      </w:pPr>
      <w:r>
        <w:rPr>
          <w:rFonts w:ascii="Arial" w:cs="Arial" w:eastAsia="Arial" w:hAnsi="Arial"/>
          <w:sz w:val="18"/>
          <w:szCs w:val="18"/>
          <w:color w:val="auto"/>
        </w:rPr>
        <w:t>Our parking and other revenue was approximately $17.9 million in the second quarter of 2021, an increase of approximately $3.9 million from the second quarter of 2020 and an increase of approximately $3.4 million from the first quarter of 2021. The increase was primarily due to improved transient parking. We do not expect to return to pre-pandemic levels of parking revenue until the COVID-19 pandemic is sufficiently contained and monthly parking permits increase.</w:t>
      </w:r>
    </w:p>
    <w:p>
      <w:pPr>
        <w:spacing w:after="0" w:line="155" w:lineRule="exact"/>
        <w:rPr>
          <w:sz w:val="20"/>
          <w:szCs w:val="20"/>
          <w:color w:val="auto"/>
        </w:rPr>
      </w:pPr>
    </w:p>
    <w:p>
      <w:pPr>
        <w:ind w:right="80" w:firstLine="439"/>
        <w:spacing w:after="0" w:line="268" w:lineRule="auto"/>
        <w:rPr>
          <w:sz w:val="20"/>
          <w:szCs w:val="20"/>
          <w:color w:val="auto"/>
        </w:rPr>
      </w:pPr>
      <w:r>
        <w:rPr>
          <w:rFonts w:ascii="Arial" w:cs="Arial" w:eastAsia="Arial" w:hAnsi="Arial"/>
          <w:sz w:val="17"/>
          <w:szCs w:val="17"/>
          <w:color w:val="auto"/>
        </w:rPr>
        <w:t>Our hotel property, the Boston Marriott Cambridge, is currently operating at diminished occupancy. The hotel generated only approximately $1.6 million in revenue in the second quarter of 2021, an increase of approximately $1.5 million compared to the second quarter of 2020 and an increase of approximately $0.9 million compared to the first quarter of 2021. While this increase marks an improvement, we expect hotel occupancy and REVPAR to remain below pre-pandemic levels until business and leisure travel return to historical levels.</w:t>
      </w:r>
    </w:p>
    <w:p>
      <w:pPr>
        <w:spacing w:after="0" w:line="137" w:lineRule="exact"/>
        <w:rPr>
          <w:sz w:val="20"/>
          <w:szCs w:val="20"/>
          <w:color w:val="auto"/>
        </w:rPr>
      </w:pPr>
    </w:p>
    <w:p>
      <w:pPr>
        <w:ind w:right="120" w:firstLine="439"/>
        <w:spacing w:after="0" w:line="252" w:lineRule="auto"/>
        <w:rPr>
          <w:sz w:val="20"/>
          <w:szCs w:val="20"/>
          <w:color w:val="auto"/>
        </w:rPr>
      </w:pPr>
      <w:r>
        <w:rPr>
          <w:rFonts w:ascii="Arial" w:cs="Arial" w:eastAsia="Arial" w:hAnsi="Arial"/>
          <w:sz w:val="18"/>
          <w:szCs w:val="18"/>
          <w:color w:val="auto"/>
        </w:rPr>
        <w:t>The overall occupancy of our in-service office and retail properties was 88.6% at June 30, 2021, a decrease of 0.1% compared to 88.7% at March 31, 2021.</w:t>
      </w:r>
    </w:p>
    <w:p>
      <w:pPr>
        <w:spacing w:after="0" w:line="150" w:lineRule="exact"/>
        <w:rPr>
          <w:sz w:val="20"/>
          <w:szCs w:val="20"/>
          <w:color w:val="auto"/>
        </w:rPr>
      </w:pPr>
    </w:p>
    <w:p>
      <w:pPr>
        <w:ind w:right="140" w:firstLine="439"/>
        <w:spacing w:after="0" w:line="247" w:lineRule="auto"/>
        <w:rPr>
          <w:sz w:val="20"/>
          <w:szCs w:val="20"/>
          <w:color w:val="auto"/>
        </w:rPr>
      </w:pPr>
      <w:r>
        <w:rPr>
          <w:rFonts w:ascii="Arial" w:cs="Arial" w:eastAsia="Arial" w:hAnsi="Arial"/>
          <w:sz w:val="18"/>
          <w:szCs w:val="18"/>
          <w:color w:val="auto"/>
        </w:rPr>
        <w:t>In the second quarter of 2021, we signed approximately 1.2 million square feet of new leases and renewals with a weighted-average lease term of approximately 7.5 years, indicating that many prospective and existing tenants continue to commit to the long-term use of space and view our properties as their preferred choice for a premium Class A office environment. The volume of leasing in the second quarter of 2021 was more than double the volume achieved in the first quarter of 2021 and only 10% below our long-term second quarter average. We expect leasing volume in 2021 to remain below pre-pandemic levels as many existing and prospective tenants defer decisions on their office space needs as they focus on workforce management strategies, safely returning their employees to an in-person work environment and managing their businesses through the economic recovery.</w:t>
      </w:r>
    </w:p>
    <w:p>
      <w:pPr>
        <w:spacing w:after="0" w:line="158" w:lineRule="exact"/>
        <w:rPr>
          <w:sz w:val="20"/>
          <w:szCs w:val="20"/>
          <w:color w:val="auto"/>
        </w:rPr>
      </w:pPr>
    </w:p>
    <w:p>
      <w:pPr>
        <w:ind w:right="220" w:firstLine="439"/>
        <w:spacing w:after="0" w:line="249" w:lineRule="auto"/>
        <w:rPr>
          <w:sz w:val="20"/>
          <w:szCs w:val="20"/>
          <w:color w:val="auto"/>
        </w:rPr>
      </w:pPr>
      <w:r>
        <w:rPr>
          <w:rFonts w:ascii="Arial" w:cs="Arial" w:eastAsia="Arial" w:hAnsi="Arial"/>
          <w:sz w:val="18"/>
          <w:szCs w:val="18"/>
          <w:color w:val="auto"/>
        </w:rPr>
        <w:t>We anticipate occupancy for the remainder of 2021 will be relatively steady with occupancy for the second quarter of 2021, as our remaining 2021 lease expirations are backfilled by signed leases that have not yet commenced and we are actively pursuing new leases and lease renewals.</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Investment Activity</w:t>
      </w:r>
    </w:p>
    <w:p>
      <w:pPr>
        <w:spacing w:after="0" w:line="117" w:lineRule="exact"/>
        <w:rPr>
          <w:sz w:val="20"/>
          <w:szCs w:val="20"/>
          <w:color w:val="auto"/>
        </w:rPr>
      </w:pPr>
    </w:p>
    <w:p>
      <w:pPr>
        <w:ind w:right="260" w:firstLine="439"/>
        <w:spacing w:after="0" w:line="252" w:lineRule="auto"/>
        <w:rPr>
          <w:sz w:val="20"/>
          <w:szCs w:val="20"/>
          <w:color w:val="auto"/>
        </w:rPr>
      </w:pPr>
      <w:r>
        <w:rPr>
          <w:rFonts w:ascii="Arial" w:cs="Arial" w:eastAsia="Arial" w:hAnsi="Arial"/>
          <w:sz w:val="18"/>
          <w:szCs w:val="18"/>
          <w:color w:val="auto"/>
        </w:rPr>
        <w:t>We remain committed to developing and acquiring assets to enhance our long-term growth and to meet tenant demand for high-quality office and lab space. We continually evaluate current and prospective markets for possible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00"/>
        <w:spacing w:after="0" w:line="252" w:lineRule="auto"/>
        <w:rPr>
          <w:sz w:val="20"/>
          <w:szCs w:val="20"/>
          <w:color w:val="auto"/>
        </w:rPr>
      </w:pPr>
      <w:r>
        <w:rPr>
          <w:rFonts w:ascii="Arial" w:cs="Arial" w:eastAsia="Arial" w:hAnsi="Arial"/>
          <w:sz w:val="18"/>
          <w:szCs w:val="18"/>
          <w:color w:val="auto"/>
        </w:rPr>
        <w:t>acquisitions of “value-add” assets that require lease-up or repositioning, and acquisitions that are otherwise consistent with our long-term strategy of owning, managing, developing and improving, premier Class A properties in each of our chosen markets.</w:t>
      </w:r>
    </w:p>
    <w:p>
      <w:pPr>
        <w:spacing w:after="0" w:line="150" w:lineRule="exact"/>
        <w:rPr>
          <w:sz w:val="20"/>
          <w:szCs w:val="20"/>
          <w:color w:val="auto"/>
        </w:rPr>
      </w:pPr>
    </w:p>
    <w:p>
      <w:pPr>
        <w:ind w:right="140" w:firstLine="439"/>
        <w:spacing w:after="0" w:line="248" w:lineRule="auto"/>
        <w:rPr>
          <w:sz w:val="20"/>
          <w:szCs w:val="20"/>
          <w:color w:val="auto"/>
        </w:rPr>
      </w:pPr>
      <w:r>
        <w:rPr>
          <w:rFonts w:ascii="Arial" w:cs="Arial" w:eastAsia="Arial" w:hAnsi="Arial"/>
          <w:sz w:val="18"/>
          <w:szCs w:val="18"/>
          <w:color w:val="auto"/>
        </w:rPr>
        <w:t>Since the beginning of the second quarter of 2021, we have entered into agreements to acquire four properties. We believe these investments align with several elements of our growth strategy, including entering new markets or submarkets that exhibit strong demand and limitations on supply, uncovering opportunities that utilize our leasing and redevelopment skills to increase value, broadening our portfolio to meet the current and anticipated future demand of tenants in the life sciences sector and utilizing private equity to increase our returns and enhance our investment capacity. The four recent acquisitions and pending acquisitions include:</w:t>
      </w:r>
    </w:p>
    <w:p>
      <w:pPr>
        <w:spacing w:after="0" w:line="154" w:lineRule="exact"/>
        <w:rPr>
          <w:sz w:val="20"/>
          <w:szCs w:val="20"/>
          <w:color w:val="auto"/>
        </w:rPr>
      </w:pPr>
    </w:p>
    <w:p>
      <w:pPr>
        <w:ind w:left="640" w:right="20" w:hanging="235"/>
        <w:spacing w:after="0" w:line="248"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Safeco Plaza, an approximately 800,000 square-foot Class A office building in Seattle, Washington. The property is approximately 90% leased. This potential acquisition marks our initial entry into the Seattle market, one of the most vibrant markets in the U.S. for companies in the technology, life sciences, manufacturing and financial services sectors. We expect to close the acquisition in the third quarter of 2021 for a purchase price of approximately $465 million. We expect to purchase this in a joint venture and to hold up to a 51% ownership in the property.</w:t>
      </w:r>
    </w:p>
    <w:p>
      <w:pPr>
        <w:spacing w:after="0" w:line="153" w:lineRule="exact"/>
        <w:rPr>
          <w:rFonts w:ascii="Arial" w:cs="Arial" w:eastAsia="Arial" w:hAnsi="Arial"/>
          <w:sz w:val="18"/>
          <w:szCs w:val="18"/>
          <w:color w:val="auto"/>
        </w:rPr>
      </w:pPr>
    </w:p>
    <w:p>
      <w:pPr>
        <w:ind w:left="640" w:hanging="235"/>
        <w:spacing w:after="0" w:line="248"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360 Park Avenue South, an approximately 450,000 square-foot, 20-story Class A office property located in the Midtown South submarket of Manhattan, New York. The property is fully leased to a single tenant who will be vacating in late 2021, providing us with the opportunity to complete extensive upgrades and transform the property into a premier modern building that will attract Class A clients. We expect to close the acquisition in the fourth quarter of 2021 for a purchase price of approximately $300 million, including the assumption of approximately $202 million of debt and the issuance of approximately $98 million of operating partnership units.</w:t>
      </w:r>
    </w:p>
    <w:p>
      <w:pPr>
        <w:spacing w:after="0" w:line="153" w:lineRule="exact"/>
        <w:rPr>
          <w:rFonts w:ascii="Arial" w:cs="Arial" w:eastAsia="Arial" w:hAnsi="Arial"/>
          <w:sz w:val="18"/>
          <w:szCs w:val="18"/>
          <w:color w:val="auto"/>
        </w:rPr>
      </w:pPr>
    </w:p>
    <w:p>
      <w:pPr>
        <w:ind w:left="640" w:right="120" w:hanging="235"/>
        <w:spacing w:after="0" w:line="248"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Shady Grove Bio+Tech Campus, consisting of seven buildings totaling approximately 435,000 square-feet in the Shady Grove area of Rockville, Maryland, a region that is home to more than 400 companies in the biotechnology and life sciences sector. We plan to convert the office buildings on the campus to lab space to meet current and growing demand in the region from biotechnology companies for new, Class A lab space. We expect to begin reconstruction on three of the buildings, which are currently vacant, promptly after closing. On August 2, 2021, we closed on this acquisition for a purchase price of approximately $116.5 million.</w:t>
      </w:r>
    </w:p>
    <w:p>
      <w:pPr>
        <w:spacing w:after="0" w:line="153" w:lineRule="exact"/>
        <w:rPr>
          <w:rFonts w:ascii="Arial" w:cs="Arial" w:eastAsia="Arial" w:hAnsi="Arial"/>
          <w:sz w:val="18"/>
          <w:szCs w:val="18"/>
          <w:color w:val="auto"/>
        </w:rPr>
      </w:pPr>
    </w:p>
    <w:p>
      <w:pPr>
        <w:ind w:left="640" w:right="20" w:hanging="235"/>
        <w:spacing w:after="0" w:line="248"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153 &amp; 211 Second Avenue, two lab properties comprising approximately 137,000 square-feet in Waltham, Massachusetts, a highly desirable location for leading and emerging companies in the life sciences and biotechnology sector. We acquired the two lab buildings in June 2021 for a gross purchase price of approximately $100.2 million in cash. The properties were 100% leased as of June 30, 2021.</w:t>
      </w:r>
    </w:p>
    <w:p>
      <w:pPr>
        <w:spacing w:after="0" w:line="155" w:lineRule="exact"/>
        <w:rPr>
          <w:sz w:val="20"/>
          <w:szCs w:val="20"/>
          <w:color w:val="auto"/>
        </w:rPr>
      </w:pPr>
    </w:p>
    <w:p>
      <w:pPr>
        <w:ind w:right="80" w:firstLine="439"/>
        <w:spacing w:after="0" w:line="247" w:lineRule="auto"/>
        <w:rPr>
          <w:sz w:val="20"/>
          <w:szCs w:val="20"/>
          <w:color w:val="auto"/>
        </w:rPr>
      </w:pPr>
      <w:r>
        <w:rPr>
          <w:rFonts w:ascii="Arial" w:cs="Arial" w:eastAsia="Arial" w:hAnsi="Arial"/>
          <w:sz w:val="18"/>
          <w:szCs w:val="18"/>
          <w:color w:val="auto"/>
        </w:rPr>
        <w:t>These strategic value-add acquisitions and pending acquisitions complement our focus on development and redevelopment, which also continues to be a cornerstone of our long-term growth strategy, specifically focused on properties in supply-constrained markets with the strongest economic growth over time. In the second quarter of 2021, we continued the construction of our developments and redevelopment projects in our pipeline, which consists of nine properties that, when completed, we expect will total approximately 4.3 million net rentable square feet. As of June 30, 2021, our share of the estimated total cost for these projects is approximately $2.7 billion, of which approximately $1.2 billion of equity remained to be invested. The total development pipeline, inclusive of both office and lab/life sciences developments, but excluding The Prudential Center Observatory, is 71% pre-leased as of August 3, 2021. The office development projects in our current pipeline, which total approximately 3.3 million square feet, are 87% pre-leased, as of August 2, 2021, to predominately credit-strong tenants with long-lease terms.</w:t>
      </w:r>
    </w:p>
    <w:p>
      <w:pPr>
        <w:spacing w:after="0" w:line="157"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In early 2021 we added several new development and redevelopment projects to our development pipeline focused on the specific needs of tenants in the life sciences sector.</w:t>
      </w:r>
    </w:p>
    <w:p>
      <w:pPr>
        <w:spacing w:after="0" w:line="150"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Our lab/life sciences developments in our pipeline total 920,000 square feet and include properties in Waltham, Massachusetts and South San Francisco, California, which have been, and continue to be, two of the largest life sciences clusters in the United States, with strong demand from tenants because of the close proximity to universities, research institutions and related businesses and concentrations of labor with specialized skills and knowledge.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all active developments and redevelopments in our pipeline to be delivered on time and budget.</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firstLine="439"/>
        <w:spacing w:after="0" w:line="266" w:lineRule="auto"/>
        <w:rPr>
          <w:sz w:val="20"/>
          <w:szCs w:val="20"/>
          <w:color w:val="auto"/>
        </w:rPr>
      </w:pPr>
      <w:r>
        <w:rPr>
          <w:rFonts w:ascii="Arial" w:cs="Arial" w:eastAsia="Arial" w:hAnsi="Arial"/>
          <w:sz w:val="17"/>
          <w:szCs w:val="17"/>
          <w:color w:val="auto"/>
        </w:rPr>
        <w:t>As we continue to focus on new investments to drive future growth, we also continually review our portfolio to identify properties as potential sales candidates because they may either no longer fit within our portfolio strategy or they could attract premium pricing in the current market environment. In July 2021, we entered into an agreement to sell 181,191 and 201 Spring Street, a three-building complex aggregating approximately 333,000 square feet in Lexington, Massachusetts, for an aggregate gross sales price of $191.5 million. The three-buildings are 100% leased. We anticipate closing on the sale in the third quarter of 2021. We will continue to evaluate the sale of similar properties.</w:t>
      </w:r>
    </w:p>
    <w:p>
      <w:pPr>
        <w:spacing w:after="0" w:line="140"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There can be no assurance that the acquisitions and disposition outlined above will be consummated on the terms currently contemplated or at all.</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brief overview of each of our markets follows.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Boston</w:t>
      </w:r>
    </w:p>
    <w:p>
      <w:pPr>
        <w:spacing w:after="0" w:line="117"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The Boston region is home to the largest cluster of life sciences companies in the world, and these companies are growing and increasing demand and rents in the region.</w:t>
      </w:r>
    </w:p>
    <w:p>
      <w:pPr>
        <w:spacing w:after="0" w:line="150" w:lineRule="exact"/>
        <w:rPr>
          <w:sz w:val="20"/>
          <w:szCs w:val="20"/>
          <w:color w:val="auto"/>
        </w:rPr>
      </w:pPr>
    </w:p>
    <w:p>
      <w:pPr>
        <w:ind w:right="20" w:firstLine="439"/>
        <w:spacing w:after="0" w:line="248" w:lineRule="auto"/>
        <w:rPr>
          <w:sz w:val="20"/>
          <w:szCs w:val="20"/>
          <w:color w:val="auto"/>
        </w:rPr>
      </w:pPr>
      <w:r>
        <w:rPr>
          <w:rFonts w:ascii="Arial" w:cs="Arial" w:eastAsia="Arial" w:hAnsi="Arial"/>
          <w:sz w:val="18"/>
          <w:szCs w:val="18"/>
          <w:color w:val="auto"/>
        </w:rPr>
        <w:t>Our Boston central business district (“CBD”) in-service portfolio was approximately 96% leased as of June 30, 2021. During the second quarter of 2021, we executed approximately 194,000 square feet of leases and approximately 420,000 square feet of leases commenced in the Boston region. Approximately 273,000 square feet of the leases that commenced had been vacant for less than one year and represent an increase in net rental obligations of approximately 56% over the prior leases.</w:t>
      </w:r>
    </w:p>
    <w:p>
      <w:pPr>
        <w:spacing w:after="0" w:line="155"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Our approximately 2.0 million square foot in-service office portfolio in Cambridge was approximately 99% leased as of June 30, 2021. During the second quarter of 2021, we continued our development of 325 Main Street at Kendall Center in Cambridge, Massachusetts, which is 90% pre-leased to an office tenant for a term of 15 years and we expect to deliver into service in 2022. In early 2021, we received approximately one million square feet of new entitlements at Kendall Center in Cambridge, Massachusetts for potential future development.</w:t>
      </w:r>
    </w:p>
    <w:p>
      <w:pPr>
        <w:spacing w:after="0" w:line="155" w:lineRule="exact"/>
        <w:rPr>
          <w:sz w:val="20"/>
          <w:szCs w:val="20"/>
          <w:color w:val="auto"/>
        </w:rPr>
      </w:pPr>
    </w:p>
    <w:p>
      <w:pPr>
        <w:ind w:right="40" w:firstLine="439"/>
        <w:spacing w:after="0" w:line="247" w:lineRule="auto"/>
        <w:rPr>
          <w:sz w:val="20"/>
          <w:szCs w:val="20"/>
          <w:color w:val="auto"/>
        </w:rPr>
      </w:pPr>
      <w:r>
        <w:rPr>
          <w:rFonts w:ascii="Arial" w:cs="Arial" w:eastAsia="Arial" w:hAnsi="Arial"/>
          <w:sz w:val="18"/>
          <w:szCs w:val="18"/>
          <w:color w:val="auto"/>
        </w:rPr>
        <w:t>Waltham and the area surrounding the Route 128-Mass Turnpike interchange continue to comprise a popular submarket of Boston for leading and emerging companies in the life sciences, biotechnology and technology sectors. In the second quarter of 2021, we continued the redevelopment of 880 Winter Street, an approximately 224,000 square foot office property in Waltham, Massachusetts that will be converted into lab space. We also continued the conversion of 200 West Street in Waltham, Massachusetts, into life sciences/lab space, and we continued the development of 180 CityPoint, an approximately 329,000 square foot lab development in Waltham, Massachusetts, which is expected to be delivered in 2024. To further enable us to meet current and future demand from tenants in the life sciences sector in this region, in the second quarter of 2021, we acquired 153 &amp; 211 Second Avenue in Waltham, Massachusetts, two life sciences lab buildings aggregating approximately 137,000 square feet that are adjacent to our 200 West Street redevelopment. The Second Avenue properties consist primarily of lab space, are 100% leased to a pharmaceutical company and have 120,000 square feet of additional development rights, which may be increased when combined with excess development capacity of our adjacent 200 West Street site. We own or control a significant amount of land in the Boston region that we expect will enable us to aggressively compete for and meet the demand from the emerging and growing tenants in these industries.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Los Angeles</w:t>
      </w:r>
    </w:p>
    <w:p>
      <w:pPr>
        <w:spacing w:after="0" w:line="117"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Our Los Angeles (“LA”) in-service portfolio of approximately 2.3 million square feet is currently focused on West LA and includes Colorado Center, a 1.1 million square foot property of which we own 50%, and Santa Monica Business Park, a 21-building, approximately 1.2 million square foot property of which we own 55%. As of June 30, 2021, our LA in-service properties were approximately 84% leased. In the second quarter of 2021, we signed a 351,000 square-foot, seven-year renewal and expansion lease with a leading entertainment company at Colorado Center and a 140,000 square-foot expansion lease with a technology company at Santa Monica Business Park in Santa Monica, California. We expect our occupancy to increase later this year upon commencement of this 140,000 square foot lease expansion. In total, we executed approximately 491,000 square feet of leases and approximately 204,000 square feet of leases commenced in the Los Angeles region. Approximately 184,000 square feet of the leases that commenced had been vacant for less than one year and represent a decrease in net rental obligations of approximately 5% over the prior leases.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York</w:t>
      </w:r>
    </w:p>
    <w:p>
      <w:pPr>
        <w:spacing w:after="0" w:line="117" w:lineRule="exact"/>
        <w:rPr>
          <w:sz w:val="20"/>
          <w:szCs w:val="20"/>
          <w:color w:val="auto"/>
        </w:rPr>
      </w:pPr>
    </w:p>
    <w:p>
      <w:pPr>
        <w:ind w:right="280" w:firstLine="439"/>
        <w:spacing w:after="0" w:line="247" w:lineRule="auto"/>
        <w:rPr>
          <w:sz w:val="20"/>
          <w:szCs w:val="20"/>
          <w:color w:val="auto"/>
        </w:rPr>
      </w:pPr>
      <w:r>
        <w:rPr>
          <w:rFonts w:ascii="Arial" w:cs="Arial" w:eastAsia="Arial" w:hAnsi="Arial"/>
          <w:sz w:val="18"/>
          <w:szCs w:val="18"/>
          <w:color w:val="auto"/>
        </w:rPr>
        <w:t>As of June 30, 2021, our New York CBD in-service portfolio was approximately 90% leased. During the second quarter of 2021, (1) we signed leases covering approximately 152,000 square feet, including a 25,000 square foot, 11-year expansion with a financial services company at 399 Park Avenue in New York City, and (2) approximately 194,000 square feet of leases commenced. Approximately 71,000 square feet of the leases that commenced had been vacant for less than one year and represent a decrease in net rental obligations of approximately 44% over the prior leases. Excluding 33,289 square feet of retail leases that commenced, however, net rental obligations increased approximately 8% over the prior leases.</w:t>
      </w:r>
    </w:p>
    <w:p>
      <w:pPr>
        <w:spacing w:after="0" w:line="158"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In the second quarter of 2021, overall leasing activity increased from the first quarter of 2021 as we conducted more physical tours in New York City than we had in the comparable quarter in either 2019 or 2020. We are actively negotiating approximately 400,000 square feet of leases, of which approximately 250,000 square feet is at Dock 72, our joint venture property in Brooklyn, New York. We are also seeing a significant reduction in the amount of sublease space available in New York due to a combination of tenants taking back sublease space and market absorption of sublease space.</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San Francisco</w:t>
      </w:r>
    </w:p>
    <w:p>
      <w:pPr>
        <w:spacing w:after="0" w:line="117" w:lineRule="exact"/>
        <w:rPr>
          <w:sz w:val="20"/>
          <w:szCs w:val="20"/>
          <w:color w:val="auto"/>
        </w:rPr>
      </w:pPr>
    </w:p>
    <w:p>
      <w:pPr>
        <w:ind w:right="60" w:firstLine="439"/>
        <w:spacing w:after="0" w:line="248" w:lineRule="auto"/>
        <w:rPr>
          <w:sz w:val="20"/>
          <w:szCs w:val="20"/>
          <w:color w:val="auto"/>
        </w:rPr>
      </w:pPr>
      <w:r>
        <w:rPr>
          <w:rFonts w:ascii="Arial" w:cs="Arial" w:eastAsia="Arial" w:hAnsi="Arial"/>
          <w:sz w:val="18"/>
          <w:szCs w:val="18"/>
          <w:color w:val="auto"/>
        </w:rPr>
        <w:t>In the second quarter of 2021, governmental authorities in San Francisco lifted all remaining travel quarantines, stay-at-home orders and restrictions on the types of businesses that could continue to operate, including offices. California was the last state among our regions to lift these restrictions. As these restrictions were lifted, the pace of new leasing activity began to increase, although activity remains well below pre-pandemic levels due to the lagging impact of these restrictions and the increase in sublease space in the market that occurred during the pandemic.</w:t>
      </w:r>
    </w:p>
    <w:p>
      <w:pPr>
        <w:spacing w:after="0" w:line="154" w:lineRule="exact"/>
        <w:rPr>
          <w:sz w:val="20"/>
          <w:szCs w:val="20"/>
          <w:color w:val="auto"/>
        </w:rPr>
      </w:pPr>
    </w:p>
    <w:p>
      <w:pPr>
        <w:ind w:right="60" w:firstLine="439"/>
        <w:spacing w:after="0" w:line="248" w:lineRule="auto"/>
        <w:rPr>
          <w:sz w:val="20"/>
          <w:szCs w:val="20"/>
          <w:color w:val="auto"/>
        </w:rPr>
      </w:pPr>
      <w:r>
        <w:rPr>
          <w:rFonts w:ascii="Arial" w:cs="Arial" w:eastAsia="Arial" w:hAnsi="Arial"/>
          <w:sz w:val="18"/>
          <w:szCs w:val="18"/>
          <w:color w:val="auto"/>
        </w:rPr>
        <w:t>Our San Francisco CBD in-service properties were approximately 93% leased as of June 30, 2021. During the second quarter of 2021, we executed approximately 120,000 square feet of leases and we commenced approximately 220,000 square feet of leases in the San Francisco region. Of these leases, approximately 194,000 square feet had been vacant for less than one year and represent an increase in net rental obligations of approximately 47% over the prior leases. We are actively negotiating leases for over 140,000 square feet in the San Francisco CBD.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Washington</w:t>
      </w:r>
      <w:r>
        <w:rPr>
          <w:rFonts w:ascii="Arial" w:cs="Arial" w:eastAsia="Arial" w:hAnsi="Arial"/>
          <w:sz w:val="18"/>
          <w:szCs w:val="18"/>
          <w:color w:val="auto"/>
        </w:rPr>
        <w:t>,</w:t>
      </w:r>
      <w:r>
        <w:rPr>
          <w:rFonts w:ascii="Arial" w:cs="Arial" w:eastAsia="Arial" w:hAnsi="Arial"/>
          <w:sz w:val="18"/>
          <w:szCs w:val="18"/>
          <w:i w:val="1"/>
          <w:iCs w:val="1"/>
          <w:color w:val="auto"/>
        </w:rPr>
        <w:t xml:space="preserve"> DC</w:t>
      </w:r>
    </w:p>
    <w:p>
      <w:pPr>
        <w:spacing w:after="0" w:line="104" w:lineRule="exact"/>
        <w:rPr>
          <w:sz w:val="20"/>
          <w:szCs w:val="20"/>
          <w:color w:val="auto"/>
        </w:rPr>
      </w:pPr>
    </w:p>
    <w:p>
      <w:pPr>
        <w:ind w:right="100" w:firstLine="439"/>
        <w:spacing w:after="0" w:line="248" w:lineRule="auto"/>
        <w:rPr>
          <w:sz w:val="20"/>
          <w:szCs w:val="20"/>
          <w:color w:val="auto"/>
        </w:rPr>
      </w:pPr>
      <w:r>
        <w:rPr>
          <w:rFonts w:ascii="Arial" w:cs="Arial" w:eastAsia="Arial" w:hAnsi="Arial"/>
          <w:sz w:val="18"/>
          <w:szCs w:val="18"/>
          <w:color w:val="auto"/>
        </w:rPr>
        <w:t>During the second quarter of 2021, we executed approximately 283,000 square feet of leases and we commenced approximately 317,000 square feet of leases in the Washington, DC region, including over 170,000 square feet in Reston, Virginia. Of these leases, approximately 254,000 square feet had been vacant for less than one year and represent a decrease in net rental obligations of approximately 8% over the prior leases.</w:t>
      </w:r>
    </w:p>
    <w:p>
      <w:pPr>
        <w:spacing w:after="0" w:line="155" w:lineRule="exact"/>
        <w:rPr>
          <w:sz w:val="20"/>
          <w:szCs w:val="20"/>
          <w:color w:val="auto"/>
        </w:rPr>
      </w:pPr>
    </w:p>
    <w:p>
      <w:pPr>
        <w:ind w:right="60" w:firstLine="439"/>
        <w:spacing w:after="0" w:line="281" w:lineRule="auto"/>
        <w:rPr>
          <w:sz w:val="20"/>
          <w:szCs w:val="20"/>
          <w:color w:val="auto"/>
        </w:rPr>
      </w:pPr>
      <w:r>
        <w:rPr>
          <w:rFonts w:ascii="Arial" w:cs="Arial" w:eastAsia="Arial" w:hAnsi="Arial"/>
          <w:sz w:val="17"/>
          <w:szCs w:val="17"/>
          <w:color w:val="auto"/>
        </w:rPr>
        <w:t>Our Washington, DC CBD in-service properties were approximately 84% leased, as of June 30, 2021, with modest near-term exposure, and we have reduced our exposure in the Washington, DC CBD market significantly over the past few years through the dispositions of assets.</w:t>
      </w:r>
    </w:p>
    <w:p>
      <w:pPr>
        <w:spacing w:after="0" w:line="127" w:lineRule="exact"/>
        <w:rPr>
          <w:sz w:val="20"/>
          <w:szCs w:val="20"/>
          <w:color w:val="auto"/>
        </w:rPr>
      </w:pPr>
    </w:p>
    <w:p>
      <w:pPr>
        <w:ind w:right="600" w:firstLine="439"/>
        <w:spacing w:after="0" w:line="281" w:lineRule="auto"/>
        <w:rPr>
          <w:sz w:val="20"/>
          <w:szCs w:val="20"/>
          <w:color w:val="auto"/>
        </w:rPr>
      </w:pPr>
      <w:r>
        <w:rPr>
          <w:rFonts w:ascii="Arial" w:cs="Arial" w:eastAsia="Arial" w:hAnsi="Arial"/>
          <w:sz w:val="17"/>
          <w:szCs w:val="17"/>
          <w:color w:val="auto"/>
        </w:rPr>
        <w:t>Our Washington, DC suburban properties include our significant presence in Reston, Virginia, where demand from technology and cybersecurity tenants remains strong. Our Washington, DC suburban properties were approximately 86% leased as of June 30,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Leasing Statistics</w:t>
      </w:r>
    </w:p>
    <w:p>
      <w:pPr>
        <w:spacing w:after="0" w:line="104"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The table below details the leasing activity, including 100% of the unconsolidated joint ventures, that commenced during the three and six months ended June 30,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2500" w:type="dxa"/>
            <w:vAlign w:val="bottom"/>
            <w:gridSpan w:val="2"/>
          </w:tcPr>
          <w:p>
            <w:pPr>
              <w:ind w:left="100"/>
              <w:spacing w:after="0"/>
              <w:rPr>
                <w:sz w:val="20"/>
                <w:szCs w:val="20"/>
                <w:color w:val="auto"/>
              </w:rPr>
            </w:pPr>
            <w:r>
              <w:rPr>
                <w:rFonts w:ascii="Arial" w:cs="Arial" w:eastAsia="Arial" w:hAnsi="Arial"/>
                <w:sz w:val="16"/>
                <w:szCs w:val="16"/>
                <w:b w:val="1"/>
                <w:bCs w:val="1"/>
                <w:color w:val="auto"/>
              </w:rPr>
              <w:t>Three months ended June</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3"/>
        </w:trPr>
        <w:tc>
          <w:tcPr>
            <w:tcW w:w="6540" w:type="dxa"/>
            <w:vAlign w:val="bottom"/>
          </w:tcPr>
          <w:p>
            <w:pPr>
              <w:spacing w:after="0"/>
              <w:rPr>
                <w:sz w:val="18"/>
                <w:szCs w:val="18"/>
                <w:color w:val="auto"/>
              </w:rPr>
            </w:pPr>
          </w:p>
        </w:tc>
        <w:tc>
          <w:tcPr>
            <w:tcW w:w="220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30, 2021</w:t>
            </w:r>
          </w:p>
        </w:tc>
        <w:tc>
          <w:tcPr>
            <w:tcW w:w="3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r>
      <w:tr>
        <w:trPr>
          <w:trHeight w:val="206"/>
        </w:trPr>
        <w:tc>
          <w:tcPr>
            <w:tcW w:w="6540" w:type="dxa"/>
            <w:vAlign w:val="bottom"/>
          </w:tcPr>
          <w:p>
            <w:pPr>
              <w:spacing w:after="0"/>
              <w:rPr>
                <w:sz w:val="17"/>
                <w:szCs w:val="17"/>
                <w:color w:val="auto"/>
              </w:rPr>
            </w:pPr>
          </w:p>
        </w:tc>
        <w:tc>
          <w:tcPr>
            <w:tcW w:w="2500" w:type="dxa"/>
            <w:vAlign w:val="bottom"/>
            <w:gridSpan w:val="2"/>
          </w:tcPr>
          <w:p>
            <w:pPr>
              <w:ind w:left="580"/>
              <w:spacing w:after="0"/>
              <w:rPr>
                <w:sz w:val="20"/>
                <w:szCs w:val="20"/>
                <w:color w:val="auto"/>
              </w:rPr>
            </w:pPr>
            <w:r>
              <w:rPr>
                <w:rFonts w:ascii="Arial" w:cs="Arial" w:eastAsia="Arial" w:hAnsi="Arial"/>
                <w:sz w:val="16"/>
                <w:szCs w:val="16"/>
                <w:b w:val="1"/>
                <w:bCs w:val="1"/>
                <w:color w:val="auto"/>
              </w:rPr>
              <w:t>Total Square Feet</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8"/>
              </w:rPr>
              <w:t>Total Square Feet</w:t>
            </w:r>
          </w:p>
        </w:tc>
      </w:tr>
      <w:tr>
        <w:trPr>
          <w:trHeight w:val="22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Vacant space available at the beginning of the period</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5,131,799</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4,517,385</w:t>
            </w:r>
          </w:p>
        </w:tc>
      </w:tr>
      <w:tr>
        <w:trPr>
          <w:trHeight w:val="225"/>
        </w:trPr>
        <w:tc>
          <w:tcPr>
            <w:tcW w:w="6540" w:type="dxa"/>
            <w:vAlign w:val="bottom"/>
          </w:tcPr>
          <w:p>
            <w:pPr>
              <w:ind w:left="20"/>
              <w:spacing w:after="0"/>
              <w:rPr>
                <w:sz w:val="20"/>
                <w:szCs w:val="20"/>
                <w:color w:val="auto"/>
              </w:rPr>
            </w:pPr>
            <w:r>
              <w:rPr>
                <w:rFonts w:ascii="Arial" w:cs="Arial" w:eastAsia="Arial" w:hAnsi="Arial"/>
                <w:sz w:val="18"/>
                <w:szCs w:val="18"/>
                <w:color w:val="auto"/>
              </w:rPr>
              <w:t>Property dispositions/properties taken out of service (1)</w:t>
            </w:r>
          </w:p>
        </w:tc>
        <w:tc>
          <w:tcPr>
            <w:tcW w:w="25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93"/>
              <w:spacing w:after="0"/>
              <w:rPr>
                <w:sz w:val="20"/>
                <w:szCs w:val="20"/>
                <w:color w:val="auto"/>
              </w:rPr>
            </w:pPr>
            <w:r>
              <w:rPr>
                <w:rFonts w:ascii="Arial" w:cs="Arial" w:eastAsia="Arial" w:hAnsi="Arial"/>
                <w:sz w:val="18"/>
                <w:szCs w:val="18"/>
                <w:color w:val="auto"/>
              </w:rPr>
              <w:t>(104,613)</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Properties placed (and partially placed) in-service (2)</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2,154</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229,430</w:t>
            </w:r>
          </w:p>
        </w:tc>
      </w:tr>
      <w:tr>
        <w:trPr>
          <w:trHeight w:val="225"/>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Leases expiring or terminated during the period</w:t>
            </w:r>
          </w:p>
        </w:tc>
        <w:tc>
          <w:tcPr>
            <w:tcW w:w="22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1,410,005</w:t>
            </w:r>
          </w:p>
        </w:tc>
        <w:tc>
          <w:tcPr>
            <w:tcW w:w="30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3,198,671</w:t>
            </w:r>
          </w:p>
        </w:tc>
      </w:tr>
      <w:tr>
        <w:trPr>
          <w:trHeight w:val="220"/>
        </w:trPr>
        <w:tc>
          <w:tcPr>
            <w:tcW w:w="65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 space available for lease</w:t>
            </w:r>
          </w:p>
        </w:tc>
        <w:tc>
          <w:tcPr>
            <w:tcW w:w="2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6,543,958</w:t>
            </w:r>
          </w:p>
        </w:tc>
        <w:tc>
          <w:tcPr>
            <w:tcW w:w="300" w:type="dxa"/>
            <w:vAlign w:val="bottom"/>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7,840,873</w:t>
            </w:r>
          </w:p>
        </w:tc>
      </w:tr>
      <w:tr>
        <w:trPr>
          <w:trHeight w:val="219"/>
        </w:trPr>
        <w:tc>
          <w:tcPr>
            <w:tcW w:w="6540" w:type="dxa"/>
            <w:vAlign w:val="bottom"/>
          </w:tcPr>
          <w:p>
            <w:pPr>
              <w:ind w:left="20"/>
              <w:spacing w:after="0" w:line="220" w:lineRule="exact"/>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generation leases</w:t>
            </w:r>
          </w:p>
        </w:tc>
        <w:tc>
          <w:tcPr>
            <w:tcW w:w="2200" w:type="dxa"/>
            <w:vAlign w:val="bottom"/>
          </w:tcPr>
          <w:p>
            <w:pPr>
              <w:jc w:val="right"/>
              <w:ind w:right="153"/>
              <w:spacing w:after="0"/>
              <w:rPr>
                <w:sz w:val="20"/>
                <w:szCs w:val="20"/>
                <w:color w:val="auto"/>
              </w:rPr>
            </w:pPr>
            <w:r>
              <w:rPr>
                <w:rFonts w:ascii="Arial" w:cs="Arial" w:eastAsia="Arial" w:hAnsi="Arial"/>
                <w:sz w:val="18"/>
                <w:szCs w:val="18"/>
                <w:color w:val="auto"/>
              </w:rPr>
              <w:t>2,154</w:t>
            </w:r>
          </w:p>
        </w:tc>
        <w:tc>
          <w:tcPr>
            <w:tcW w:w="300" w:type="dxa"/>
            <w:vAlign w:val="bottom"/>
          </w:tcPr>
          <w:p>
            <w:pPr>
              <w:spacing w:after="0"/>
              <w:rPr>
                <w:sz w:val="19"/>
                <w:szCs w:val="19"/>
                <w:color w:val="auto"/>
              </w:rPr>
            </w:pPr>
          </w:p>
        </w:tc>
        <w:tc>
          <w:tcPr>
            <w:tcW w:w="2200" w:type="dxa"/>
            <w:vAlign w:val="bottom"/>
          </w:tcPr>
          <w:p>
            <w:pPr>
              <w:jc w:val="right"/>
              <w:ind w:right="153"/>
              <w:spacing w:after="0"/>
              <w:rPr>
                <w:sz w:val="20"/>
                <w:szCs w:val="20"/>
                <w:color w:val="auto"/>
              </w:rPr>
            </w:pPr>
            <w:r>
              <w:rPr>
                <w:rFonts w:ascii="Arial" w:cs="Arial" w:eastAsia="Arial" w:hAnsi="Arial"/>
                <w:sz w:val="18"/>
                <w:szCs w:val="18"/>
                <w:color w:val="auto"/>
              </w:rPr>
              <w:t>203,556</w:t>
            </w:r>
          </w:p>
        </w:tc>
      </w:tr>
      <w:tr>
        <w:trPr>
          <w:trHeight w:val="226"/>
        </w:trPr>
        <w:tc>
          <w:tcPr>
            <w:tcW w:w="65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generation leases with new tenants</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814,522</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1,417,019</w:t>
            </w:r>
          </w:p>
        </w:tc>
      </w:tr>
      <w:tr>
        <w:trPr>
          <w:trHeight w:val="226"/>
        </w:trPr>
        <w:tc>
          <w:tcPr>
            <w:tcW w:w="6540" w:type="dxa"/>
            <w:vAlign w:val="bottom"/>
            <w:tcBorders>
              <w:bottom w:val="single" w:sz="8" w:color="CCEEFF"/>
            </w:tcBorders>
          </w:tcPr>
          <w:p>
            <w:pPr>
              <w:ind w:left="20"/>
              <w:spacing w:after="0" w:line="226"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generation lease renewals</w:t>
            </w:r>
          </w:p>
        </w:tc>
        <w:tc>
          <w:tcPr>
            <w:tcW w:w="22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540,464</w:t>
            </w:r>
          </w:p>
        </w:tc>
        <w:tc>
          <w:tcPr>
            <w:tcW w:w="30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1,033,480</w:t>
            </w:r>
          </w:p>
        </w:tc>
      </w:tr>
      <w:tr>
        <w:trPr>
          <w:trHeight w:val="219"/>
        </w:trPr>
        <w:tc>
          <w:tcPr>
            <w:tcW w:w="65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space leased (3)</w:t>
            </w:r>
          </w:p>
        </w:tc>
        <w:tc>
          <w:tcPr>
            <w:tcW w:w="2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1,357,140</w:t>
            </w:r>
          </w:p>
        </w:tc>
        <w:tc>
          <w:tcPr>
            <w:tcW w:w="300" w:type="dxa"/>
            <w:vAlign w:val="bottom"/>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2,654,055</w:t>
            </w:r>
          </w:p>
        </w:tc>
      </w:tr>
      <w:tr>
        <w:trPr>
          <w:trHeight w:val="219"/>
        </w:trPr>
        <w:tc>
          <w:tcPr>
            <w:tcW w:w="6540" w:type="dxa"/>
            <w:vAlign w:val="bottom"/>
          </w:tcPr>
          <w:p>
            <w:pPr>
              <w:ind w:left="20"/>
              <w:spacing w:after="0"/>
              <w:rPr>
                <w:sz w:val="20"/>
                <w:szCs w:val="20"/>
                <w:color w:val="auto"/>
              </w:rPr>
            </w:pPr>
            <w:r>
              <w:rPr>
                <w:rFonts w:ascii="Arial" w:cs="Arial" w:eastAsia="Arial" w:hAnsi="Arial"/>
                <w:sz w:val="18"/>
                <w:szCs w:val="18"/>
                <w:color w:val="auto"/>
              </w:rPr>
              <w:t>Vacant space available for lease at the end of the period</w:t>
            </w:r>
          </w:p>
        </w:tc>
        <w:tc>
          <w:tcPr>
            <w:tcW w:w="22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5,186,818</w:t>
            </w:r>
          </w:p>
        </w:tc>
        <w:tc>
          <w:tcPr>
            <w:tcW w:w="300" w:type="dxa"/>
            <w:vAlign w:val="bottom"/>
          </w:tcPr>
          <w:p>
            <w:pPr>
              <w:spacing w:after="0"/>
              <w:rPr>
                <w:sz w:val="19"/>
                <w:szCs w:val="19"/>
                <w:color w:val="auto"/>
              </w:rPr>
            </w:pPr>
          </w:p>
        </w:tc>
        <w:tc>
          <w:tcPr>
            <w:tcW w:w="22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5,186,818</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33"/>
        </w:trPr>
        <w:tc>
          <w:tcPr>
            <w:tcW w:w="65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25"/>
        </w:trPr>
        <w:tc>
          <w:tcPr>
            <w:tcW w:w="6540" w:type="dxa"/>
            <w:vAlign w:val="bottom"/>
          </w:tcPr>
          <w:p>
            <w:pPr>
              <w:ind w:left="20"/>
              <w:spacing w:after="0"/>
              <w:rPr>
                <w:sz w:val="20"/>
                <w:szCs w:val="20"/>
                <w:color w:val="auto"/>
              </w:rPr>
            </w:pPr>
            <w:r>
              <w:rPr>
                <w:rFonts w:ascii="Arial" w:cs="Arial" w:eastAsia="Arial" w:hAnsi="Arial"/>
                <w:sz w:val="18"/>
                <w:szCs w:val="18"/>
                <w:color w:val="auto"/>
              </w:rPr>
              <w:t>Leases executed during the period, in square feet (4)</w:t>
            </w:r>
          </w:p>
        </w:tc>
        <w:tc>
          <w:tcPr>
            <w:tcW w:w="2200" w:type="dxa"/>
            <w:vAlign w:val="bottom"/>
          </w:tcPr>
          <w:p>
            <w:pPr>
              <w:jc w:val="right"/>
              <w:ind w:right="153"/>
              <w:spacing w:after="0"/>
              <w:rPr>
                <w:sz w:val="20"/>
                <w:szCs w:val="20"/>
                <w:color w:val="auto"/>
              </w:rPr>
            </w:pPr>
            <w:r>
              <w:rPr>
                <w:rFonts w:ascii="Arial" w:cs="Arial" w:eastAsia="Arial" w:hAnsi="Arial"/>
                <w:sz w:val="18"/>
                <w:szCs w:val="18"/>
                <w:color w:val="auto"/>
              </w:rPr>
              <w:t>1,239,218</w:t>
            </w:r>
          </w:p>
        </w:tc>
        <w:tc>
          <w:tcPr>
            <w:tcW w:w="300" w:type="dxa"/>
            <w:vAlign w:val="bottom"/>
          </w:tcPr>
          <w:p>
            <w:pPr>
              <w:spacing w:after="0"/>
              <w:rPr>
                <w:sz w:val="19"/>
                <w:szCs w:val="19"/>
                <w:color w:val="auto"/>
              </w:rPr>
            </w:pPr>
          </w:p>
        </w:tc>
        <w:tc>
          <w:tcPr>
            <w:tcW w:w="2200" w:type="dxa"/>
            <w:vAlign w:val="bottom"/>
          </w:tcPr>
          <w:p>
            <w:pPr>
              <w:jc w:val="right"/>
              <w:ind w:right="153"/>
              <w:spacing w:after="0"/>
              <w:rPr>
                <w:sz w:val="20"/>
                <w:szCs w:val="20"/>
                <w:color w:val="auto"/>
              </w:rPr>
            </w:pPr>
            <w:r>
              <w:rPr>
                <w:rFonts w:ascii="Arial" w:cs="Arial" w:eastAsia="Arial" w:hAnsi="Arial"/>
                <w:sz w:val="18"/>
                <w:szCs w:val="18"/>
                <w:color w:val="auto"/>
              </w:rPr>
              <w:t>1,831,033</w:t>
            </w:r>
          </w:p>
        </w:tc>
      </w:tr>
      <w:tr>
        <w:trPr>
          <w:trHeight w:val="253"/>
        </w:trPr>
        <w:tc>
          <w:tcPr>
            <w:tcW w:w="654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r>
      <w:tr>
        <w:trPr>
          <w:trHeight w:val="226"/>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Second generation leasing information</w:t>
            </w:r>
            <w:r>
              <w:rPr>
                <w:rFonts w:ascii="Arial" w:cs="Arial" w:eastAsia="Arial" w:hAnsi="Arial"/>
                <w:sz w:val="18"/>
                <w:szCs w:val="18"/>
                <w:color w:val="auto"/>
              </w:rPr>
              <w:t>: (5)</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2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 commencing during the period, in square feet</w:t>
            </w: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1,354,986</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2,450,499</w:t>
            </w:r>
          </w:p>
        </w:tc>
      </w:tr>
      <w:tr>
        <w:trPr>
          <w:trHeight w:val="225"/>
        </w:trPr>
        <w:tc>
          <w:tcPr>
            <w:tcW w:w="6540" w:type="dxa"/>
            <w:vAlign w:val="bottom"/>
          </w:tcPr>
          <w:p>
            <w:pPr>
              <w:ind w:left="20"/>
              <w:spacing w:after="0"/>
              <w:rPr>
                <w:sz w:val="20"/>
                <w:szCs w:val="20"/>
                <w:color w:val="auto"/>
              </w:rPr>
            </w:pPr>
            <w:r>
              <w:rPr>
                <w:rFonts w:ascii="Arial" w:cs="Arial" w:eastAsia="Arial" w:hAnsi="Arial"/>
                <w:sz w:val="18"/>
                <w:szCs w:val="18"/>
                <w:color w:val="auto"/>
              </w:rPr>
              <w:t>Weighted Average Lease Term</w:t>
            </w:r>
          </w:p>
        </w:tc>
        <w:tc>
          <w:tcPr>
            <w:tcW w:w="2500" w:type="dxa"/>
            <w:vAlign w:val="bottom"/>
            <w:gridSpan w:val="2"/>
          </w:tcPr>
          <w:p>
            <w:pPr>
              <w:jc w:val="right"/>
              <w:ind w:right="320"/>
              <w:spacing w:after="0"/>
              <w:rPr>
                <w:sz w:val="20"/>
                <w:szCs w:val="20"/>
                <w:color w:val="auto"/>
              </w:rPr>
            </w:pPr>
            <w:r>
              <w:rPr>
                <w:rFonts w:ascii="Arial" w:cs="Arial" w:eastAsia="Arial" w:hAnsi="Arial"/>
                <w:sz w:val="18"/>
                <w:szCs w:val="18"/>
                <w:color w:val="auto"/>
              </w:rPr>
              <w:t>90 Months</w:t>
            </w:r>
          </w:p>
        </w:tc>
        <w:tc>
          <w:tcPr>
            <w:tcW w:w="2200" w:type="dxa"/>
            <w:vAlign w:val="bottom"/>
          </w:tcPr>
          <w:p>
            <w:pPr>
              <w:jc w:val="right"/>
              <w:spacing w:after="0"/>
              <w:rPr>
                <w:sz w:val="20"/>
                <w:szCs w:val="20"/>
                <w:color w:val="auto"/>
              </w:rPr>
            </w:pPr>
            <w:r>
              <w:rPr>
                <w:rFonts w:ascii="Arial" w:cs="Arial" w:eastAsia="Arial" w:hAnsi="Arial"/>
                <w:sz w:val="18"/>
                <w:szCs w:val="18"/>
                <w:color w:val="auto"/>
              </w:rPr>
              <w:t>87 Months</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Free Rent Period</w:t>
            </w:r>
          </w:p>
        </w:tc>
        <w:tc>
          <w:tcPr>
            <w:tcW w:w="2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 Days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Days</w:t>
            </w:r>
          </w:p>
        </w:tc>
      </w:tr>
      <w:tr>
        <w:trPr>
          <w:trHeight w:val="225"/>
        </w:trPr>
        <w:tc>
          <w:tcPr>
            <w:tcW w:w="6540" w:type="dxa"/>
            <w:vAlign w:val="bottom"/>
          </w:tcPr>
          <w:p>
            <w:pPr>
              <w:ind w:left="20"/>
              <w:spacing w:after="0"/>
              <w:rPr>
                <w:sz w:val="20"/>
                <w:szCs w:val="20"/>
                <w:color w:val="auto"/>
              </w:rPr>
            </w:pPr>
            <w:r>
              <w:rPr>
                <w:rFonts w:ascii="Arial" w:cs="Arial" w:eastAsia="Arial" w:hAnsi="Arial"/>
                <w:sz w:val="18"/>
                <w:szCs w:val="18"/>
                <w:color w:val="auto"/>
              </w:rPr>
              <w:t>Total Transaction Costs Per Square Foot (6)</w:t>
            </w:r>
          </w:p>
        </w:tc>
        <w:tc>
          <w:tcPr>
            <w:tcW w:w="2200" w:type="dxa"/>
            <w:vAlign w:val="bottom"/>
          </w:tcPr>
          <w:p>
            <w:pPr>
              <w:jc w:val="right"/>
              <w:ind w:right="153"/>
              <w:spacing w:after="0"/>
              <w:rPr>
                <w:sz w:val="20"/>
                <w:szCs w:val="20"/>
                <w:color w:val="auto"/>
              </w:rPr>
            </w:pPr>
            <w:r>
              <w:rPr>
                <w:rFonts w:ascii="Arial" w:cs="Arial" w:eastAsia="Arial" w:hAnsi="Arial"/>
                <w:sz w:val="18"/>
                <w:szCs w:val="18"/>
                <w:color w:val="auto"/>
              </w:rPr>
              <w:t>$74.26</w:t>
            </w:r>
          </w:p>
        </w:tc>
        <w:tc>
          <w:tcPr>
            <w:tcW w:w="300" w:type="dxa"/>
            <w:vAlign w:val="bottom"/>
          </w:tcPr>
          <w:p>
            <w:pPr>
              <w:spacing w:after="0"/>
              <w:rPr>
                <w:sz w:val="19"/>
                <w:szCs w:val="19"/>
                <w:color w:val="auto"/>
              </w:rPr>
            </w:pPr>
          </w:p>
        </w:tc>
        <w:tc>
          <w:tcPr>
            <w:tcW w:w="2200" w:type="dxa"/>
            <w:vAlign w:val="bottom"/>
          </w:tcPr>
          <w:p>
            <w:pPr>
              <w:jc w:val="right"/>
              <w:ind w:right="153"/>
              <w:spacing w:after="0"/>
              <w:rPr>
                <w:sz w:val="20"/>
                <w:szCs w:val="20"/>
                <w:color w:val="auto"/>
              </w:rPr>
            </w:pPr>
            <w:r>
              <w:rPr>
                <w:rFonts w:ascii="Arial" w:cs="Arial" w:eastAsia="Arial" w:hAnsi="Arial"/>
                <w:sz w:val="18"/>
                <w:szCs w:val="18"/>
                <w:color w:val="auto"/>
              </w:rPr>
              <w:t>$77.92</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Gross Rents (7)</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3.42 %</w:t>
            </w:r>
          </w:p>
        </w:tc>
      </w:tr>
      <w:tr>
        <w:trPr>
          <w:trHeight w:val="225"/>
        </w:trPr>
        <w:tc>
          <w:tcPr>
            <w:tcW w:w="6540" w:type="dxa"/>
            <w:vAlign w:val="bottom"/>
          </w:tcPr>
          <w:p>
            <w:pPr>
              <w:ind w:left="20"/>
              <w:spacing w:after="0"/>
              <w:rPr>
                <w:sz w:val="20"/>
                <w:szCs w:val="20"/>
                <w:color w:val="auto"/>
              </w:rPr>
            </w:pPr>
            <w:r>
              <w:rPr>
                <w:rFonts w:ascii="Arial" w:cs="Arial" w:eastAsia="Arial" w:hAnsi="Arial"/>
                <w:sz w:val="18"/>
                <w:szCs w:val="18"/>
                <w:color w:val="auto"/>
              </w:rPr>
              <w:t>Increase (Decrease) in Net Rents (8)</w:t>
            </w:r>
          </w:p>
        </w:tc>
        <w:tc>
          <w:tcPr>
            <w:tcW w:w="2200" w:type="dxa"/>
            <w:vAlign w:val="bottom"/>
          </w:tcPr>
          <w:p>
            <w:pPr>
              <w:jc w:val="right"/>
              <w:spacing w:after="0"/>
              <w:rPr>
                <w:sz w:val="20"/>
                <w:szCs w:val="20"/>
                <w:color w:val="auto"/>
              </w:rPr>
            </w:pPr>
            <w:r>
              <w:rPr>
                <w:rFonts w:ascii="Arial" w:cs="Arial" w:eastAsia="Arial" w:hAnsi="Arial"/>
                <w:sz w:val="18"/>
                <w:szCs w:val="18"/>
                <w:color w:val="auto"/>
              </w:rPr>
              <w:t>(0.28)%</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4.89 %</w:t>
            </w:r>
          </w:p>
        </w:tc>
      </w:tr>
    </w:tbl>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__________________</w:t>
      </w:r>
    </w:p>
    <w:p>
      <w:pPr>
        <w:spacing w:after="0" w:line="22" w:lineRule="exact"/>
        <w:rPr>
          <w:sz w:val="20"/>
          <w:szCs w:val="20"/>
          <w:color w:val="auto"/>
        </w:rPr>
      </w:pPr>
    </w:p>
    <w:p>
      <w:pPr>
        <w:ind w:left="640" w:right="760" w:hanging="315"/>
        <w:spacing w:after="0" w:line="259" w:lineRule="auto"/>
        <w:tabs>
          <w:tab w:leader="none" w:pos="635" w:val="left"/>
        </w:tabs>
        <w:numPr>
          <w:ilvl w:val="0"/>
          <w:numId w:val="32"/>
        </w:numPr>
        <w:rPr>
          <w:rFonts w:ascii="Arial" w:cs="Arial" w:eastAsia="Arial" w:hAnsi="Arial"/>
          <w:sz w:val="15"/>
          <w:szCs w:val="15"/>
          <w:color w:val="auto"/>
        </w:rPr>
      </w:pPr>
      <w:r>
        <w:rPr>
          <w:rFonts w:ascii="Arial" w:cs="Arial" w:eastAsia="Arial" w:hAnsi="Arial"/>
          <w:sz w:val="15"/>
          <w:szCs w:val="15"/>
          <w:color w:val="auto"/>
        </w:rPr>
        <w:t>Total square feet of property dispositions during the six months ended June 30, 2021 consists of 29,595 square feet due to the sale of Annapolis Junction Building Six. Total square feet of properties taken out of service during the six months ended June 30, 2021 consists of 34,290 square feet at 880 Winter Street and 40,728 square feet at 800 Boylston Street - The Prudential Center, both due to redevelopment.</w:t>
      </w:r>
    </w:p>
    <w:p>
      <w:pPr>
        <w:ind w:left="640" w:right="680" w:hanging="315"/>
        <w:spacing w:after="0" w:line="242"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Total square feet of properties placed (and partially placed) in-service during the three months ended June 30, 2021 consists of 2,154 square feet at 100 Causeway Street. Total square feet of properties placed (and partially placed) in-service during the six months ended June 30, 2021 consists of 195,326 square feet of office and 31,950 square feet of retail at One Five Nine East 53rd Street and 2,154 square feet at 100 Causeway Street.</w:t>
      </w:r>
    </w:p>
    <w:p>
      <w:pPr>
        <w:spacing w:after="0" w:line="2" w:lineRule="exact"/>
        <w:rPr>
          <w:rFonts w:ascii="Arial" w:cs="Arial" w:eastAsia="Arial" w:hAnsi="Arial"/>
          <w:sz w:val="16"/>
          <w:szCs w:val="16"/>
          <w:color w:val="auto"/>
        </w:rPr>
      </w:pPr>
    </w:p>
    <w:p>
      <w:pPr>
        <w:ind w:left="640" w:right="880" w:hanging="315"/>
        <w:spacing w:after="0" w:line="242"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leases for which lease revenue recognition has commenced in accordance with GAAP during the three and six months ended June 30, 2021.</w:t>
      </w:r>
    </w:p>
    <w:p>
      <w:pPr>
        <w:spacing w:after="0" w:line="1" w:lineRule="exact"/>
        <w:rPr>
          <w:rFonts w:ascii="Arial" w:cs="Arial" w:eastAsia="Arial" w:hAnsi="Arial"/>
          <w:sz w:val="16"/>
          <w:szCs w:val="16"/>
          <w:color w:val="auto"/>
        </w:rPr>
      </w:pPr>
    </w:p>
    <w:p>
      <w:pPr>
        <w:ind w:left="640" w:right="920" w:hanging="315"/>
        <w:spacing w:after="0" w:line="242"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leases executed during the three and six months ended June 30, 2021 for which we either (1) commenced lease revenue recognition in such period or (2) will commence lease revenue recognition in subsequent periods, in accordance with GAAP, and includes leases at properties currently under development. The total square feet of leases executed and recognized in the three and six months ended June 30, 2021 is 327,426 and 414,078, respectively. Amounts for the three and six months ended June 30, 2021 exclude lease modifications related to COVID-19 to provide cash rent deferrals and/or abatements.</w:t>
      </w:r>
    </w:p>
    <w:p>
      <w:pPr>
        <w:spacing w:after="0" w:line="3" w:lineRule="exact"/>
        <w:rPr>
          <w:rFonts w:ascii="Arial" w:cs="Arial" w:eastAsia="Arial" w:hAnsi="Arial"/>
          <w:sz w:val="16"/>
          <w:szCs w:val="16"/>
          <w:color w:val="auto"/>
        </w:rPr>
      </w:pPr>
    </w:p>
    <w:p>
      <w:pPr>
        <w:ind w:left="640" w:right="780" w:hanging="315"/>
        <w:spacing w:after="0" w:line="242"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Second generation leases are defined as leases for space that had previously been leased by us. Of the 1,354,986 and 2,450,499 square feet of second generation leases that commenced during the three and six months ended June 30, 2021, respectively, leases for 1,029,714 and 2,041,549 square feet, respectively, were signed in prior periods.</w:t>
      </w:r>
    </w:p>
    <w:p>
      <w:pPr>
        <w:spacing w:after="0" w:line="1" w:lineRule="exact"/>
        <w:rPr>
          <w:rFonts w:ascii="Arial" w:cs="Arial" w:eastAsia="Arial" w:hAnsi="Arial"/>
          <w:sz w:val="16"/>
          <w:szCs w:val="16"/>
          <w:color w:val="auto"/>
        </w:rPr>
      </w:pPr>
    </w:p>
    <w:p>
      <w:pPr>
        <w:ind w:left="640" w:right="860" w:hanging="315"/>
        <w:spacing w:after="0" w:line="242"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Total transaction costs include tenant improvements and leasing commissions but exclude free rent concessions and other inducements in accordance with GAAP.</w:t>
      </w:r>
    </w:p>
    <w:p>
      <w:pPr>
        <w:spacing w:after="0" w:line="1" w:lineRule="exact"/>
        <w:rPr>
          <w:rFonts w:ascii="Arial" w:cs="Arial" w:eastAsia="Arial" w:hAnsi="Arial"/>
          <w:sz w:val="16"/>
          <w:szCs w:val="16"/>
          <w:color w:val="auto"/>
        </w:rPr>
      </w:pPr>
    </w:p>
    <w:p>
      <w:pPr>
        <w:ind w:left="640" w:right="680" w:hanging="315"/>
        <w:spacing w:after="0" w:line="246"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increase in gross rent (base rent plus expense reimbursements) on the new versus expired leases on the 975,749 and 1,711,181 square feet of second generation leases that had been occupied within the prior 12 months for the three and six months ended June 30, 2021, respectively; excludes leases that management considers temporary because the tenant is not expected to occupy the space on a long-term basis. Excluding retail leases, gross rent increased 14.14% on the new versus expired leases on the 928,977</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square feet of second generation leases that had been occupied within the prior 12 months for the three months ended June 30, 2021.</w:t>
      </w:r>
    </w:p>
    <w:p>
      <w:pPr>
        <w:spacing w:after="0" w:line="2" w:lineRule="exact"/>
        <w:rPr>
          <w:sz w:val="20"/>
          <w:szCs w:val="20"/>
          <w:color w:val="auto"/>
        </w:rPr>
      </w:pPr>
    </w:p>
    <w:p>
      <w:pPr>
        <w:ind w:left="640" w:right="780" w:hanging="315"/>
        <w:spacing w:after="0" w:line="245" w:lineRule="auto"/>
        <w:tabs>
          <w:tab w:leader="none" w:pos="6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increase in net rent (gross rent less operating expenses) on the new versus expired leases on the 975,749 and 1,711,181 square feet of second generation leases that had been occupied within the prior 12 months for the three and six months ended June 30, 2021, respectively; excludes leases that management considers temporary because the tenant is not expected to occupy the space on a long-term basis. Excluding retail leases, net rent increased 21.03% on the new versus expired leases on the 928,977 square feet of second generation leases that had been occupied within the prior 12 months for the three months ended June 30, 2021.</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Transactions during the three months ended June 30, 2021 included the following:</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Acquisitions/pending acquisitions activities</w:t>
      </w:r>
    </w:p>
    <w:p>
      <w:pPr>
        <w:spacing w:after="0" w:line="117" w:lineRule="exact"/>
        <w:rPr>
          <w:sz w:val="20"/>
          <w:szCs w:val="20"/>
          <w:color w:val="auto"/>
        </w:rPr>
      </w:pPr>
    </w:p>
    <w:p>
      <w:pPr>
        <w:ind w:left="960" w:right="80" w:hanging="315"/>
        <w:spacing w:after="0" w:line="248" w:lineRule="auto"/>
        <w:tabs>
          <w:tab w:leader="none" w:pos="9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April 19, 2021, we entered into an agreement to acquire 11251 Roger Bacon Drive, in Reston, Virginia, for an aggregate purchase price of approximately $5.6 million. The closing is scheduled to occur in the first quarter of 2022. 11251 Roger Bacon Drive is an approximately 65,000 square foot office building situated on approximately 2.6 acres. The property is 100% leased to a single tenant with a lease expiration prior to the planned closing. There can be no assurance that the acquisition will be consummated on the terms currently contemplated or at all.</w:t>
      </w:r>
    </w:p>
    <w:p>
      <w:pPr>
        <w:spacing w:after="0" w:line="153" w:lineRule="exact"/>
        <w:rPr>
          <w:rFonts w:ascii="Arial" w:cs="Arial" w:eastAsia="Arial" w:hAnsi="Arial"/>
          <w:sz w:val="18"/>
          <w:szCs w:val="18"/>
          <w:color w:val="auto"/>
        </w:rPr>
      </w:pPr>
    </w:p>
    <w:p>
      <w:pPr>
        <w:jc w:val="both"/>
        <w:ind w:left="960" w:right="180" w:hanging="315"/>
        <w:spacing w:after="0" w:line="249" w:lineRule="auto"/>
        <w:tabs>
          <w:tab w:leader="none" w:pos="9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June 2, 2021, we acquired 153 &amp; 211 Second Avenue located in Waltham, Massachusetts for an aggregate purchase price of approximately $100.2 million in cash. 153 &amp; 211 Second Avenue consists of two life sciences lab buildings totaling approximately 137,000 net rentable square feet. The properties are 100% leased.</w:t>
      </w:r>
    </w:p>
    <w:p>
      <w:pPr>
        <w:spacing w:after="0" w:line="153" w:lineRule="exact"/>
        <w:rPr>
          <w:rFonts w:ascii="Arial" w:cs="Arial" w:eastAsia="Arial" w:hAnsi="Arial"/>
          <w:sz w:val="18"/>
          <w:szCs w:val="18"/>
          <w:color w:val="auto"/>
        </w:rPr>
      </w:pPr>
    </w:p>
    <w:p>
      <w:pPr>
        <w:ind w:left="960" w:right="200" w:hanging="315"/>
        <w:spacing w:after="0" w:line="261" w:lineRule="auto"/>
        <w:tabs>
          <w:tab w:leader="none" w:pos="9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June 7, 2021, we entered into an agreement to acquire Shady Grove Bio+Tech Campus in Rockville, Maryland, for an aggregate purchase price of approximately $116.5 million. The closing is scheduled to occur in the third quarter of 2021. Our refundable deposit of $10.0 million is reflected as Cash and Cash Equivalents in our Consolidated Balance Sheets. Shady Grove Bio+Tech Campus is an approximately 435,000 net rentable square foot, seven-building office park situated on an approximately</w:t>
      </w:r>
    </w:p>
    <w:p>
      <w:pPr>
        <w:ind w:left="960" w:right="180"/>
        <w:spacing w:after="0" w:line="252" w:lineRule="auto"/>
        <w:rPr>
          <w:rFonts w:ascii="Arial" w:cs="Arial" w:eastAsia="Arial" w:hAnsi="Arial"/>
          <w:sz w:val="17"/>
          <w:szCs w:val="17"/>
          <w:color w:val="auto"/>
        </w:rPr>
      </w:pPr>
      <w:r>
        <w:rPr>
          <w:rFonts w:ascii="Arial" w:cs="Arial" w:eastAsia="Arial" w:hAnsi="Arial"/>
          <w:sz w:val="18"/>
          <w:szCs w:val="18"/>
          <w:color w:val="auto"/>
        </w:rPr>
        <w:t>31-acre site. We intend to reposition three of the buildings, which are currently vacant, to support life sciences uses (See Note 15 to the Consolidated Financial Statements).</w:t>
      </w:r>
    </w:p>
    <w:p>
      <w:pPr>
        <w:spacing w:after="0" w:line="150" w:lineRule="exact"/>
        <w:rPr>
          <w:rFonts w:ascii="Arial" w:cs="Arial" w:eastAsia="Arial" w:hAnsi="Arial"/>
          <w:sz w:val="17"/>
          <w:szCs w:val="17"/>
          <w:color w:val="auto"/>
        </w:rPr>
      </w:pPr>
    </w:p>
    <w:p>
      <w:pPr>
        <w:ind w:left="960" w:right="20" w:hanging="315"/>
        <w:spacing w:after="0" w:line="247" w:lineRule="auto"/>
        <w:tabs>
          <w:tab w:leader="none" w:pos="9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June 25, 2021, we entered into an agreement to acquire 360 Park Avenue South in New York City, New York for an aggregate purchase price of approximately $300.0 million, including (1) the assumption of the mortgage loan collateralized by the property totaling approximately $202.0 million and (2) BPLP’s issuance of approximately $98.0 million of OP Units, with a floor price of $111.00 per OP Unit. The closing is scheduled to occur in the fourth quarter of 2021. Our deposit of $30.0 million is reflected as Cash Held in Escrows in our Consolidated Balance Sheets. 360 Park Avenue South is an approximately 450,000 square foot Class A office building. Upon acquisition, the building will be vacant and we intend to redevelop or reposition the building. There can be no assurance that the acquisition will be consummated on the terms currently contemplated or at all.</w:t>
      </w:r>
    </w:p>
    <w:p>
      <w:pPr>
        <w:spacing w:after="0" w:line="157" w:lineRule="exact"/>
        <w:rPr>
          <w:rFonts w:ascii="Arial" w:cs="Arial" w:eastAsia="Arial" w:hAnsi="Arial"/>
          <w:sz w:val="18"/>
          <w:szCs w:val="18"/>
          <w:color w:val="auto"/>
        </w:rPr>
      </w:pPr>
    </w:p>
    <w:p>
      <w:pPr>
        <w:ind w:left="960" w:hanging="315"/>
        <w:spacing w:after="0" w:line="248" w:lineRule="auto"/>
        <w:tabs>
          <w:tab w:leader="none" w:pos="9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June 29, 2021, we entered into an escrow agreement in connection with an option granted to us to purchase Safeco Plaza in Seattle, Washington. Our refundable deposit of $46.5 million is reflected as Cash and Cash Equivalents in our Consolidated Balance Sheets. Safeco Plaza is an approximately 800,000 square foot Class A office building. There can be no assurance that the acquisition will be consummated on the terms currently contemplated or at all (See Note 15 to the Consolidated Financial Statements).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Developments/redevelopments activities</w:t>
      </w:r>
    </w:p>
    <w:p>
      <w:pPr>
        <w:spacing w:after="0" w:line="104" w:lineRule="exact"/>
        <w:rPr>
          <w:sz w:val="20"/>
          <w:szCs w:val="20"/>
          <w:color w:val="auto"/>
        </w:rPr>
      </w:pPr>
    </w:p>
    <w:p>
      <w:pPr>
        <w:ind w:left="960" w:right="40" w:hanging="315"/>
        <w:spacing w:after="0" w:line="249" w:lineRule="auto"/>
        <w:tabs>
          <w:tab w:leader="none" w:pos="956" w:val="left"/>
        </w:tabs>
        <w:numPr>
          <w:ilvl w:val="0"/>
          <w:numId w:val="35"/>
        </w:numPr>
        <w:rPr>
          <w:rFonts w:ascii="Arial" w:cs="Arial" w:eastAsia="Arial" w:hAnsi="Arial"/>
          <w:sz w:val="14"/>
          <w:szCs w:val="14"/>
          <w:color w:val="auto"/>
        </w:rPr>
      </w:pPr>
      <w:r>
        <w:rPr>
          <w:rFonts w:ascii="Arial" w:cs="Arial" w:eastAsia="Arial" w:hAnsi="Arial"/>
          <w:sz w:val="18"/>
          <w:szCs w:val="18"/>
          <w:color w:val="auto"/>
        </w:rPr>
        <w:t>On April 16, 2021, we removed 3625-3635 Peterson Way from our in-service portfolio following the lease expiration of the last tenant on April 15, 2021. We intend to demolish the building and redevelop the site at a future date. 3625-3635 Peterson Way is an approximately 218,000 net rentable square foot Class A office building located in Santa Clara, California.</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Unconsolidated joint venture activities</w:t>
      </w:r>
    </w:p>
    <w:p>
      <w:pPr>
        <w:spacing w:after="0" w:line="104" w:lineRule="exact"/>
        <w:rPr>
          <w:sz w:val="20"/>
          <w:szCs w:val="20"/>
          <w:color w:val="auto"/>
        </w:rPr>
      </w:pPr>
    </w:p>
    <w:p>
      <w:pPr>
        <w:ind w:left="960" w:right="440" w:hanging="315"/>
        <w:spacing w:after="0" w:line="252" w:lineRule="auto"/>
        <w:tabs>
          <w:tab w:leader="none" w:pos="9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June 11, 2021, a joint venture in which we have a 50% interest partially placed in-service 100 Causeway Street, a Class A office project with approximately 632,000 net rentable square feet located in Boston, Massachusetts.</w:t>
      </w:r>
    </w:p>
    <w:p>
      <w:pPr>
        <w:spacing w:after="0" w:line="150" w:lineRule="exact"/>
        <w:rPr>
          <w:rFonts w:ascii="Arial" w:cs="Arial" w:eastAsia="Arial" w:hAnsi="Arial"/>
          <w:sz w:val="18"/>
          <w:szCs w:val="18"/>
          <w:color w:val="auto"/>
        </w:rPr>
      </w:pPr>
    </w:p>
    <w:p>
      <w:pPr>
        <w:ind w:left="960" w:right="40" w:hanging="315"/>
        <w:spacing w:after="0" w:line="248" w:lineRule="auto"/>
        <w:tabs>
          <w:tab w:leader="none" w:pos="9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June 29, 2021, we enhanced our investment capacity through the creation of a co-investment program with two partners, which will target an aggregate equity investment of $1.0 billion. The program expects to employ leverage allowing for an initial investment capacity of approximately $2.0 billion. Under the two-year agreement, we will provide our partners first offers to form joint ventures with us to invest in acquisition opportunities that meet the program’s target investment criteria. Each investment opportunity is discretionary.</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960" w:hanging="315"/>
        <w:spacing w:after="0" w:line="248" w:lineRule="auto"/>
        <w:tabs>
          <w:tab w:leader="none" w:pos="9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May 19, 2021, we amended the ground lease at Sumner Square in Washington, DC. The amendment extends the ground lease for an additional 15 years. Prior to the amendment, the ground lease was scheduled to expire on August 10, 2066. The ground lease will now expire on August 9, 2081. Sumner Square is an approximately 210,000 net rentable square foot Class A office building.</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Transaction</w:t>
      </w:r>
    </w:p>
    <w:p>
      <w:pPr>
        <w:spacing w:after="0" w:line="117" w:lineRule="exact"/>
        <w:rPr>
          <w:sz w:val="20"/>
          <w:szCs w:val="20"/>
          <w:color w:val="auto"/>
        </w:rPr>
      </w:pPr>
    </w:p>
    <w:p>
      <w:pPr>
        <w:ind w:left="960" w:right="60" w:hanging="315"/>
        <w:spacing w:after="0" w:line="248" w:lineRule="auto"/>
        <w:tabs>
          <w:tab w:leader="none" w:pos="9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April 1, 2021, BXP redeemed 80,000 shares of Series B Preferred Stock (including the corresponding 8,000,000 Depositary Shares), which represented all of the outstanding shares of Series B Preferred Stock and all of the outstanding Depositary Shares. The redemption price for all outstanding shares of Series B Preferred Stock was approximately $201.3 million, including approximately $1.3 million of accrued and unpaid dividends to, but not including, the redemption date.</w:t>
      </w:r>
    </w:p>
    <w:p>
      <w:pPr>
        <w:spacing w:after="0" w:line="23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Capital markets activities</w:t>
      </w:r>
    </w:p>
    <w:p>
      <w:pPr>
        <w:spacing w:after="0" w:line="117" w:lineRule="exact"/>
        <w:rPr>
          <w:sz w:val="20"/>
          <w:szCs w:val="20"/>
          <w:color w:val="auto"/>
        </w:rPr>
      </w:pPr>
    </w:p>
    <w:p>
      <w:pPr>
        <w:ind w:left="960" w:hanging="315"/>
        <w:spacing w:after="0" w:line="264" w:lineRule="auto"/>
        <w:tabs>
          <w:tab w:leader="none" w:pos="9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June 15, 2021, BPLP amended and restated its unsecured revolving credit agreement (as amended and restated, the “2021 Credit Facility”). The 2021 Credit Facility provides for borrowings of up to $1.5 billion (the “Revolving Facility”), subject to customary conditions. Among other things, the amendment and restatement (1) extended the maturity date to June 15, 2026, (2) eliminated the $500.0 million delayed draw term loan facility (“Delayed Draw Facility”) provided under the previous credit agreement (the “2017 Credit Facility”), (3) reduced the per annum variable interest rates on borrowings and (4) added a sustainability-linked pricing component. Under the 2021 Credit Facility, BPLP may increase the total commitment by up to $500.0 million by increasing the amount of the Revolving Facility and/or by incurring one or more term loans, in each case, subject to syndication of the increase and other conditions. The 2021 Credit Facility replaced the 2017 Credit Facility, which was scheduled to expire on April 24, 2022.</w:t>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Transactions completed subsequent to June 30, 2021 included the following:</w:t>
      </w:r>
    </w:p>
    <w:p>
      <w:pPr>
        <w:spacing w:after="0" w:line="99" w:lineRule="exact"/>
        <w:rPr>
          <w:sz w:val="20"/>
          <w:szCs w:val="20"/>
          <w:color w:val="auto"/>
        </w:rPr>
      </w:pPr>
    </w:p>
    <w:p>
      <w:pPr>
        <w:jc w:val="both"/>
        <w:ind w:left="960" w:right="700" w:hanging="315"/>
        <w:spacing w:after="0" w:line="249" w:lineRule="auto"/>
        <w:tabs>
          <w:tab w:leader="none" w:pos="9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July 13, 2021, we entered into an agreement to sell our 181,191 and 201 Spring Street properties located in Lexington, Massachusetts for an aggregate gross sale price of $191.5 million. 181,191 and 201 Spring Street are three Class A office properties aggregating approximately 333,000 net rentable square feet and are 100% leased.</w:t>
      </w:r>
    </w:p>
    <w:p>
      <w:pPr>
        <w:spacing w:after="0" w:line="153" w:lineRule="exact"/>
        <w:rPr>
          <w:rFonts w:ascii="Arial" w:cs="Arial" w:eastAsia="Arial" w:hAnsi="Arial"/>
          <w:sz w:val="18"/>
          <w:szCs w:val="18"/>
          <w:color w:val="auto"/>
        </w:rPr>
      </w:pPr>
    </w:p>
    <w:p>
      <w:pPr>
        <w:ind w:left="960" w:right="20" w:hanging="315"/>
        <w:spacing w:after="0" w:line="248" w:lineRule="auto"/>
        <w:tabs>
          <w:tab w:leader="none" w:pos="9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On July 20, 2021, we </w:t>
      </w:r>
      <w:r>
        <w:rPr>
          <w:rFonts w:ascii="Arial" w:cs="Arial" w:eastAsia="Arial" w:hAnsi="Arial"/>
          <w:sz w:val="18"/>
          <w:szCs w:val="18"/>
          <w:color w:val="auto"/>
          <w:highlight w:val="white"/>
        </w:rPr>
        <w:t>agreed to</w:t>
      </w:r>
      <w:r>
        <w:rPr>
          <w:rFonts w:ascii="Arial" w:cs="Arial" w:eastAsia="Arial" w:hAnsi="Arial"/>
          <w:sz w:val="18"/>
          <w:szCs w:val="18"/>
          <w:color w:val="auto"/>
        </w:rPr>
        <w:t xml:space="preserve"> acquire Safeco Plaza in Seattle, Washington for an aggregate cash purchase price of approximately $465.0 million. We and our prospective partner have funded a deposit of $51.5 million of which our share of the deposit is $26.3 million. Safeco Plaza is an approximately 800,000 square foot Class A office building. </w:t>
      </w:r>
      <w:r>
        <w:rPr>
          <w:rFonts w:ascii="Arial" w:cs="Arial" w:eastAsia="Arial" w:hAnsi="Arial"/>
          <w:sz w:val="18"/>
          <w:szCs w:val="18"/>
          <w:color w:val="auto"/>
          <w:highlight w:val="white"/>
        </w:rPr>
        <w:t>The acquisition is subject to</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customary closing conditions for a transaction of this type, and there can be no assurance that the acquisition will be consummated on the terms currently contemplated or at all </w:t>
      </w:r>
      <w:r>
        <w:rPr>
          <w:rFonts w:ascii="Arial" w:cs="Arial" w:eastAsia="Arial" w:hAnsi="Arial"/>
          <w:sz w:val="18"/>
          <w:szCs w:val="18"/>
          <w:color w:val="auto"/>
        </w:rPr>
        <w:t>(See Note 3 to the Consolidated Financial Statements).</w:t>
      </w:r>
    </w:p>
    <w:p>
      <w:pPr>
        <w:spacing w:after="0" w:line="153" w:lineRule="exact"/>
        <w:rPr>
          <w:rFonts w:ascii="Arial" w:cs="Arial" w:eastAsia="Arial" w:hAnsi="Arial"/>
          <w:sz w:val="18"/>
          <w:szCs w:val="18"/>
          <w:color w:val="auto"/>
        </w:rPr>
      </w:pPr>
    </w:p>
    <w:p>
      <w:pPr>
        <w:ind w:left="960" w:right="320" w:hanging="315"/>
        <w:spacing w:after="0" w:line="248" w:lineRule="auto"/>
        <w:tabs>
          <w:tab w:leader="none" w:pos="9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August 2, 2021, we acquired Shady Grove Bio+Tech Campus in Rockville, Maryland for an aggregate purchase price of approximately $116.5 million. Shady Grove Bio+Tech Campus is an approximately 435,000 net rentable square foot, seven-building office park situated on an approximately 31-acre site. We intend to reposition three of the buildings, which are currently vacant, to support life sciences uses (See Note 3 to the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right="20" w:firstLine="439"/>
        <w:spacing w:after="0" w:line="263" w:lineRule="auto"/>
        <w:rPr>
          <w:sz w:val="20"/>
          <w:szCs w:val="20"/>
          <w:color w:val="auto"/>
        </w:rPr>
      </w:pPr>
      <w:r>
        <w:rPr>
          <w:rFonts w:ascii="Arial" w:cs="Arial" w:eastAsia="Arial" w:hAnsi="Arial"/>
          <w:sz w:val="17"/>
          <w:szCs w:val="17"/>
          <w:color w:val="auto"/>
        </w:rPr>
        <w:t>Management’s Discussion and Analysis of Financial Condition and Results of Operations discuss our Consolidated Financial Statements, which have been prepared in accordance with generally accepted accounting principles (“GAAP”). The preparation of these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Certain accounting policies are considered to be critical accounting policies, as they require management to make assumptions about matters that are highly uncertain at the time the estimate is made and changes in accounting estimate are reasonably likely to occur from period to period. Management bases its estimates and assumptions on historical experience and current economic conditions. On an on-going basis, management evaluates its estimates and assumptions including those related to revenue, impairment of long-lived assets and the allowance for doubtful accounts. Actual results may differ from those estimates and assumptions.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Annual Report on Form 10-K for the year ended December 31, 2020 contains a discussion of our critical accounting policies.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Management discusses and reviews our critical accounting policies and management’s judgments and estimates with BXP’s Audit Committee.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2021 and 2020</w:t>
      </w:r>
    </w:p>
    <w:p>
      <w:pPr>
        <w:spacing w:after="0" w:line="121"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Net income attributable to Boston Properties, Inc. common shareholders and net income attributable to Boston Properties Limited Partnership common unitholders decreased approximately $560.9 million and $636.7 million for the six months ended June 30, 2021 compared to 2020, respectively, as set forth in the following tables and for the reasons discussed below under the heading “</w:t>
      </w:r>
      <w:r>
        <w:rPr>
          <w:rFonts w:ascii="Arial" w:cs="Arial" w:eastAsia="Arial" w:hAnsi="Arial"/>
          <w:sz w:val="18"/>
          <w:szCs w:val="18"/>
          <w:i w:val="1"/>
          <w:iCs w:val="1"/>
          <w:color w:val="auto"/>
        </w:rPr>
        <w:t>Comparison of the six months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ended June 30, 2021 to the six months ended June 30, 2020” </w:t>
      </w:r>
      <w:r>
        <w:rPr>
          <w:rFonts w:ascii="Arial" w:cs="Arial" w:eastAsia="Arial" w:hAnsi="Arial"/>
          <w:sz w:val="18"/>
          <w:szCs w:val="18"/>
          <w:color w:val="auto"/>
        </w:rPr>
        <w:t>within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p>
    <w:p>
      <w:pPr>
        <w:spacing w:after="0" w:line="154" w:lineRule="exact"/>
        <w:rPr>
          <w:sz w:val="20"/>
          <w:szCs w:val="20"/>
          <w:color w:val="auto"/>
        </w:rPr>
      </w:pPr>
    </w:p>
    <w:p>
      <w:pPr>
        <w:ind w:right="100" w:firstLine="439"/>
        <w:spacing w:after="0" w:line="249" w:lineRule="auto"/>
        <w:rPr>
          <w:sz w:val="20"/>
          <w:szCs w:val="20"/>
          <w:color w:val="auto"/>
        </w:rPr>
      </w:pPr>
      <w:r>
        <w:rPr>
          <w:rFonts w:ascii="Arial" w:cs="Arial" w:eastAsia="Arial" w:hAnsi="Arial"/>
          <w:sz w:val="18"/>
          <w:szCs w:val="18"/>
          <w:color w:val="auto"/>
        </w:rPr>
        <w:t>The following are reconciliations of Net Income Attributable to Boston Properties, Inc. Common Shareholders to Net Operating Income and Net Income Attributable to Boston Properties Limited Partnership Common Unitholders to Net Operating Income for the six months ended June 30, 2021 and 2020 (in thousands):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ind w:left="120"/>
              <w:spacing w:after="0"/>
              <w:rPr>
                <w:sz w:val="20"/>
                <w:szCs w:val="20"/>
                <w:color w:val="auto"/>
              </w:rPr>
            </w:pPr>
            <w:r>
              <w:rPr>
                <w:rFonts w:ascii="Arial" w:cs="Arial" w:eastAsia="Arial" w:hAnsi="Arial"/>
                <w:sz w:val="15"/>
                <w:szCs w:val="15"/>
                <w:b w:val="1"/>
                <w:bCs w:val="1"/>
                <w:color w:val="auto"/>
              </w:rPr>
              <w:t>Six months ended June 30,</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20"/>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21"/>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Arial" w:cs="Arial" w:eastAsia="Arial" w:hAnsi="Arial"/>
                <w:sz w:val="15"/>
                <w:szCs w:val="15"/>
                <w:b w:val="1"/>
                <w:bCs w:val="1"/>
                <w:color w:val="auto"/>
              </w:rPr>
              <w:t>Increase/</w:t>
            </w:r>
          </w:p>
        </w:tc>
        <w:tc>
          <w:tcPr>
            <w:tcW w:w="1400" w:type="dxa"/>
            <w:vAlign w:val="bottom"/>
          </w:tcPr>
          <w:p>
            <w:pPr>
              <w:jc w:val="right"/>
              <w:ind w:right="561"/>
              <w:spacing w:after="0" w:line="14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(Decrease)</w:t>
            </w:r>
          </w:p>
        </w:tc>
        <w:tc>
          <w:tcPr>
            <w:tcW w:w="1400" w:type="dxa"/>
            <w:vAlign w:val="bottom"/>
          </w:tcPr>
          <w:p>
            <w:pPr>
              <w:jc w:val="right"/>
              <w:ind w:right="341"/>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07"/>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203,372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764,232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(560,860)</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(73.39)%</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Preferred stock redemption charge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6,412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dividends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(51.24)%</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212,344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769,482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(557,138)</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(72.40)%</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87,525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(64,103)</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(73.24)%</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18,719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14,912</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79.66 %</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269,397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875,726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(606,329)</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(69.24)%</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208,733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Losses from early extinguishment of debt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540.54 %</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4,322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(39.38)%</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613,932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(606,176)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(98.74)%</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Income from unconsolidated joint ventures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1,463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2,389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163.29 %</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349,282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3.18 %</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14.26 %</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7.67 %</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83,364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74,197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9,167</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12.35 %</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100" w:type="dxa"/>
            <w:vAlign w:val="bottom"/>
            <w:shd w:val="clear" w:color="auto" w:fill="CCEEFF"/>
          </w:tcPr>
          <w:p>
            <w:pPr>
              <w:ind w:left="340"/>
              <w:spacing w:after="0" w:line="178"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contracts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7.67 %</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16,004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3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897,116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874,057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23,059</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5"/>
                <w:szCs w:val="15"/>
                <w:b w:val="1"/>
                <w:bCs w:val="1"/>
                <w:color w:val="auto"/>
              </w:rPr>
              <w:t>Six months ended June 30,</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6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20"/>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01"/>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4" w:lineRule="exact"/>
              <w:rPr>
                <w:sz w:val="20"/>
                <w:szCs w:val="20"/>
                <w:color w:val="auto"/>
              </w:rPr>
            </w:pPr>
            <w:r>
              <w:rPr>
                <w:rFonts w:ascii="Arial" w:cs="Arial" w:eastAsia="Arial" w:hAnsi="Arial"/>
                <w:sz w:val="15"/>
                <w:szCs w:val="15"/>
                <w:b w:val="1"/>
                <w:bCs w:val="1"/>
                <w:color w:val="auto"/>
                <w:w w:val="98"/>
              </w:rPr>
              <w:t>Increase/</w:t>
            </w:r>
          </w:p>
        </w:tc>
        <w:tc>
          <w:tcPr>
            <w:tcW w:w="1340" w:type="dxa"/>
            <w:vAlign w:val="bottom"/>
          </w:tcPr>
          <w:p>
            <w:pPr>
              <w:jc w:val="right"/>
              <w:ind w:right="521"/>
              <w:spacing w:after="0" w:line="14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9"/>
              </w:rPr>
              <w:t>(Decrease)</w:t>
            </w:r>
          </w:p>
        </w:tc>
        <w:tc>
          <w:tcPr>
            <w:tcW w:w="1340" w:type="dxa"/>
            <w:vAlign w:val="bottom"/>
          </w:tcPr>
          <w:p>
            <w:pPr>
              <w:jc w:val="right"/>
              <w:ind w:right="321"/>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55"/>
        </w:trPr>
        <w:tc>
          <w:tcPr>
            <w:tcW w:w="60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Unitholders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868,308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(636,689)</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(73.33)%</w:t>
            </w:r>
          </w:p>
        </w:tc>
        <w:tc>
          <w:tcPr>
            <w:tcW w:w="0" w:type="dxa"/>
            <w:vAlign w:val="bottom"/>
          </w:tcPr>
          <w:p>
            <w:pPr>
              <w:spacing w:after="0"/>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6"/>
                <w:szCs w:val="16"/>
                <w:color w:val="auto"/>
              </w:rPr>
              <w:t>Preferred unit redemption charge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6,412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distributions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1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(51.24)%</w:t>
            </w:r>
          </w:p>
        </w:tc>
        <w:tc>
          <w:tcPr>
            <w:tcW w:w="0" w:type="dxa"/>
            <w:vAlign w:val="bottom"/>
          </w:tcPr>
          <w:p>
            <w:pPr>
              <w:spacing w:after="0"/>
              <w:rPr>
                <w:sz w:val="1"/>
                <w:szCs w:val="1"/>
                <w:color w:val="auto"/>
              </w:rPr>
            </w:pPr>
          </w:p>
        </w:tc>
      </w:tr>
      <w:tr>
        <w:trPr>
          <w:trHeight w:val="206"/>
        </w:trPr>
        <w:tc>
          <w:tcPr>
            <w:tcW w:w="608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240,591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873,558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(632,967)</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(72.46)%</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14,912</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79.66 %</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892,277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(618,055)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(69.27)%</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214,221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208,733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5,488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2.63 %</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Losses from early extinguishment of debt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4,827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540.54 %</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other income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(39.38)%</w:t>
            </w:r>
          </w:p>
        </w:tc>
        <w:tc>
          <w:tcPr>
            <w:tcW w:w="0" w:type="dxa"/>
            <w:vAlign w:val="bottom"/>
          </w:tcPr>
          <w:p>
            <w:pPr>
              <w:spacing w:after="0"/>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6"/>
                <w:szCs w:val="16"/>
                <w:color w:val="auto"/>
              </w:rPr>
              <w:t>Gains on sales of real estate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626,895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(619,139)</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(98.76)%</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from unconsolidated joint ventures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163.29 %</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355,578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345,694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9,884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2.86 %</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14.26 %</w:t>
            </w:r>
          </w:p>
        </w:tc>
        <w:tc>
          <w:tcPr>
            <w:tcW w:w="0" w:type="dxa"/>
            <w:vAlign w:val="bottom"/>
          </w:tcPr>
          <w:p>
            <w:pPr>
              <w:spacing w:after="0"/>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7.67 %</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12.35 %</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80" w:type="dxa"/>
            <w:vAlign w:val="bottom"/>
          </w:tcPr>
          <w:p>
            <w:pPr>
              <w:ind w:left="340"/>
              <w:spacing w:after="0" w:line="175"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500"/>
              <w:spacing w:after="0"/>
              <w:rPr>
                <w:sz w:val="20"/>
                <w:szCs w:val="20"/>
                <w:color w:val="auto"/>
              </w:rPr>
            </w:pPr>
            <w:r>
              <w:rPr>
                <w:rFonts w:ascii="Arial" w:cs="Arial" w:eastAsia="Arial" w:hAnsi="Arial"/>
                <w:sz w:val="16"/>
                <w:szCs w:val="16"/>
                <w:color w:val="auto"/>
              </w:rPr>
              <w:t>contracts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7.67 %</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w:t>
            </w:r>
          </w:p>
        </w:tc>
        <w:tc>
          <w:tcPr>
            <w:tcW w:w="1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897,116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874,057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23,059</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2.64 %</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ind w:right="60" w:firstLine="439"/>
        <w:spacing w:after="0" w:line="247" w:lineRule="auto"/>
        <w:rPr>
          <w:sz w:val="20"/>
          <w:szCs w:val="20"/>
          <w:color w:val="auto"/>
        </w:rPr>
      </w:pPr>
      <w:r>
        <w:rPr>
          <w:rFonts w:ascii="Arial" w:cs="Arial" w:eastAsia="Arial" w:hAnsi="Arial"/>
          <w:sz w:val="18"/>
          <w:szCs w:val="18"/>
          <w:color w:val="auto"/>
        </w:rPr>
        <w:t>At June 30, 2021 and 2020, we owned or had joint venture interests in a portfolio of 197 and 195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is meaningful. Therefore, the comparison of operating results for the three and six months ended June 30, 2021 and 2020 show separately the changes attributable to the properties that were owned by us and in-service throughout each period compared (the “Same Property Portfolio”) and the changes attributable to the properties included in the Acquired, Placed In-Service, Development or Redevelopment or Sold Portfolios.</w:t>
      </w:r>
    </w:p>
    <w:p>
      <w:pPr>
        <w:spacing w:after="0" w:line="158"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In our analysis of operating results, particularly to make comparisons of net operating income between periods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development or redevelopment after the beginning of the earliest period presented or disposed of prior to the end of the latest period presented.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Net operating income (“NOI”) is a non-GAAP financial measure equal to net income attributable to Boston Properties, Inc. common shareholders and net income attributable to Boston Properties Limited Partnership common unitholders, as applicable, the most directly comparable GAAP financial measures, plus (1) preferred stock/unit redemption charge, preferred dividends/distributions, net income attributable to noncontrolling interests, interest expense, losses from early extinguishment of debt, depreciation and amortization expense, transaction costs, payroll and related costs from management services contracts and corporate general and administrative expense less (2) gains (losses) from investments in securities, interest and other income (loss), gains on sales of real estate, income (loss) from unconsolidated joint ventures,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common shareholders and net income attributable to Boston Properties Limited Partnership common unitholders.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81" w:lineRule="exact"/>
        <w:rPr>
          <w:sz w:val="20"/>
          <w:szCs w:val="20"/>
          <w:color w:val="auto"/>
        </w:rPr>
      </w:pPr>
    </w:p>
    <w:p>
      <w:pPr>
        <w:ind w:right="80" w:firstLine="439"/>
        <w:spacing w:after="0" w:line="247" w:lineRule="auto"/>
        <w:rPr>
          <w:sz w:val="20"/>
          <w:szCs w:val="20"/>
          <w:color w:val="auto"/>
        </w:rPr>
      </w:pPr>
      <w:r>
        <w:rPr>
          <w:rFonts w:ascii="Arial" w:cs="Arial" w:eastAsia="Arial" w:hAnsi="Arial"/>
          <w:sz w:val="18"/>
          <w:szCs w:val="18"/>
          <w:color w:val="auto"/>
        </w:rPr>
        <w:t>We believe that, in order to facilitate a clear understanding of our operating results, NOI should be examined in conjunction with net income attributable to Boston Properties, Inc. common shareholders and net income attributable to Boston Properties Limited Partnership common unitholders as presented in our Consolidated Financial Statements. NOI should not be considered as a substitute for net income attributable to Boston Properties, Inc. common shareholders or net income attributable to Boston Properties Limited Partnership common unitholders (determined in accordance with GAAP) or any other GAAP financial measures and should only be considered together with and as a supplement to our financial information prepared in accordance with GAAP.</w:t>
      </w:r>
    </w:p>
    <w:p>
      <w:pPr>
        <w:spacing w:after="0" w:line="158" w:lineRule="exact"/>
        <w:rPr>
          <w:sz w:val="20"/>
          <w:szCs w:val="20"/>
          <w:color w:val="auto"/>
        </w:rPr>
      </w:pPr>
    </w:p>
    <w:p>
      <w:pPr>
        <w:ind w:right="220" w:firstLine="439"/>
        <w:spacing w:after="0" w:line="247" w:lineRule="auto"/>
        <w:rPr>
          <w:sz w:val="20"/>
          <w:szCs w:val="20"/>
          <w:color w:val="auto"/>
        </w:rPr>
      </w:pPr>
      <w:r>
        <w:rPr>
          <w:rFonts w:ascii="Arial" w:cs="Arial" w:eastAsia="Arial" w:hAnsi="Arial"/>
          <w:sz w:val="18"/>
          <w:szCs w:val="18"/>
          <w:color w:val="auto"/>
        </w:rPr>
        <w:t>The gains on sales of real estate, depreciation expense and impairment losses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gains on sales of real estate, depreciation expense and impairment losses, when those properties are sold. For additional information see the Explanatory Note that follows the cover page of this Quarterly Report on Form 10-Q.</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six months ended June 30, 2021 to the six months ended June 30, 2020</w:t>
      </w:r>
    </w:p>
    <w:p>
      <w:pPr>
        <w:spacing w:after="0" w:line="121" w:lineRule="exact"/>
        <w:rPr>
          <w:sz w:val="20"/>
          <w:szCs w:val="20"/>
          <w:color w:val="auto"/>
        </w:rPr>
      </w:pPr>
    </w:p>
    <w:p>
      <w:pPr>
        <w:ind w:right="160" w:firstLine="439"/>
        <w:spacing w:after="0" w:line="247" w:lineRule="auto"/>
        <w:rPr>
          <w:sz w:val="20"/>
          <w:szCs w:val="20"/>
          <w:color w:val="auto"/>
        </w:rPr>
      </w:pPr>
      <w:r>
        <w:rPr>
          <w:rFonts w:ascii="Arial" w:cs="Arial" w:eastAsia="Arial" w:hAnsi="Arial"/>
          <w:sz w:val="18"/>
          <w:szCs w:val="18"/>
          <w:color w:val="auto"/>
        </w:rPr>
        <w:t>The table below shows selected operating information for the Same Property Portfolio and the Total Property Portfolio. The Same Property Portfolio consists of 140 properties totaling approximately 39.0 million net rentable square feet, excluding unconsolidated joint ventures. The Same Property Portfolio includes properties acquired or placed in-service on or prior to January 1, 2020 and owned and in service through June 30, 2021. The Total Property Portfolio includes the effects of the other properties either acquired, placed in-service, in development or redevelopment after January 1, 2020 or disposed of on or prior to June 30, 2021. This table includes a reconciliation from the Same Property Portfolio to the Total Property Portfolio by also providing information for the six months ended June 30, 2021 and 2020 with respect to the properties that were acquired, placed in-service, in development or redevelopment or sold.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restart"/>
          </w:tcPr>
          <w:p>
            <w:pPr>
              <w:jc w:val="center"/>
              <w:ind w:right="180"/>
              <w:spacing w:after="0"/>
              <w:rPr>
                <w:sz w:val="20"/>
                <w:szCs w:val="20"/>
                <w:color w:val="auto"/>
              </w:rPr>
            </w:pPr>
            <w:r>
              <w:rPr>
                <w:rFonts w:ascii="Arial" w:cs="Arial" w:eastAsia="Arial" w:hAnsi="Arial"/>
                <w:sz w:val="12"/>
                <w:szCs w:val="12"/>
                <w:b w:val="1"/>
                <w:bCs w:val="1"/>
                <w:color w:val="auto"/>
              </w:rPr>
              <w:t>Properties</w:t>
            </w:r>
          </w:p>
        </w:tc>
        <w:tc>
          <w:tcPr>
            <w:tcW w:w="1160" w:type="dxa"/>
            <w:vAlign w:val="bottom"/>
            <w:gridSpan w:val="4"/>
            <w:vMerge w:val="restart"/>
          </w:tcPr>
          <w:p>
            <w:pPr>
              <w:jc w:val="center"/>
              <w:ind w:right="60"/>
              <w:spacing w:after="0"/>
              <w:rPr>
                <w:sz w:val="20"/>
                <w:szCs w:val="20"/>
                <w:color w:val="auto"/>
              </w:rPr>
            </w:pPr>
            <w:r>
              <w:rPr>
                <w:rFonts w:ascii="Arial" w:cs="Arial" w:eastAsia="Arial" w:hAnsi="Arial"/>
                <w:sz w:val="12"/>
                <w:szCs w:val="12"/>
                <w:b w:val="1"/>
                <w:bCs w:val="1"/>
                <w:color w:val="auto"/>
              </w:rPr>
              <w:t>Properties</w:t>
            </w:r>
          </w:p>
        </w:tc>
        <w:tc>
          <w:tcPr>
            <w:tcW w:w="118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Properties in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1180" w:type="dxa"/>
            <w:vAlign w:val="bottom"/>
            <w:gridSpan w:val="5"/>
          </w:tcPr>
          <w:p>
            <w:pPr>
              <w:jc w:val="center"/>
              <w:ind w:right="80"/>
              <w:spacing w:after="0" w:line="120" w:lineRule="exact"/>
              <w:rPr>
                <w:sz w:val="20"/>
                <w:szCs w:val="20"/>
                <w:color w:val="auto"/>
              </w:rPr>
            </w:pPr>
            <w:r>
              <w:rPr>
                <w:rFonts w:ascii="Arial" w:cs="Arial" w:eastAsia="Arial" w:hAnsi="Arial"/>
                <w:sz w:val="12"/>
                <w:szCs w:val="12"/>
                <w:b w:val="1"/>
                <w:bCs w:val="1"/>
                <w:color w:val="auto"/>
              </w:rPr>
              <w:t>Development or</w:t>
            </w:r>
          </w:p>
        </w:tc>
        <w:tc>
          <w:tcPr>
            <w:tcW w:w="116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auto"/>
              </w:rPr>
              <w:t>Properties Sold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60" w:type="dxa"/>
            <w:vAlign w:val="bottom"/>
            <w:gridSpan w:val="7"/>
            <w:vMerge w:val="restart"/>
          </w:tcPr>
          <w:p>
            <w:pPr>
              <w:ind w:left="20"/>
              <w:spacing w:after="0"/>
              <w:rPr>
                <w:sz w:val="20"/>
                <w:szCs w:val="20"/>
                <w:color w:val="auto"/>
              </w:rPr>
            </w:pPr>
            <w:r>
              <w:rPr>
                <w:rFonts w:ascii="Arial" w:cs="Arial" w:eastAsia="Arial" w:hAnsi="Arial"/>
                <w:sz w:val="12"/>
                <w:szCs w:val="12"/>
                <w:b w:val="1"/>
                <w:bCs w:val="1"/>
                <w:color w:val="auto"/>
              </w:rPr>
              <w:t>Same Property Portfolio</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Acquired</w:t>
            </w:r>
          </w:p>
        </w:tc>
        <w:tc>
          <w:tcPr>
            <w:tcW w:w="1160" w:type="dxa"/>
            <w:vAlign w:val="bottom"/>
            <w:gridSpan w:val="4"/>
          </w:tcPr>
          <w:p>
            <w:pPr>
              <w:jc w:val="center"/>
              <w:ind w:right="60"/>
              <w:spacing w:after="0" w:line="120" w:lineRule="exact"/>
              <w:rPr>
                <w:sz w:val="20"/>
                <w:szCs w:val="20"/>
                <w:color w:val="auto"/>
              </w:rPr>
            </w:pPr>
            <w:r>
              <w:rPr>
                <w:rFonts w:ascii="Arial" w:cs="Arial" w:eastAsia="Arial" w:hAnsi="Arial"/>
                <w:sz w:val="12"/>
                <w:szCs w:val="12"/>
                <w:b w:val="1"/>
                <w:bCs w:val="1"/>
                <w:color w:val="auto"/>
              </w:rPr>
              <w:t>Placed In-Service</w:t>
            </w:r>
          </w:p>
        </w:tc>
        <w:tc>
          <w:tcPr>
            <w:tcW w:w="1180" w:type="dxa"/>
            <w:vAlign w:val="bottom"/>
            <w:gridSpan w:val="5"/>
          </w:tcPr>
          <w:p>
            <w:pPr>
              <w:jc w:val="center"/>
              <w:ind w:right="60"/>
              <w:spacing w:after="0" w:line="120" w:lineRule="exact"/>
              <w:rPr>
                <w:sz w:val="20"/>
                <w:szCs w:val="20"/>
                <w:color w:val="auto"/>
              </w:rPr>
            </w:pPr>
            <w:r>
              <w:rPr>
                <w:rFonts w:ascii="Arial" w:cs="Arial" w:eastAsia="Arial" w:hAnsi="Arial"/>
                <w:sz w:val="12"/>
                <w:szCs w:val="12"/>
                <w:b w:val="1"/>
                <w:bCs w:val="1"/>
                <w:color w:val="auto"/>
              </w:rPr>
              <w:t>Redevelopment</w:t>
            </w:r>
          </w:p>
        </w:tc>
        <w:tc>
          <w:tcPr>
            <w:tcW w:w="11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2"/>
                <w:szCs w:val="12"/>
                <w:b w:val="1"/>
                <w:bCs w:val="1"/>
                <w:color w:val="auto"/>
              </w:rPr>
              <w:t>Total Property Portfolio</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7"/>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rPr>
              <w:t>Portfolio</w:t>
            </w:r>
          </w:p>
        </w:tc>
        <w:tc>
          <w:tcPr>
            <w:tcW w:w="116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11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116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7"/>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5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58"/>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8" w:lineRule="exact"/>
              <w:rPr>
                <w:sz w:val="20"/>
                <w:szCs w:val="20"/>
                <w:color w:val="auto"/>
              </w:rPr>
            </w:pPr>
            <w:r>
              <w:rPr>
                <w:rFonts w:ascii="Arial" w:cs="Arial" w:eastAsia="Arial" w:hAnsi="Arial"/>
                <w:sz w:val="12"/>
                <w:szCs w:val="12"/>
                <w:b w:val="1"/>
                <w:bCs w:val="1"/>
                <w:color w:val="auto"/>
              </w:rPr>
              <w:t>Increase/</w:t>
            </w:r>
          </w:p>
        </w:tc>
        <w:tc>
          <w:tcPr>
            <w:tcW w:w="520" w:type="dxa"/>
            <w:vAlign w:val="bottom"/>
            <w:tcBorders>
              <w:top w:val="single" w:sz="8" w:color="auto"/>
            </w:tcBorders>
          </w:tcPr>
          <w:p>
            <w:pPr>
              <w:jc w:val="right"/>
              <w:ind w:right="138"/>
              <w:spacing w:after="0" w:line="118"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2"/>
                <w:szCs w:val="12"/>
                <w:b w:val="1"/>
                <w:bCs w:val="1"/>
                <w:color w:val="auto"/>
                <w:w w:val="97"/>
              </w:rPr>
              <w:t>2021</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54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top w:val="single" w:sz="8" w:color="auto"/>
            </w:tcBorders>
            <w:gridSpan w:val="2"/>
            <w:vMerge w:val="restart"/>
          </w:tcPr>
          <w:p>
            <w:pPr>
              <w:jc w:val="right"/>
              <w:ind w:right="18"/>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48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46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5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58"/>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8" w:lineRule="exact"/>
              <w:rPr>
                <w:sz w:val="20"/>
                <w:szCs w:val="20"/>
                <w:color w:val="auto"/>
              </w:rPr>
            </w:pPr>
            <w:r>
              <w:rPr>
                <w:rFonts w:ascii="Arial" w:cs="Arial" w:eastAsia="Arial" w:hAnsi="Arial"/>
                <w:sz w:val="12"/>
                <w:szCs w:val="12"/>
                <w:b w:val="1"/>
                <w:bCs w:val="1"/>
                <w:color w:val="auto"/>
              </w:rPr>
              <w:t>Increase/</w:t>
            </w:r>
          </w:p>
        </w:tc>
        <w:tc>
          <w:tcPr>
            <w:tcW w:w="520" w:type="dxa"/>
            <w:vAlign w:val="bottom"/>
            <w:tcBorders>
              <w:top w:val="single" w:sz="8" w:color="auto"/>
            </w:tcBorders>
          </w:tcPr>
          <w:p>
            <w:pPr>
              <w:jc w:val="right"/>
              <w:ind w:right="138"/>
              <w:spacing w:after="0" w:line="118"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8"/>
        </w:trPr>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(Decrease)</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(Decrease)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gridSpan w:val="8"/>
          </w:tcPr>
          <w:p>
            <w:pPr>
              <w:ind w:left="40"/>
              <w:spacing w:after="0"/>
              <w:rPr>
                <w:sz w:val="20"/>
                <w:szCs w:val="20"/>
                <w:color w:val="auto"/>
              </w:rPr>
            </w:pPr>
            <w:r>
              <w:rPr>
                <w:rFonts w:ascii="Arial" w:cs="Arial" w:eastAsia="Arial" w:hAnsi="Arial"/>
                <w:sz w:val="12"/>
                <w:szCs w:val="12"/>
                <w:b w:val="1"/>
                <w:bCs w:val="1"/>
                <w:color w:val="auto"/>
              </w:rPr>
              <w:t>(dollars in thousands)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00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Rental Revenue:</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180"/>
              <w:spacing w:after="0" w:line="127" w:lineRule="exact"/>
              <w:rPr>
                <w:sz w:val="20"/>
                <w:szCs w:val="20"/>
                <w:color w:val="auto"/>
              </w:rPr>
            </w:pPr>
            <w:r>
              <w:rPr>
                <w:rFonts w:ascii="Arial" w:cs="Arial" w:eastAsia="Arial" w:hAnsi="Arial"/>
                <w:sz w:val="12"/>
                <w:szCs w:val="12"/>
                <w:color w:val="auto"/>
              </w:rPr>
              <w:t>Lease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0" w:type="dxa"/>
            <w:vAlign w:val="bottom"/>
          </w:tcPr>
          <w:p>
            <w:pPr>
              <w:ind w:left="340"/>
              <w:spacing w:after="0" w:line="120" w:lineRule="exact"/>
              <w:rPr>
                <w:sz w:val="20"/>
                <w:szCs w:val="20"/>
                <w:color w:val="auto"/>
              </w:rPr>
            </w:pPr>
            <w:r>
              <w:rPr>
                <w:rFonts w:ascii="Arial" w:cs="Arial" w:eastAsia="Arial" w:hAnsi="Arial"/>
                <w:sz w:val="12"/>
                <w:szCs w:val="12"/>
                <w:color w:val="auto"/>
              </w:rPr>
              <w:t>Revenue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0" w:type="dxa"/>
            <w:vAlign w:val="bottom"/>
          </w:tcPr>
          <w:p>
            <w:pPr>
              <w:ind w:left="340"/>
              <w:spacing w:after="0" w:line="120" w:lineRule="exact"/>
              <w:rPr>
                <w:sz w:val="20"/>
                <w:szCs w:val="20"/>
                <w:color w:val="auto"/>
              </w:rPr>
            </w:pPr>
            <w:r>
              <w:rPr>
                <w:rFonts w:ascii="Arial" w:cs="Arial" w:eastAsia="Arial" w:hAnsi="Arial"/>
                <w:sz w:val="12"/>
                <w:szCs w:val="12"/>
                <w:color w:val="auto"/>
              </w:rPr>
              <w:t>(Excluding</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0" w:type="dxa"/>
            <w:vAlign w:val="bottom"/>
          </w:tcPr>
          <w:p>
            <w:pPr>
              <w:ind w:left="340"/>
              <w:spacing w:after="0" w:line="120" w:lineRule="exact"/>
              <w:rPr>
                <w:sz w:val="20"/>
                <w:szCs w:val="20"/>
                <w:color w:val="auto"/>
              </w:rPr>
            </w:pPr>
            <w:r>
              <w:rPr>
                <w:rFonts w:ascii="Arial" w:cs="Arial" w:eastAsia="Arial" w:hAnsi="Arial"/>
                <w:sz w:val="12"/>
                <w:szCs w:val="12"/>
                <w:color w:val="auto"/>
              </w:rPr>
              <w:t>Termination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340"/>
              <w:spacing w:after="0"/>
              <w:rPr>
                <w:sz w:val="20"/>
                <w:szCs w:val="20"/>
                <w:color w:val="auto"/>
              </w:rPr>
            </w:pPr>
            <w:r>
              <w:rPr>
                <w:rFonts w:ascii="Arial" w:cs="Arial" w:eastAsia="Arial" w:hAnsi="Arial"/>
                <w:sz w:val="12"/>
                <w:szCs w:val="12"/>
                <w:color w:val="auto"/>
              </w:rPr>
              <w:t>Income)</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1,308,237</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1,277,590</w:t>
            </w:r>
          </w:p>
        </w:tc>
        <w:tc>
          <w:tcPr>
            <w:tcW w:w="8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30,647</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2.40 %</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3"/>
              </w:rPr>
              <w:t>1,351</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$ 16</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8"/>
              </w:rPr>
              <w:t>$ 20,189</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$6,162</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$7,176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10,018</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$4,696</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8"/>
              </w:rPr>
              <w:t>$ 21,698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1,341,649</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1,315,484</w:t>
            </w:r>
          </w:p>
        </w:tc>
        <w:tc>
          <w:tcPr>
            <w:tcW w:w="8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26,165</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1.99 %</w:t>
            </w:r>
          </w:p>
        </w:tc>
        <w:tc>
          <w:tcPr>
            <w:tcW w:w="0" w:type="dxa"/>
            <w:vAlign w:val="bottom"/>
          </w:tcPr>
          <w:p>
            <w:pPr>
              <w:spacing w:after="0"/>
              <w:rPr>
                <w:sz w:val="1"/>
                <w:szCs w:val="1"/>
                <w:color w:val="auto"/>
              </w:rPr>
            </w:pPr>
          </w:p>
        </w:tc>
      </w:tr>
      <w:tr>
        <w:trPr>
          <w:trHeight w:val="136"/>
        </w:trPr>
        <w:tc>
          <w:tcPr>
            <w:tcW w:w="100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Termination</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Income</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3,977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70.41 %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68.65 %</w:t>
            </w:r>
          </w:p>
        </w:tc>
        <w:tc>
          <w:tcPr>
            <w:tcW w:w="0" w:type="dxa"/>
            <w:vAlign w:val="bottom"/>
          </w:tcPr>
          <w:p>
            <w:pPr>
              <w:spacing w:after="0"/>
              <w:rPr>
                <w:sz w:val="1"/>
                <w:szCs w:val="1"/>
                <w:color w:val="auto"/>
              </w:rPr>
            </w:pPr>
          </w:p>
        </w:tc>
      </w:tr>
      <w:tr>
        <w:trPr>
          <w:trHeight w:val="107"/>
        </w:trPr>
        <w:tc>
          <w:tcPr>
            <w:tcW w:w="1000" w:type="dxa"/>
            <w:vAlign w:val="bottom"/>
          </w:tcPr>
          <w:p>
            <w:pPr>
              <w:ind w:left="180"/>
              <w:spacing w:after="0" w:line="107" w:lineRule="exact"/>
              <w:rPr>
                <w:sz w:val="20"/>
                <w:szCs w:val="20"/>
                <w:color w:val="auto"/>
              </w:rPr>
            </w:pPr>
            <w:r>
              <w:rPr>
                <w:rFonts w:ascii="Arial" w:cs="Arial" w:eastAsia="Arial" w:hAnsi="Arial"/>
                <w:sz w:val="12"/>
                <w:szCs w:val="12"/>
                <w:color w:val="auto"/>
              </w:rPr>
              <w:t>Lease</w:t>
            </w: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340"/>
              <w:spacing w:after="0"/>
              <w:rPr>
                <w:sz w:val="20"/>
                <w:szCs w:val="20"/>
                <w:color w:val="auto"/>
              </w:rPr>
            </w:pPr>
            <w:r>
              <w:rPr>
                <w:rFonts w:ascii="Arial" w:cs="Arial" w:eastAsia="Arial" w:hAnsi="Arial"/>
                <w:sz w:val="12"/>
                <w:szCs w:val="12"/>
                <w:color w:val="auto"/>
              </w:rPr>
              <w:t>Revenue</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1,317,862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1,283,238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34,624</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2.70 %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1,351</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20,189</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6,162</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7,176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10,018</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4,696</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21,757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1,351,274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1,321,191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30,083</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2.28 %</w:t>
            </w:r>
          </w:p>
        </w:tc>
        <w:tc>
          <w:tcPr>
            <w:tcW w:w="0" w:type="dxa"/>
            <w:vAlign w:val="bottom"/>
          </w:tcPr>
          <w:p>
            <w:pPr>
              <w:spacing w:after="0"/>
              <w:rPr>
                <w:sz w:val="1"/>
                <w:szCs w:val="1"/>
                <w:color w:val="auto"/>
              </w:rPr>
            </w:pPr>
          </w:p>
        </w:tc>
      </w:tr>
      <w:tr>
        <w:trPr>
          <w:trHeight w:val="136"/>
        </w:trPr>
        <w:tc>
          <w:tcPr>
            <w:tcW w:w="100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Parking and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Other</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38,131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(8.60)%</w:t>
            </w:r>
          </w:p>
        </w:tc>
        <w:tc>
          <w:tcPr>
            <w:tcW w:w="0" w:type="dxa"/>
            <w:vAlign w:val="bottom"/>
          </w:tcPr>
          <w:p>
            <w:pPr>
              <w:spacing w:after="0"/>
              <w:rPr>
                <w:sz w:val="1"/>
                <w:szCs w:val="1"/>
                <w:color w:val="auto"/>
              </w:rPr>
            </w:pPr>
          </w:p>
        </w:tc>
      </w:tr>
      <w:tr>
        <w:trPr>
          <w:trHeight w:val="107"/>
        </w:trPr>
        <w:tc>
          <w:tcPr>
            <w:tcW w:w="1000" w:type="dxa"/>
            <w:vAlign w:val="bottom"/>
          </w:tcPr>
          <w:p>
            <w:pPr>
              <w:ind w:left="20"/>
              <w:spacing w:after="0" w:line="107" w:lineRule="exact"/>
              <w:rPr>
                <w:sz w:val="20"/>
                <w:szCs w:val="20"/>
                <w:color w:val="auto"/>
              </w:rPr>
            </w:pPr>
            <w:r>
              <w:rPr>
                <w:rFonts w:ascii="Arial" w:cs="Arial" w:eastAsia="Arial" w:hAnsi="Arial"/>
                <w:sz w:val="12"/>
                <w:szCs w:val="12"/>
                <w:color w:val="auto"/>
              </w:rPr>
              <w:t>Total Rental</w:t>
            </w: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rPr>
                <w:sz w:val="20"/>
                <w:szCs w:val="20"/>
                <w:color w:val="auto"/>
              </w:rPr>
            </w:pPr>
            <w:r>
              <w:rPr>
                <w:rFonts w:ascii="Arial" w:cs="Arial" w:eastAsia="Arial" w:hAnsi="Arial"/>
                <w:sz w:val="12"/>
                <w:szCs w:val="12"/>
                <w:color w:val="auto"/>
              </w:rPr>
              <w:t>Revenue (1)</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1,351,735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1,320,425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31,310</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2.37 %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1,564</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20,198</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6,174</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7,377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10,018</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5,250</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22,689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1,386,124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1,359,322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26,802</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1.97 %</w:t>
            </w:r>
          </w:p>
        </w:tc>
        <w:tc>
          <w:tcPr>
            <w:tcW w:w="0" w:type="dxa"/>
            <w:vAlign w:val="bottom"/>
          </w:tcPr>
          <w:p>
            <w:pPr>
              <w:spacing w:after="0"/>
              <w:rPr>
                <w:sz w:val="1"/>
                <w:szCs w:val="1"/>
                <w:color w:val="auto"/>
              </w:rPr>
            </w:pPr>
          </w:p>
        </w:tc>
      </w:tr>
      <w:tr>
        <w:trPr>
          <w:trHeight w:val="136"/>
        </w:trPr>
        <w:tc>
          <w:tcPr>
            <w:tcW w:w="100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Real Estate</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Operating</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Expenses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482,026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478,972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3,054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0.64 %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1,130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3,440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494,037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494,724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07"/>
        </w:trPr>
        <w:tc>
          <w:tcPr>
            <w:tcW w:w="1000" w:type="dxa"/>
            <w:vAlign w:val="bottom"/>
          </w:tcPr>
          <w:p>
            <w:pPr>
              <w:ind w:left="20"/>
              <w:spacing w:after="0" w:line="107" w:lineRule="exact"/>
              <w:rPr>
                <w:sz w:val="20"/>
                <w:szCs w:val="20"/>
                <w:color w:val="auto"/>
              </w:rPr>
            </w:pPr>
            <w:r>
              <w:rPr>
                <w:rFonts w:ascii="Arial" w:cs="Arial" w:eastAsia="Arial" w:hAnsi="Arial"/>
                <w:sz w:val="12"/>
                <w:szCs w:val="12"/>
                <w:color w:val="auto"/>
              </w:rPr>
              <w:t>Net Operating</w:t>
            </w: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000" w:type="dxa"/>
            <w:vAlign w:val="bottom"/>
          </w:tcPr>
          <w:p>
            <w:pPr>
              <w:ind w:left="180"/>
              <w:spacing w:after="0" w:line="120" w:lineRule="exact"/>
              <w:rPr>
                <w:sz w:val="20"/>
                <w:szCs w:val="20"/>
                <w:color w:val="auto"/>
              </w:rPr>
            </w:pPr>
            <w:r>
              <w:rPr>
                <w:rFonts w:ascii="Arial" w:cs="Arial" w:eastAsia="Arial" w:hAnsi="Arial"/>
                <w:sz w:val="12"/>
                <w:szCs w:val="12"/>
                <w:color w:val="auto"/>
              </w:rPr>
              <w:t>Income,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0" w:type="dxa"/>
            <w:vAlign w:val="bottom"/>
          </w:tcPr>
          <w:p>
            <w:pPr>
              <w:ind w:left="180"/>
              <w:spacing w:after="0" w:line="120" w:lineRule="exact"/>
              <w:rPr>
                <w:sz w:val="20"/>
                <w:szCs w:val="20"/>
                <w:color w:val="auto"/>
              </w:rPr>
            </w:pPr>
            <w:r>
              <w:rPr>
                <w:rFonts w:ascii="Arial" w:cs="Arial" w:eastAsia="Arial" w:hAnsi="Arial"/>
                <w:sz w:val="12"/>
                <w:szCs w:val="12"/>
                <w:color w:val="auto"/>
              </w:rPr>
              <w:t>Excluding</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0" w:type="dxa"/>
            <w:vAlign w:val="bottom"/>
          </w:tcPr>
          <w:p>
            <w:pPr>
              <w:ind w:left="180"/>
              <w:spacing w:after="0" w:line="120" w:lineRule="exact"/>
              <w:rPr>
                <w:sz w:val="20"/>
                <w:szCs w:val="20"/>
                <w:color w:val="auto"/>
              </w:rPr>
            </w:pPr>
            <w:r>
              <w:rPr>
                <w:rFonts w:ascii="Arial" w:cs="Arial" w:eastAsia="Arial" w:hAnsi="Arial"/>
                <w:sz w:val="12"/>
                <w:szCs w:val="12"/>
                <w:color w:val="auto"/>
              </w:rPr>
              <w:t>Residential</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180"/>
              <w:spacing w:after="0"/>
              <w:rPr>
                <w:sz w:val="20"/>
                <w:szCs w:val="20"/>
                <w:color w:val="auto"/>
              </w:rPr>
            </w:pPr>
            <w:r>
              <w:rPr>
                <w:rFonts w:ascii="Arial" w:cs="Arial" w:eastAsia="Arial" w:hAnsi="Arial"/>
                <w:sz w:val="12"/>
                <w:szCs w:val="12"/>
                <w:color w:val="auto"/>
              </w:rPr>
              <w:t>and Hotel</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869,709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841,453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28,256</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3.36 %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434</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14,384</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2,734</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4,125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5,842</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3,435</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14,554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892,087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864,598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27,489</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3.18 %</w:t>
            </w:r>
          </w:p>
        </w:tc>
        <w:tc>
          <w:tcPr>
            <w:tcW w:w="0" w:type="dxa"/>
            <w:vAlign w:val="bottom"/>
          </w:tcPr>
          <w:p>
            <w:pPr>
              <w:spacing w:after="0"/>
              <w:rPr>
                <w:sz w:val="1"/>
                <w:szCs w:val="1"/>
                <w:color w:val="auto"/>
              </w:rPr>
            </w:pPr>
          </w:p>
        </w:tc>
      </w:tr>
      <w:tr>
        <w:trPr>
          <w:trHeight w:val="136"/>
        </w:trPr>
        <w:tc>
          <w:tcPr>
            <w:tcW w:w="100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Residential Net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Operating</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Income (Loss)</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11,329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(19.66)%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(2,219)</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11,329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(39.24)%</w:t>
            </w:r>
          </w:p>
        </w:tc>
        <w:tc>
          <w:tcPr>
            <w:tcW w:w="0" w:type="dxa"/>
            <w:vAlign w:val="bottom"/>
          </w:tcPr>
          <w:p>
            <w:pPr>
              <w:spacing w:after="0"/>
              <w:rPr>
                <w:sz w:val="1"/>
                <w:szCs w:val="1"/>
                <w:color w:val="auto"/>
              </w:rPr>
            </w:pPr>
          </w:p>
        </w:tc>
      </w:tr>
      <w:tr>
        <w:trPr>
          <w:trHeight w:val="127"/>
        </w:trPr>
        <w:tc>
          <w:tcPr>
            <w:tcW w:w="1000" w:type="dxa"/>
            <w:vAlign w:val="bottom"/>
          </w:tcPr>
          <w:p>
            <w:pPr>
              <w:ind w:left="20"/>
              <w:spacing w:after="0" w:line="127" w:lineRule="exact"/>
              <w:rPr>
                <w:sz w:val="20"/>
                <w:szCs w:val="20"/>
                <w:color w:val="auto"/>
              </w:rPr>
            </w:pPr>
            <w:r>
              <w:rPr>
                <w:rFonts w:ascii="Arial" w:cs="Arial" w:eastAsia="Arial" w:hAnsi="Arial"/>
                <w:sz w:val="12"/>
                <w:szCs w:val="12"/>
                <w:color w:val="auto"/>
              </w:rPr>
              <w:t>Hotel Net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0" w:type="dxa"/>
            <w:vAlign w:val="bottom"/>
          </w:tcPr>
          <w:p>
            <w:pPr>
              <w:ind w:left="180"/>
              <w:spacing w:after="0" w:line="120" w:lineRule="exact"/>
              <w:rPr>
                <w:sz w:val="20"/>
                <w:szCs w:val="20"/>
                <w:color w:val="auto"/>
              </w:rPr>
            </w:pPr>
            <w:r>
              <w:rPr>
                <w:rFonts w:ascii="Arial" w:cs="Arial" w:eastAsia="Arial" w:hAnsi="Arial"/>
                <w:sz w:val="12"/>
                <w:szCs w:val="12"/>
                <w:color w:val="auto"/>
              </w:rPr>
              <w:t>Operating</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tcPr>
          <w:p>
            <w:pPr>
              <w:ind w:left="180"/>
              <w:spacing w:after="0"/>
              <w:rPr>
                <w:sz w:val="20"/>
                <w:szCs w:val="20"/>
                <w:color w:val="auto"/>
              </w:rPr>
            </w:pPr>
            <w:r>
              <w:rPr>
                <w:rFonts w:ascii="Arial" w:cs="Arial" w:eastAsia="Arial" w:hAnsi="Arial"/>
                <w:sz w:val="12"/>
                <w:szCs w:val="12"/>
                <w:color w:val="auto"/>
              </w:rPr>
              <w:t>Loss (2)</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(1,870)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0.86 %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(1,870)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0.86 %</w:t>
            </w:r>
          </w:p>
        </w:tc>
        <w:tc>
          <w:tcPr>
            <w:tcW w:w="0" w:type="dxa"/>
            <w:vAlign w:val="bottom"/>
          </w:tcPr>
          <w:p>
            <w:pPr>
              <w:spacing w:after="0"/>
              <w:rPr>
                <w:sz w:val="1"/>
                <w:szCs w:val="1"/>
                <w:color w:val="auto"/>
              </w:rPr>
            </w:pPr>
          </w:p>
        </w:tc>
      </w:tr>
      <w:tr>
        <w:trPr>
          <w:trHeight w:val="114"/>
        </w:trPr>
        <w:tc>
          <w:tcPr>
            <w:tcW w:w="1000" w:type="dxa"/>
            <w:vAlign w:val="bottom"/>
            <w:tcBorders>
              <w:top w:val="single" w:sz="8" w:color="CCEEFF"/>
            </w:tcBorders>
            <w:shd w:val="clear" w:color="auto" w:fill="CCEEFF"/>
          </w:tcPr>
          <w:p>
            <w:pPr>
              <w:ind w:left="20"/>
              <w:spacing w:after="0" w:line="114" w:lineRule="exact"/>
              <w:rPr>
                <w:sz w:val="20"/>
                <w:szCs w:val="20"/>
                <w:color w:val="auto"/>
              </w:rPr>
            </w:pPr>
            <w:r>
              <w:rPr>
                <w:rFonts w:ascii="Arial" w:cs="Arial" w:eastAsia="Arial" w:hAnsi="Arial"/>
                <w:sz w:val="12"/>
                <w:szCs w:val="12"/>
                <w:color w:val="auto"/>
              </w:rPr>
              <w:t>Net Operating</w:t>
            </w: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876,957</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850,912</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26,045</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3.06 %</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434</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$ 15</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$ 12,165</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$2,734</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$4,125</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5,842</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$3,435</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$ 14,554</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897,116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874,057</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23,059</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2.64 %</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1" w:lineRule="exact"/>
        <w:rPr>
          <w:sz w:val="20"/>
          <w:szCs w:val="20"/>
          <w:color w:val="auto"/>
        </w:rPr>
      </w:pPr>
    </w:p>
    <w:p>
      <w:pPr>
        <w:ind w:left="640" w:right="120" w:hanging="315"/>
        <w:spacing w:after="0" w:line="237" w:lineRule="auto"/>
        <w:tabs>
          <w:tab w:leader="none" w:pos="6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2" w:lineRule="exact"/>
        <w:rPr>
          <w:rFonts w:ascii="Arial" w:cs="Arial" w:eastAsia="Arial" w:hAnsi="Arial"/>
          <w:sz w:val="14"/>
          <w:szCs w:val="14"/>
          <w:color w:val="auto"/>
        </w:rPr>
      </w:pPr>
    </w:p>
    <w:p>
      <w:pPr>
        <w:ind w:left="640" w:right="200" w:hanging="315"/>
        <w:spacing w:after="0" w:line="242" w:lineRule="auto"/>
        <w:tabs>
          <w:tab w:leader="none" w:pos="6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59. Residential Net Operating Income for the six months ended June 30, 2021 and 2020 is comprised of Residential Revenue of $18,938 and $19,358 less Residential Expenses of $12,055 and $8,029, respectively. Hotel Net Operating Income for the six months ended June 30, 2021 and 2020 is comprised of Hotel Revenue of $2,193 and $6,924 less Hotel Expenses of $4,047 and $8,794, respectively, per the Consolidated Statements of Operations.</w:t>
      </w: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298"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Same Property Portfolio</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 Revenue (Excluding Termination Income)</w:t>
      </w:r>
    </w:p>
    <w:p>
      <w:pPr>
        <w:spacing w:after="0" w:line="121" w:lineRule="exact"/>
        <w:rPr>
          <w:sz w:val="20"/>
          <w:szCs w:val="20"/>
          <w:color w:val="auto"/>
        </w:rPr>
      </w:pPr>
    </w:p>
    <w:p>
      <w:pPr>
        <w:ind w:right="40" w:firstLine="439"/>
        <w:spacing w:after="0" w:line="248" w:lineRule="auto"/>
        <w:rPr>
          <w:sz w:val="20"/>
          <w:szCs w:val="20"/>
          <w:color w:val="auto"/>
        </w:rPr>
      </w:pPr>
      <w:r>
        <w:rPr>
          <w:rFonts w:ascii="Arial" w:cs="Arial" w:eastAsia="Arial" w:hAnsi="Arial"/>
          <w:sz w:val="18"/>
          <w:szCs w:val="18"/>
          <w:color w:val="auto"/>
        </w:rPr>
        <w:t>Lease revenue (excluding termination income) from the Same Property Portfolio increased by approximately $30.6 million for the six months ended June 30, 2021 compared to 2020. The increase was primarily due to approximately $52.1 million of write-offs, which are discussed below. The increase was partially offset by an approximately $35.2 million decrease due to our average occupancy decreasing from 93.9% to 91.4%, which was partially offset by our average revenue per square foot increasing by approximately $0.81, contributing approximately $13.7 million.</w:t>
      </w:r>
    </w:p>
    <w:p>
      <w:pPr>
        <w:spacing w:after="0" w:line="154" w:lineRule="exact"/>
        <w:rPr>
          <w:sz w:val="20"/>
          <w:szCs w:val="20"/>
          <w:color w:val="auto"/>
        </w:rPr>
      </w:pPr>
    </w:p>
    <w:p>
      <w:pPr>
        <w:ind w:right="280" w:firstLine="439"/>
        <w:spacing w:after="0" w:line="247" w:lineRule="auto"/>
        <w:rPr>
          <w:sz w:val="20"/>
          <w:szCs w:val="20"/>
          <w:color w:val="auto"/>
        </w:rPr>
      </w:pPr>
      <w:r>
        <w:rPr>
          <w:rFonts w:ascii="Arial" w:cs="Arial" w:eastAsia="Arial" w:hAnsi="Arial"/>
          <w:sz w:val="18"/>
          <w:szCs w:val="18"/>
          <w:color w:val="auto"/>
        </w:rPr>
        <w:t>Under Accounting Standards Codification (“ASC”) 842, any write-off for bad debt, including accrued rent, is recorded as a reduction to lease revenue. As a result, during the six months ended June 30, 2021, for our Same Property Portfolio, we wrote off approximately $1.1 million and $0.1 million of accrued rent and accounts receivable balances, respectively. During the six months ended June 30, 2020, for our Same Property Portfolio, we wrote off approximately $35.1 million and $18.2 million of accrued rent and accounts receivable balances, respectively. These write-offs were for tenants, primarily in the retail sector, that either terminated their leases or we determined that their accrued rent and/or accounts receivable balances were no longer probable of collection.</w:t>
      </w:r>
    </w:p>
    <w:p>
      <w:pPr>
        <w:spacing w:after="0" w:line="158" w:lineRule="exact"/>
        <w:rPr>
          <w:sz w:val="20"/>
          <w:szCs w:val="20"/>
          <w:color w:val="auto"/>
        </w:rPr>
      </w:pPr>
    </w:p>
    <w:p>
      <w:pPr>
        <w:ind w:right="60" w:firstLine="439"/>
        <w:spacing w:after="0" w:line="248" w:lineRule="auto"/>
        <w:rPr>
          <w:sz w:val="20"/>
          <w:szCs w:val="20"/>
          <w:color w:val="auto"/>
        </w:rPr>
      </w:pPr>
      <w:r>
        <w:rPr>
          <w:rFonts w:ascii="Arial" w:cs="Arial" w:eastAsia="Arial" w:hAnsi="Arial"/>
          <w:sz w:val="18"/>
          <w:szCs w:val="18"/>
          <w:color w:val="auto"/>
        </w:rPr>
        <w:t>Each quarter since the second quarter of 2020, the number of executed COVID-19 lease modifications has decreased. We expect the volume of lease modifications to further decrease as the economy recovers. However, the degree to which our tenants’ businesses have been negatively impacted by COVID-19 and any resulting downturn in their business may leave some tenants still unable to meet their rental payment obligations and result in a reduction in our cash flows.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Income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Termination income increased by approximately $4.0 million for the six months ended June 30, 2021 compared to 2020.</w:t>
      </w:r>
    </w:p>
    <w:p>
      <w:pPr>
        <w:spacing w:after="0" w:line="165" w:lineRule="exact"/>
        <w:rPr>
          <w:sz w:val="20"/>
          <w:szCs w:val="20"/>
          <w:color w:val="auto"/>
        </w:rPr>
      </w:pPr>
    </w:p>
    <w:p>
      <w:pPr>
        <w:jc w:val="both"/>
        <w:ind w:right="640" w:firstLine="439"/>
        <w:spacing w:after="0" w:line="281" w:lineRule="auto"/>
        <w:rPr>
          <w:sz w:val="20"/>
          <w:szCs w:val="20"/>
          <w:color w:val="auto"/>
        </w:rPr>
      </w:pPr>
      <w:r>
        <w:rPr>
          <w:rFonts w:ascii="Arial" w:cs="Arial" w:eastAsia="Arial" w:hAnsi="Arial"/>
          <w:sz w:val="17"/>
          <w:szCs w:val="17"/>
          <w:color w:val="auto"/>
        </w:rPr>
        <w:t>Termination income for the six months ended June 30, 2021 related to 19 tenants across the Same Property Portfolio and totaled approximately $9.6 million, which was primarily related to tenants that terminated leases early in New York City and the Boston region.</w:t>
      </w:r>
    </w:p>
    <w:p>
      <w:pPr>
        <w:spacing w:after="0" w:line="127" w:lineRule="exact"/>
        <w:rPr>
          <w:sz w:val="20"/>
          <w:szCs w:val="20"/>
          <w:color w:val="auto"/>
        </w:rPr>
      </w:pPr>
    </w:p>
    <w:p>
      <w:pPr>
        <w:jc w:val="both"/>
        <w:ind w:right="640" w:firstLine="439"/>
        <w:spacing w:after="0" w:line="281" w:lineRule="auto"/>
        <w:rPr>
          <w:sz w:val="20"/>
          <w:szCs w:val="20"/>
          <w:color w:val="auto"/>
        </w:rPr>
      </w:pPr>
      <w:r>
        <w:rPr>
          <w:rFonts w:ascii="Arial" w:cs="Arial" w:eastAsia="Arial" w:hAnsi="Arial"/>
          <w:sz w:val="17"/>
          <w:szCs w:val="17"/>
          <w:color w:val="auto"/>
        </w:rPr>
        <w:t>Termination income for the six months ended June 30, 2020 related to 28 tenants across the Same Property Portfolio and totaled approximately $5.6 million, which was primarily related to tenants that terminated leases early in New York City and the Boston region.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Parking and Other Revenue</w:t>
      </w:r>
    </w:p>
    <w:p>
      <w:pPr>
        <w:spacing w:after="0" w:line="108" w:lineRule="exact"/>
        <w:rPr>
          <w:sz w:val="20"/>
          <w:szCs w:val="20"/>
          <w:color w:val="auto"/>
        </w:rPr>
      </w:pPr>
    </w:p>
    <w:p>
      <w:pPr>
        <w:ind w:right="40" w:firstLine="399"/>
        <w:spacing w:after="0" w:line="248" w:lineRule="auto"/>
        <w:rPr>
          <w:sz w:val="20"/>
          <w:szCs w:val="20"/>
          <w:color w:val="auto"/>
        </w:rPr>
      </w:pPr>
      <w:r>
        <w:rPr>
          <w:rFonts w:ascii="Arial" w:cs="Arial" w:eastAsia="Arial" w:hAnsi="Arial"/>
          <w:sz w:val="18"/>
          <w:szCs w:val="18"/>
          <w:color w:val="auto"/>
        </w:rPr>
        <w:t>Parking and other revenue decreased by approximately $3.3 million for the six months ended June 30, 2021 compared to 2020. Parking revenue decreased by approximately $5.0 million while other revenue increased by approximately $1.7 million. The decrease in parking revenue was primarily due to a decrease in monthly parking. The increase in other revenue was primarily due to insurance proceeds related to damage at one of our properties in the New York region due to a water main break, offset by a decrease in other revenue. Expenses of $2.8 million related to this insurance claim are included within real estate operating expenses.</w:t>
      </w:r>
    </w:p>
    <w:p>
      <w:pPr>
        <w:spacing w:after="0" w:line="154" w:lineRule="exact"/>
        <w:rPr>
          <w:sz w:val="20"/>
          <w:szCs w:val="20"/>
          <w:color w:val="auto"/>
        </w:rPr>
      </w:pPr>
    </w:p>
    <w:p>
      <w:pPr>
        <w:ind w:right="160" w:firstLine="399"/>
        <w:spacing w:after="0" w:line="248" w:lineRule="auto"/>
        <w:rPr>
          <w:sz w:val="20"/>
          <w:szCs w:val="20"/>
          <w:color w:val="auto"/>
        </w:rPr>
      </w:pPr>
      <w:r>
        <w:rPr>
          <w:rFonts w:ascii="Arial" w:cs="Arial" w:eastAsia="Arial" w:hAnsi="Arial"/>
          <w:sz w:val="18"/>
          <w:szCs w:val="18"/>
          <w:color w:val="auto"/>
        </w:rPr>
        <w:t>We expect to see an increase in parking revenue as the return to office work grows. For the six months ended June 30, 2021, monthly parking decreased by approximately $4.6 million, offset by an increase in transient parking of approximately $0.7 million, compared to the six months ended June 30, 2020. Some of our monthly parking revenues are contractual agreements embedded in our leases, and some are at will individual agreements.</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121"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Real estate operating expenses from the Same Property Portfolio increased by approximately $3.1 million, or 0.6%, for the six months ended June 30, 2021 compared to 2020, due primarily to an increase in utility expense and expenses related to the insurance claim mentioned above, partially offset by a decrease in cleaning expense. The increase in utility expense was experienced across the portfolio and was primarily driven by an increase in physical tenant occupancy, which led to higher demand for electricity and HVAC.</w:t>
      </w: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298" w:right="39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Acquired Portfolio</w:t>
      </w:r>
    </w:p>
    <w:p>
      <w:pPr>
        <w:spacing w:after="0" w:line="108" w:lineRule="exact"/>
        <w:rPr>
          <w:sz w:val="20"/>
          <w:szCs w:val="20"/>
          <w:color w:val="auto"/>
        </w:rPr>
      </w:pPr>
    </w:p>
    <w:p>
      <w:pPr>
        <w:ind w:right="40" w:firstLine="439"/>
        <w:spacing w:after="0" w:line="249" w:lineRule="auto"/>
        <w:rPr>
          <w:sz w:val="20"/>
          <w:szCs w:val="20"/>
          <w:color w:val="auto"/>
        </w:rPr>
      </w:pPr>
      <w:r>
        <w:rPr>
          <w:rFonts w:ascii="Arial" w:cs="Arial" w:eastAsia="Arial" w:hAnsi="Arial"/>
          <w:sz w:val="18"/>
          <w:szCs w:val="18"/>
          <w:color w:val="auto"/>
        </w:rPr>
        <w:t>The table below lists the properties acquired between January 1, 2020 and June 30, 2021. Rental revenue and real estate operating expenses increased by approximately $1.5 million and $1.1 million, respectively, for the six months ended June 30, 2021 compared to 2020, as detailed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right"/>
              <w:ind w:right="29"/>
              <w:spacing w:after="0"/>
              <w:rPr>
                <w:sz w:val="20"/>
                <w:szCs w:val="20"/>
                <w:color w:val="auto"/>
              </w:rPr>
            </w:pPr>
            <w:r>
              <w:rPr>
                <w:rFonts w:ascii="Arial" w:cs="Arial" w:eastAsia="Arial" w:hAnsi="Arial"/>
                <w:sz w:val="13"/>
                <w:szCs w:val="13"/>
                <w:b w:val="1"/>
                <w:bCs w:val="1"/>
                <w:color w:val="auto"/>
              </w:rPr>
              <w:t>Rental Revenue</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3"/>
                <w:szCs w:val="13"/>
                <w:b w:val="1"/>
                <w:bCs w:val="1"/>
                <w:color w:val="auto"/>
              </w:rPr>
              <w:t>Real Estate Operating Expenses</w:t>
            </w:r>
          </w:p>
        </w:tc>
      </w:tr>
      <w:tr>
        <w:trPr>
          <w:trHeight w:val="246"/>
        </w:trPr>
        <w:tc>
          <w:tcPr>
            <w:tcW w:w="280" w:type="dxa"/>
            <w:vAlign w:val="bottom"/>
          </w:tcPr>
          <w:p>
            <w:pPr>
              <w:spacing w:after="0"/>
              <w:rPr>
                <w:sz w:val="21"/>
                <w:szCs w:val="21"/>
                <w:color w:val="auto"/>
              </w:rPr>
            </w:pPr>
          </w:p>
        </w:tc>
        <w:tc>
          <w:tcPr>
            <w:tcW w:w="2700" w:type="dxa"/>
            <w:vAlign w:val="bottom"/>
            <w:gridSpan w:val="2"/>
          </w:tcPr>
          <w:p>
            <w:pPr>
              <w:ind w:left="980"/>
              <w:spacing w:after="0"/>
              <w:rPr>
                <w:sz w:val="20"/>
                <w:szCs w:val="20"/>
                <w:color w:val="auto"/>
              </w:rPr>
            </w:pPr>
            <w:r>
              <w:rPr>
                <w:rFonts w:ascii="Arial" w:cs="Arial" w:eastAsia="Arial" w:hAnsi="Arial"/>
                <w:sz w:val="13"/>
                <w:szCs w:val="13"/>
                <w:b w:val="1"/>
                <w:bCs w:val="1"/>
                <w:color w:val="auto"/>
              </w:rPr>
              <w:t>Name</w:t>
            </w:r>
          </w:p>
        </w:tc>
        <w:tc>
          <w:tcPr>
            <w:tcW w:w="1640" w:type="dxa"/>
            <w:vAlign w:val="bottom"/>
            <w:gridSpan w:val="2"/>
          </w:tcPr>
          <w:p>
            <w:pPr>
              <w:ind w:left="320"/>
              <w:spacing w:after="0"/>
              <w:rPr>
                <w:sz w:val="20"/>
                <w:szCs w:val="20"/>
                <w:color w:val="auto"/>
              </w:rPr>
            </w:pPr>
            <w:r>
              <w:rPr>
                <w:rFonts w:ascii="Arial" w:cs="Arial" w:eastAsia="Arial" w:hAnsi="Arial"/>
                <w:sz w:val="13"/>
                <w:szCs w:val="13"/>
                <w:b w:val="1"/>
                <w:bCs w:val="1"/>
                <w:color w:val="auto"/>
              </w:rPr>
              <w:t>Date acquired</w:t>
            </w: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21"/>
                <w:szCs w:val="21"/>
                <w:color w:val="auto"/>
              </w:rPr>
            </w:pPr>
          </w:p>
        </w:tc>
        <w:tc>
          <w:tcPr>
            <w:tcW w:w="640" w:type="dxa"/>
            <w:vAlign w:val="bottom"/>
          </w:tcPr>
          <w:p>
            <w:pPr>
              <w:jc w:val="right"/>
              <w:ind w:right="19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9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21"/>
                <w:szCs w:val="21"/>
                <w:color w:val="auto"/>
              </w:rPr>
            </w:pPr>
          </w:p>
        </w:tc>
        <w:tc>
          <w:tcPr>
            <w:tcW w:w="680" w:type="dxa"/>
            <w:vAlign w:val="bottom"/>
          </w:tcPr>
          <w:p>
            <w:pPr>
              <w:jc w:val="right"/>
              <w:ind w:right="21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15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3"/>
                <w:szCs w:val="13"/>
                <w:b w:val="1"/>
                <w:bCs w:val="1"/>
                <w:color w:val="auto"/>
              </w:rPr>
              <w:t>Change</w:t>
            </w:r>
          </w:p>
        </w:tc>
      </w:tr>
      <w:tr>
        <w:trPr>
          <w:trHeight w:val="181"/>
        </w:trPr>
        <w:tc>
          <w:tcPr>
            <w:tcW w:w="28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191"/>
        </w:trPr>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Harrison Street (1)</w:t>
            </w: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26, 2020</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1,058</w:t>
            </w:r>
          </w:p>
        </w:tc>
      </w:tr>
      <w:tr>
        <w:trPr>
          <w:trHeight w:val="186"/>
        </w:trPr>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153</w:t>
            </w:r>
          </w:p>
        </w:tc>
        <w:tc>
          <w:tcPr>
            <w:tcW w:w="2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&amp; 211 Second Avenue</w:t>
            </w:r>
          </w:p>
        </w:tc>
        <w:tc>
          <w:tcPr>
            <w:tcW w:w="1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June 4, 2021</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136,882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71</w:t>
            </w:r>
          </w:p>
        </w:tc>
      </w:tr>
      <w:tr>
        <w:trPr>
          <w:trHeight w:val="199"/>
        </w:trPr>
        <w:tc>
          <w:tcPr>
            <w:tcW w:w="2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136,882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1,129</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600" w:hanging="314"/>
        <w:spacing w:after="0" w:line="253" w:lineRule="auto"/>
        <w:tabs>
          <w:tab w:leader="none" w:pos="5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Formerly known as Fourth + Harrison and 425 Fourth Street and includes operating results for 759 Harrison Street, which was fully acquired on December 16, 2020.</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Properties Placed In-Service Portfolio</w:t>
      </w:r>
    </w:p>
    <w:p>
      <w:pPr>
        <w:spacing w:after="0" w:line="121" w:lineRule="exact"/>
        <w:rPr>
          <w:sz w:val="20"/>
          <w:szCs w:val="20"/>
          <w:color w:val="auto"/>
        </w:rPr>
      </w:pPr>
    </w:p>
    <w:p>
      <w:pPr>
        <w:ind w:right="40" w:firstLine="439"/>
        <w:spacing w:after="0" w:line="249" w:lineRule="auto"/>
        <w:rPr>
          <w:sz w:val="20"/>
          <w:szCs w:val="20"/>
          <w:color w:val="auto"/>
        </w:rPr>
      </w:pPr>
      <w:r>
        <w:rPr>
          <w:rFonts w:ascii="Arial" w:cs="Arial" w:eastAsia="Arial" w:hAnsi="Arial"/>
          <w:sz w:val="18"/>
          <w:szCs w:val="18"/>
          <w:color w:val="auto"/>
        </w:rPr>
        <w:t>The table below lists the properties that were placed in-service or partially placed in-service between January 1, 2020 and June 30, 2021. Rental revenue and real estate operating expenses from our Properties Placed In-Service Portfolio increased by approximately $15.0 million and $5.6 million, respectively, for the six months ended June 30, 2021 compared to 2020, as detailed below.</w:t>
      </w:r>
    </w:p>
    <w:p>
      <w:pPr>
        <w:spacing w:after="0" w:line="244" w:lineRule="exact"/>
        <w:rPr>
          <w:sz w:val="20"/>
          <w:szCs w:val="20"/>
          <w:color w:val="auto"/>
        </w:rPr>
      </w:pPr>
    </w:p>
    <w:tbl>
      <w:tblPr>
        <w:tblLayout w:type="fixed"/>
        <w:tblInd w:w="50" w:type="dxa"/>
        <w:tblCellMar>
          <w:top w:w="0" w:type="dxa"/>
          <w:left w:w="0" w:type="dxa"/>
          <w:bottom w:w="0" w:type="dxa"/>
          <w:right w:w="0" w:type="dxa"/>
        </w:tblCellMar>
      </w:tblPr>
      <w:tr>
        <w:trPr>
          <w:trHeight w:val="183"/>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5"/>
                <w:szCs w:val="15"/>
                <w:color w:val="auto"/>
              </w:rPr>
            </w:pPr>
          </w:p>
        </w:tc>
        <w:tc>
          <w:tcPr>
            <w:tcW w:w="1460" w:type="dxa"/>
            <w:vAlign w:val="bottom"/>
            <w:gridSpan w:val="2"/>
          </w:tcPr>
          <w:p>
            <w:pPr>
              <w:ind w:left="180"/>
              <w:spacing w:after="0"/>
              <w:rPr>
                <w:sz w:val="20"/>
                <w:szCs w:val="20"/>
                <w:color w:val="auto"/>
              </w:rPr>
            </w:pPr>
            <w:r>
              <w:rPr>
                <w:rFonts w:ascii="Arial" w:cs="Arial" w:eastAsia="Arial" w:hAnsi="Arial"/>
                <w:sz w:val="13"/>
                <w:szCs w:val="13"/>
                <w:b w:val="1"/>
                <w:bCs w:val="1"/>
                <w:color w:val="auto"/>
              </w:rPr>
              <w:t>Quarter Initially</w:t>
            </w:r>
          </w:p>
        </w:tc>
        <w:tc>
          <w:tcPr>
            <w:tcW w:w="1460" w:type="dxa"/>
            <w:vAlign w:val="bottom"/>
            <w:gridSpan w:val="2"/>
          </w:tcPr>
          <w:p>
            <w:pPr>
              <w:ind w:left="24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5"/>
                <w:szCs w:val="15"/>
                <w:color w:val="auto"/>
              </w:rPr>
            </w:pPr>
          </w:p>
        </w:tc>
        <w:tc>
          <w:tcPr>
            <w:tcW w:w="64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5"/>
                <w:szCs w:val="15"/>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3"/>
                <w:szCs w:val="13"/>
                <w:b w:val="1"/>
                <w:bCs w:val="1"/>
                <w:color w:val="auto"/>
              </w:rPr>
              <w:t>Placed In-Service</w:t>
            </w:r>
          </w:p>
        </w:tc>
        <w:tc>
          <w:tcPr>
            <w:tcW w:w="1460" w:type="dxa"/>
            <w:vAlign w:val="bottom"/>
            <w:gridSpan w:val="2"/>
          </w:tcPr>
          <w:p>
            <w:pPr>
              <w:ind w:left="12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5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80" w:type="dxa"/>
            <w:vAlign w:val="bottom"/>
            <w:tcBorders>
              <w:left w:val="single" w:sz="8" w:color="CCEEFF"/>
            </w:tcBorders>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1580" w:type="dxa"/>
            <w:vAlign w:val="bottom"/>
            <w:gridSpan w:val="3"/>
            <w:vMerge w:val="restart"/>
          </w:tcPr>
          <w:p>
            <w:pPr>
              <w:ind w:left="20"/>
              <w:spacing w:after="0"/>
              <w:rPr>
                <w:sz w:val="20"/>
                <w:szCs w:val="20"/>
                <w:color w:val="auto"/>
              </w:rPr>
            </w:pPr>
            <w:r>
              <w:rPr>
                <w:rFonts w:ascii="Arial" w:cs="Arial" w:eastAsia="Arial" w:hAnsi="Arial"/>
                <w:sz w:val="14"/>
                <w:szCs w:val="14"/>
                <w:color w:val="auto"/>
              </w:rPr>
              <w:t>20 CityPoint</w:t>
            </w:r>
          </w:p>
        </w:tc>
        <w:tc>
          <w:tcPr>
            <w:tcW w:w="100" w:type="dxa"/>
            <w:vAlign w:val="bottom"/>
          </w:tcPr>
          <w:p>
            <w:pPr>
              <w:spacing w:after="0"/>
              <w:rPr>
                <w:sz w:val="13"/>
                <w:szCs w:val="13"/>
                <w:color w:val="auto"/>
              </w:rPr>
            </w:pPr>
          </w:p>
        </w:tc>
        <w:tc>
          <w:tcPr>
            <w:tcW w:w="14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Second Quarter,</w:t>
            </w:r>
          </w:p>
        </w:tc>
        <w:tc>
          <w:tcPr>
            <w:tcW w:w="1460" w:type="dxa"/>
            <w:vAlign w:val="bottom"/>
            <w:gridSpan w:val="2"/>
          </w:tcPr>
          <w:p>
            <w:pPr>
              <w:spacing w:after="0" w:line="151" w:lineRule="exact"/>
              <w:rPr>
                <w:sz w:val="20"/>
                <w:szCs w:val="20"/>
                <w:color w:val="auto"/>
              </w:rPr>
            </w:pPr>
            <w:r>
              <w:rPr>
                <w:rFonts w:ascii="Arial" w:cs="Arial" w:eastAsia="Arial" w:hAnsi="Arial"/>
                <w:sz w:val="14"/>
                <w:szCs w:val="14"/>
                <w:color w:val="auto"/>
              </w:rPr>
              <w:t>Second Quarter,</w:t>
            </w:r>
          </w:p>
        </w:tc>
        <w:tc>
          <w:tcPr>
            <w:tcW w:w="960" w:type="dxa"/>
            <w:vAlign w:val="bottom"/>
            <w:vMerge w:val="restart"/>
          </w:tcPr>
          <w:p>
            <w:pPr>
              <w:jc w:val="right"/>
              <w:ind w:right="10"/>
              <w:spacing w:after="0"/>
              <w:rPr>
                <w:sz w:val="20"/>
                <w:szCs w:val="20"/>
                <w:color w:val="auto"/>
              </w:rPr>
            </w:pPr>
            <w:r>
              <w:rPr>
                <w:rFonts w:ascii="Arial" w:cs="Arial" w:eastAsia="Arial" w:hAnsi="Arial"/>
                <w:sz w:val="14"/>
                <w:szCs w:val="14"/>
                <w:color w:val="auto"/>
              </w:rPr>
              <w:t>211,476</w:t>
            </w:r>
          </w:p>
        </w:tc>
        <w:tc>
          <w:tcPr>
            <w:tcW w:w="100" w:type="dxa"/>
            <w:vAlign w:val="bottom"/>
          </w:tcPr>
          <w:p>
            <w:pPr>
              <w:spacing w:after="0"/>
              <w:rPr>
                <w:sz w:val="13"/>
                <w:szCs w:val="13"/>
                <w:color w:val="auto"/>
              </w:rPr>
            </w:pP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3,531</w:t>
            </w:r>
          </w:p>
        </w:tc>
        <w:tc>
          <w:tcPr>
            <w:tcW w:w="3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0"/>
              <w:spacing w:after="0"/>
              <w:rPr>
                <w:sz w:val="20"/>
                <w:szCs w:val="20"/>
                <w:color w:val="auto"/>
              </w:rPr>
            </w:pPr>
            <w:r>
              <w:rPr>
                <w:rFonts w:ascii="Arial" w:cs="Arial" w:eastAsia="Arial" w:hAnsi="Arial"/>
                <w:sz w:val="14"/>
                <w:szCs w:val="14"/>
                <w:color w:val="auto"/>
              </w:rPr>
              <w:t>3,624</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3"/>
                <w:szCs w:val="13"/>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3"/>
                <w:szCs w:val="13"/>
                <w:color w:val="auto"/>
              </w:rPr>
            </w:pP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8"/>
        </w:trPr>
        <w:tc>
          <w:tcPr>
            <w:tcW w:w="1580" w:type="dxa"/>
            <w:vAlign w:val="bottom"/>
            <w:gridSpan w:val="3"/>
            <w:vMerge w:val="continue"/>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CCEEFF"/>
            </w:tcBorders>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rPr>
              <w:t>17Fifty Presidents</w:t>
            </w:r>
          </w:p>
        </w:tc>
        <w:tc>
          <w:tcPr>
            <w:tcW w:w="10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Quarter, 2020</w:t>
            </w:r>
          </w:p>
        </w:tc>
        <w:tc>
          <w:tcPr>
            <w:tcW w:w="14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Quarter, 2020</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275,809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9,976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3,943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6,033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2,927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1,276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1,651</w:t>
            </w:r>
          </w:p>
        </w:tc>
        <w:tc>
          <w:tcPr>
            <w:tcW w:w="0" w:type="dxa"/>
            <w:vAlign w:val="bottom"/>
          </w:tcPr>
          <w:p>
            <w:pPr>
              <w:spacing w:after="0"/>
              <w:rPr>
                <w:sz w:val="1"/>
                <w:szCs w:val="1"/>
                <w:color w:val="auto"/>
              </w:rPr>
            </w:pPr>
          </w:p>
        </w:tc>
      </w:tr>
      <w:tr>
        <w:trPr>
          <w:trHeight w:val="168"/>
        </w:trPr>
        <w:tc>
          <w:tcPr>
            <w:tcW w:w="158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Street</w:t>
            </w:r>
          </w:p>
        </w:tc>
        <w:tc>
          <w:tcPr>
            <w:tcW w:w="10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8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One Five Nine East</w:t>
            </w:r>
          </w:p>
        </w:tc>
        <w:tc>
          <w:tcPr>
            <w:tcW w:w="100" w:type="dxa"/>
            <w:vAlign w:val="bottom"/>
          </w:tcPr>
          <w:p>
            <w:pPr>
              <w:spacing w:after="0"/>
              <w:rPr>
                <w:sz w:val="13"/>
                <w:szCs w:val="13"/>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Quarter, 2021</w:t>
            </w: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rPr>
              <w:t>First Quarter, 2021</w:t>
            </w:r>
          </w:p>
        </w:tc>
        <w:tc>
          <w:tcPr>
            <w:tcW w:w="960" w:type="dxa"/>
            <w:vAlign w:val="bottom"/>
            <w:vMerge w:val="restart"/>
          </w:tcPr>
          <w:p>
            <w:pPr>
              <w:jc w:val="right"/>
              <w:ind w:right="10"/>
              <w:spacing w:after="0"/>
              <w:rPr>
                <w:sz w:val="20"/>
                <w:szCs w:val="20"/>
                <w:color w:val="auto"/>
              </w:rPr>
            </w:pPr>
            <w:r>
              <w:rPr>
                <w:rFonts w:ascii="Arial" w:cs="Arial" w:eastAsia="Arial" w:hAnsi="Arial"/>
                <w:sz w:val="14"/>
                <w:szCs w:val="14"/>
                <w:color w:val="auto"/>
              </w:rPr>
              <w:t>220,000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6,691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(1,393)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8,084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68"/>
        </w:trPr>
        <w:tc>
          <w:tcPr>
            <w:tcW w:w="1580" w:type="dxa"/>
            <w:vAlign w:val="bottom"/>
            <w:tcBorders>
              <w:bottom w:val="single" w:sz="8" w:color="CCEEFF"/>
            </w:tcBorders>
            <w:gridSpan w:val="3"/>
          </w:tcPr>
          <w:p>
            <w:pPr>
              <w:ind w:left="180"/>
              <w:spacing w:after="0"/>
              <w:rPr>
                <w:sz w:val="20"/>
                <w:szCs w:val="20"/>
                <w:color w:val="auto"/>
              </w:rPr>
            </w:pPr>
            <w:r>
              <w:rPr>
                <w:rFonts w:ascii="Arial" w:cs="Arial" w:eastAsia="Arial" w:hAnsi="Arial"/>
                <w:sz w:val="14"/>
                <w:szCs w:val="14"/>
                <w:color w:val="auto"/>
              </w:rPr>
              <w:t>53rd Street (1)</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gridSpan w:val="2"/>
            <w:vMerge w:val="continue"/>
          </w:tcPr>
          <w:p>
            <w:pPr>
              <w:spacing w:after="0"/>
              <w:rPr>
                <w:sz w:val="14"/>
                <w:szCs w:val="14"/>
                <w:color w:val="auto"/>
              </w:rPr>
            </w:pPr>
          </w:p>
        </w:tc>
        <w:tc>
          <w:tcPr>
            <w:tcW w:w="1460" w:type="dxa"/>
            <w:vAlign w:val="bottom"/>
            <w:tcBorders>
              <w:bottom w:val="single" w:sz="8" w:color="CCEEFF"/>
            </w:tcBorders>
            <w:gridSpan w:val="2"/>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5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 Office</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707,285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20,198</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6,174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5,814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3,440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2,374</w:t>
            </w: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1580" w:type="dxa"/>
            <w:vAlign w:val="bottom"/>
            <w:tcBorders>
              <w:left w:val="single" w:sz="8" w:color="CCEEFF"/>
            </w:tcBorders>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Residential</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80" w:type="dxa"/>
            <w:vAlign w:val="bottom"/>
            <w:tcBorders>
              <w:left w:val="single" w:sz="8" w:color="CCEEFF"/>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5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The Skylyne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Third Quarter, 2020</w:t>
            </w:r>
          </w:p>
        </w:tc>
        <w:tc>
          <w:tcPr>
            <w:tcW w:w="1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Third Quarter, 2020</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330,996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3,230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3,230</w:t>
            </w:r>
          </w:p>
        </w:tc>
        <w:tc>
          <w:tcPr>
            <w:tcW w:w="0" w:type="dxa"/>
            <w:vAlign w:val="bottom"/>
          </w:tcPr>
          <w:p>
            <w:pPr>
              <w:spacing w:after="0"/>
              <w:rPr>
                <w:sz w:val="1"/>
                <w:szCs w:val="1"/>
                <w:color w:val="auto"/>
              </w:rPr>
            </w:pPr>
          </w:p>
        </w:tc>
      </w:tr>
      <w:tr>
        <w:trPr>
          <w:trHeight w:val="179"/>
        </w:trPr>
        <w:tc>
          <w:tcPr>
            <w:tcW w:w="15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 Residential</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330,996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3,230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3,230</w:t>
            </w:r>
          </w:p>
        </w:tc>
        <w:tc>
          <w:tcPr>
            <w:tcW w:w="0" w:type="dxa"/>
            <w:vAlign w:val="bottom"/>
          </w:tcPr>
          <w:p>
            <w:pPr>
              <w:spacing w:after="0"/>
              <w:rPr>
                <w:sz w:val="1"/>
                <w:szCs w:val="1"/>
                <w:color w:val="auto"/>
              </w:rPr>
            </w:pPr>
          </w:p>
        </w:tc>
      </w:tr>
      <w:tr>
        <w:trPr>
          <w:trHeight w:val="179"/>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1,038,281</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21,209</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6,174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15,035</w:t>
            </w:r>
          </w:p>
        </w:tc>
        <w:tc>
          <w:tcPr>
            <w:tcW w:w="10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9,044</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3,440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8" w:lineRule="exact"/>
        <w:rPr>
          <w:sz w:val="20"/>
          <w:szCs w:val="20"/>
          <w:color w:val="auto"/>
        </w:rPr>
      </w:pPr>
    </w:p>
    <w:p>
      <w:pPr>
        <w:ind w:left="560" w:hanging="314"/>
        <w:spacing w:after="0" w:line="286" w:lineRule="auto"/>
        <w:tabs>
          <w:tab w:leader="none" w:pos="547" w:val="left"/>
        </w:tabs>
        <w:numPr>
          <w:ilvl w:val="0"/>
          <w:numId w:val="43"/>
        </w:numPr>
        <w:rPr>
          <w:rFonts w:ascii="Arial" w:cs="Arial" w:eastAsia="Arial" w:hAnsi="Arial"/>
          <w:sz w:val="13"/>
          <w:szCs w:val="13"/>
          <w:color w:val="auto"/>
        </w:rPr>
      </w:pPr>
      <w:r>
        <w:rPr>
          <w:rFonts w:ascii="Arial" w:cs="Arial" w:eastAsia="Arial" w:hAnsi="Arial"/>
          <w:sz w:val="15"/>
          <w:szCs w:val="15"/>
          <w:color w:val="auto"/>
        </w:rPr>
        <w:t>This is the low-rise portion of 601 Lexington Avenue, which was in development for the six months ended June 30, 2020. Rental revenue for the six months ended June 30, 2020 includes an approximately $2.9 million write-off of accrued rent and accounts receivable balances for a terminated tenant.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Properties in Development or Redevelopment Portfolio</w:t>
      </w:r>
    </w:p>
    <w:p>
      <w:pPr>
        <w:spacing w:after="0" w:line="108" w:lineRule="exact"/>
        <w:rPr>
          <w:sz w:val="20"/>
          <w:szCs w:val="20"/>
          <w:color w:val="auto"/>
        </w:rPr>
      </w:pPr>
    </w:p>
    <w:p>
      <w:pPr>
        <w:ind w:right="80" w:firstLine="439"/>
        <w:spacing w:after="0" w:line="249" w:lineRule="auto"/>
        <w:rPr>
          <w:sz w:val="20"/>
          <w:szCs w:val="20"/>
          <w:color w:val="auto"/>
        </w:rPr>
      </w:pPr>
      <w:r>
        <w:rPr>
          <w:rFonts w:ascii="Arial" w:cs="Arial" w:eastAsia="Arial" w:hAnsi="Arial"/>
          <w:sz w:val="18"/>
          <w:szCs w:val="18"/>
          <w:color w:val="auto"/>
        </w:rPr>
        <w:t>The table below lists the properties that were in development or redevelopment between January 1, 2020 and June 30, 2021. Rental revenue and real estate operating expenses from our Properties in Development or Redevelopment Portfolio decreased by approximately $2.6 million and $0.9 million, respectively, for the six months ended June 30, 2021 compared to 2020, as detailed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right"/>
              <w:ind w:right="390"/>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2"/>
          </w:tcPr>
          <w:p>
            <w:pPr>
              <w:jc w:val="center"/>
              <w:ind w:right="120"/>
              <w:spacing w:after="0" w:line="120" w:lineRule="exact"/>
              <w:rPr>
                <w:sz w:val="20"/>
                <w:szCs w:val="20"/>
                <w:color w:val="auto"/>
              </w:rPr>
            </w:pPr>
            <w:r>
              <w:rPr>
                <w:rFonts w:ascii="Arial" w:cs="Arial" w:eastAsia="Arial" w:hAnsi="Arial"/>
                <w:sz w:val="13"/>
                <w:szCs w:val="13"/>
                <w:b w:val="1"/>
                <w:bCs w:val="1"/>
                <w:color w:val="auto"/>
              </w:rPr>
              <w:t>Date Commenced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210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Name</w:t>
            </w:r>
          </w:p>
        </w:tc>
        <w:tc>
          <w:tcPr>
            <w:tcW w:w="180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rPr>
              <w:t>Development /</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1"/>
                <w:szCs w:val="11"/>
                <w:color w:val="auto"/>
              </w:rPr>
            </w:pPr>
          </w:p>
        </w:tc>
        <w:tc>
          <w:tcPr>
            <w:tcW w:w="68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ind w:right="23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1"/>
                <w:szCs w:val="11"/>
                <w:color w:val="auto"/>
              </w:rPr>
            </w:pPr>
          </w:p>
        </w:tc>
        <w:tc>
          <w:tcPr>
            <w:tcW w:w="68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5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5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Redevelopment</w:t>
            </w: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(dollars in thousands)</w:t>
            </w: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325</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Main Street (1)</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9, 2019</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115,000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6"/>
        </w:trPr>
        <w:tc>
          <w:tcPr>
            <w:tcW w:w="280" w:type="dxa"/>
            <w:vAlign w:val="bottom"/>
          </w:tcPr>
          <w:p>
            <w:pPr>
              <w:ind w:left="20"/>
              <w:spacing w:after="0"/>
              <w:rPr>
                <w:sz w:val="20"/>
                <w:szCs w:val="20"/>
                <w:color w:val="auto"/>
              </w:rPr>
            </w:pPr>
            <w:r>
              <w:rPr>
                <w:rFonts w:ascii="Arial" w:cs="Arial" w:eastAsia="Arial" w:hAnsi="Arial"/>
                <w:sz w:val="14"/>
                <w:szCs w:val="14"/>
                <w:color w:val="auto"/>
              </w:rPr>
              <w:t>200</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West Street (2)</w:t>
            </w: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September 30, 2019</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261,000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2,593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86"/>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880</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Winter Street (3)</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25, 2021</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224,000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6"/>
        </w:trPr>
        <w:tc>
          <w:tcPr>
            <w:tcW w:w="23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3625-3635 Peterson Way (4)</w:t>
            </w: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April 16, 2021</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218,000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3,076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99"/>
        </w:trPr>
        <w:tc>
          <w:tcPr>
            <w:tcW w:w="2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818,000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10,018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hanging="314"/>
        <w:spacing w:after="0"/>
        <w:tabs>
          <w:tab w:leader="none" w:pos="560" w:val="left"/>
        </w:tabs>
        <w:numPr>
          <w:ilvl w:val="0"/>
          <w:numId w:val="44"/>
        </w:numPr>
        <w:rPr>
          <w:rFonts w:ascii="Arial" w:cs="Arial" w:eastAsia="Arial" w:hAnsi="Arial"/>
          <w:sz w:val="14"/>
          <w:szCs w:val="14"/>
          <w:color w:val="auto"/>
        </w:rPr>
      </w:pPr>
      <w:r>
        <w:rPr>
          <w:rFonts w:ascii="Arial" w:cs="Arial" w:eastAsia="Arial" w:hAnsi="Arial"/>
          <w:sz w:val="16"/>
          <w:szCs w:val="16"/>
          <w:color w:val="auto"/>
        </w:rPr>
        <w:t>Real estate operating expenses for the six months ended June 30, 2021 and 2020 were related to demolition costs.</w:t>
      </w:r>
    </w:p>
    <w:p>
      <w:pPr>
        <w:spacing w:after="0" w:line="2" w:lineRule="exact"/>
        <w:rPr>
          <w:rFonts w:ascii="Arial" w:cs="Arial" w:eastAsia="Arial" w:hAnsi="Arial"/>
          <w:sz w:val="14"/>
          <w:szCs w:val="14"/>
          <w:color w:val="auto"/>
        </w:rPr>
      </w:pPr>
    </w:p>
    <w:p>
      <w:pPr>
        <w:ind w:left="560" w:hanging="314"/>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Conversion of a 126,000 square foot portion of the property to life sciences space from office space.</w:t>
      </w:r>
    </w:p>
    <w:p>
      <w:pPr>
        <w:spacing w:after="0" w:line="2" w:lineRule="exact"/>
        <w:rPr>
          <w:rFonts w:ascii="Arial" w:cs="Arial" w:eastAsia="Arial" w:hAnsi="Arial"/>
          <w:sz w:val="16"/>
          <w:szCs w:val="16"/>
          <w:color w:val="auto"/>
        </w:rPr>
      </w:pPr>
    </w:p>
    <w:p>
      <w:pPr>
        <w:ind w:left="560" w:right="540" w:hanging="314"/>
        <w:spacing w:after="0" w:line="242" w:lineRule="auto"/>
        <w:tabs>
          <w:tab w:leader="none" w:pos="5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February 25, 2021, we commenced the redevelopment and conversion of 880 Winter Street, a 224,000 square foot office property located in Waltham, Massachusetts, to laboratory space.</w:t>
      </w:r>
    </w:p>
    <w:p>
      <w:pPr>
        <w:spacing w:after="0" w:line="1" w:lineRule="exact"/>
        <w:rPr>
          <w:rFonts w:ascii="Arial" w:cs="Arial" w:eastAsia="Arial" w:hAnsi="Arial"/>
          <w:sz w:val="16"/>
          <w:szCs w:val="16"/>
          <w:color w:val="auto"/>
        </w:rPr>
      </w:pPr>
    </w:p>
    <w:p>
      <w:pPr>
        <w:ind w:left="560" w:right="280" w:hanging="314"/>
        <w:spacing w:after="0" w:line="253" w:lineRule="auto"/>
        <w:tabs>
          <w:tab w:leader="none" w:pos="5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April 16, 2021, we removed 3625-3635 Peterson Way, located in Santa Clara, California, from our in-service portfolio. We intend to demolish the building and redevelop the site at a future date.</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Sold Portfolio</w:t>
      </w:r>
    </w:p>
    <w:p>
      <w:pPr>
        <w:spacing w:after="0" w:line="121" w:lineRule="exact"/>
        <w:rPr>
          <w:sz w:val="20"/>
          <w:szCs w:val="20"/>
          <w:color w:val="auto"/>
        </w:rPr>
      </w:pPr>
    </w:p>
    <w:p>
      <w:pPr>
        <w:ind w:right="140" w:firstLine="439"/>
        <w:spacing w:after="0" w:line="249" w:lineRule="auto"/>
        <w:rPr>
          <w:sz w:val="20"/>
          <w:szCs w:val="20"/>
          <w:color w:val="auto"/>
        </w:rPr>
      </w:pPr>
      <w:r>
        <w:rPr>
          <w:rFonts w:ascii="Arial" w:cs="Arial" w:eastAsia="Arial" w:hAnsi="Arial"/>
          <w:sz w:val="18"/>
          <w:szCs w:val="18"/>
          <w:color w:val="auto"/>
        </w:rPr>
        <w:t>The table below lists the properties we sold between January 1, 2020 and June 30, 2021. Rental revenue and real estate operating expenses from our Properties Sold Portfolio decreased by approximately $17.4 million and $6.3 million, respectively, for the six months ended June 30, 2021 compared to 2020, as detailed below.</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20"/>
        </w:trPr>
        <w:tc>
          <w:tcPr>
            <w:tcW w:w="190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Name</w:t>
            </w:r>
          </w:p>
        </w:tc>
        <w:tc>
          <w:tcPr>
            <w:tcW w:w="178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Date Sold</w:t>
            </w:r>
          </w:p>
        </w:tc>
        <w:tc>
          <w:tcPr>
            <w:tcW w:w="920" w:type="dxa"/>
            <w:vAlign w:val="bottom"/>
            <w:gridSpan w:val="2"/>
          </w:tcPr>
          <w:p>
            <w:pPr>
              <w:jc w:val="center"/>
              <w:ind w:right="120"/>
              <w:spacing w:after="0" w:line="120" w:lineRule="exact"/>
              <w:rPr>
                <w:sz w:val="20"/>
                <w:szCs w:val="20"/>
                <w:color w:val="auto"/>
              </w:rPr>
            </w:pPr>
            <w:r>
              <w:rPr>
                <w:rFonts w:ascii="Arial" w:cs="Arial" w:eastAsia="Arial" w:hAnsi="Arial"/>
                <w:sz w:val="13"/>
                <w:szCs w:val="13"/>
                <w:b w:val="1"/>
                <w:bCs w:val="1"/>
                <w:color w:val="auto"/>
              </w:rPr>
              <w:t>Property</w:t>
            </w: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0"/>
                <w:szCs w:val="10"/>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0"/>
                <w:szCs w:val="10"/>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1"/>
        </w:trPr>
        <w:tc>
          <w:tcPr>
            <w:tcW w:w="19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Type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601, 611 and 651 Gateway</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28, 2020</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768,000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151"/>
        </w:trPr>
        <w:tc>
          <w:tcPr>
            <w:tcW w:w="190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New Dominion Technology</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color w:val="auto"/>
              </w:rPr>
              <w:t>February 20, 2020</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vMerge w:val="restart"/>
          </w:tcPr>
          <w:p>
            <w:pPr>
              <w:jc w:val="right"/>
              <w:ind w:right="10"/>
              <w:spacing w:after="0"/>
              <w:rPr>
                <w:sz w:val="20"/>
                <w:szCs w:val="20"/>
                <w:color w:val="auto"/>
              </w:rPr>
            </w:pPr>
            <w:r>
              <w:rPr>
                <w:rFonts w:ascii="Arial" w:cs="Arial" w:eastAsia="Arial" w:hAnsi="Arial"/>
                <w:sz w:val="14"/>
                <w:szCs w:val="14"/>
                <w:color w:val="auto"/>
              </w:rPr>
              <w:t>493,000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2,551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(2,551)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68"/>
        </w:trPr>
        <w:tc>
          <w:tcPr>
            <w:tcW w:w="1900" w:type="dxa"/>
            <w:vAlign w:val="bottom"/>
            <w:gridSpan w:val="2"/>
          </w:tcPr>
          <w:p>
            <w:pPr>
              <w:ind w:left="180"/>
              <w:spacing w:after="0"/>
              <w:rPr>
                <w:sz w:val="20"/>
                <w:szCs w:val="20"/>
                <w:color w:val="auto"/>
              </w:rPr>
            </w:pPr>
            <w:r>
              <w:rPr>
                <w:rFonts w:ascii="Arial" w:cs="Arial" w:eastAsia="Arial" w:hAnsi="Arial"/>
                <w:sz w:val="14"/>
                <w:szCs w:val="14"/>
                <w:color w:val="auto"/>
              </w:rPr>
              <w:t>Park</w:t>
            </w:r>
          </w:p>
        </w:tc>
        <w:tc>
          <w:tcPr>
            <w:tcW w:w="1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Capital Gallery (1)</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25, 2020</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631,000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18,192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6,482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(4,667)</w:t>
            </w:r>
          </w:p>
        </w:tc>
        <w:tc>
          <w:tcPr>
            <w:tcW w:w="0" w:type="dxa"/>
            <w:vAlign w:val="bottom"/>
          </w:tcPr>
          <w:p>
            <w:pPr>
              <w:spacing w:after="0"/>
              <w:rPr>
                <w:sz w:val="1"/>
                <w:szCs w:val="1"/>
                <w:color w:val="auto"/>
              </w:rPr>
            </w:pPr>
          </w:p>
        </w:tc>
      </w:tr>
      <w:tr>
        <w:trPr>
          <w:trHeight w:val="179"/>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1,892,000</w:t>
            </w:r>
          </w:p>
        </w:tc>
        <w:tc>
          <w:tcPr>
            <w:tcW w:w="10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5,250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22,689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(17,439)</w:t>
            </w:r>
          </w:p>
        </w:tc>
        <w:tc>
          <w:tcPr>
            <w:tcW w:w="12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1,815</w:t>
            </w:r>
          </w:p>
        </w:tc>
        <w:tc>
          <w:tcPr>
            <w:tcW w:w="10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8,135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(6,320)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8" w:lineRule="exact"/>
        <w:rPr>
          <w:sz w:val="20"/>
          <w:szCs w:val="20"/>
          <w:color w:val="auto"/>
        </w:rPr>
      </w:pPr>
    </w:p>
    <w:p>
      <w:pPr>
        <w:ind w:left="560" w:right="60" w:hanging="314"/>
        <w:spacing w:after="0" w:line="246" w:lineRule="auto"/>
        <w:tabs>
          <w:tab w:leader="none" w:pos="5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completed the sale of a portion of our Capital Gallery property located in Washington, DC. Capital Gallery is an approximately 631,000 net rentable square foot Class A office property. The portion sold was comprised of approximately 455,000 net rentable square feet of commercial office space. We continue to own the land, underground parking garage and remaining commercial office and retail space. The amounts shown represent the entire property and not just the portion sold.</w:t>
      </w:r>
    </w:p>
    <w:p>
      <w:pPr>
        <w:spacing w:after="0" w:line="209" w:lineRule="exact"/>
        <w:rPr>
          <w:sz w:val="20"/>
          <w:szCs w:val="20"/>
          <w:color w:val="auto"/>
        </w:rPr>
      </w:pPr>
    </w:p>
    <w:p>
      <w:pPr>
        <w:ind w:right="120" w:firstLine="439"/>
        <w:spacing w:after="0" w:line="260" w:lineRule="auto"/>
        <w:rPr>
          <w:sz w:val="20"/>
          <w:szCs w:val="20"/>
          <w:color w:val="auto"/>
        </w:rPr>
      </w:pPr>
      <w:r>
        <w:rPr>
          <w:rFonts w:ascii="Arial" w:cs="Arial" w:eastAsia="Arial" w:hAnsi="Arial"/>
          <w:sz w:val="18"/>
          <w:szCs w:val="18"/>
          <w:color w:val="auto"/>
        </w:rPr>
        <w:t xml:space="preserve">For additional information on the sales of the above properties and land parcel refer to </w:t>
      </w:r>
      <w:r>
        <w:rPr>
          <w:rFonts w:ascii="Arial" w:cs="Arial" w:eastAsia="Arial" w:hAnsi="Arial"/>
          <w:sz w:val="18"/>
          <w:szCs w:val="18"/>
          <w:i w:val="1"/>
          <w:iCs w:val="1"/>
          <w:color w:val="auto"/>
        </w:rPr>
        <w:t>“Results of Operations—Other Income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Items—Gains on Sales of Real Estate” </w:t>
      </w:r>
      <w:r>
        <w:rPr>
          <w:rFonts w:ascii="Arial" w:cs="Arial" w:eastAsia="Arial" w:hAnsi="Arial"/>
          <w:sz w:val="18"/>
          <w:szCs w:val="18"/>
          <w:color w:val="auto"/>
        </w:rPr>
        <w:t>within</w:t>
      </w:r>
      <w:r>
        <w:rPr>
          <w:rFonts w:ascii="Arial" w:cs="Arial" w:eastAsia="Arial" w:hAnsi="Arial"/>
          <w:sz w:val="18"/>
          <w:szCs w:val="18"/>
          <w:i w:val="1"/>
          <w:iCs w:val="1"/>
          <w:color w:val="auto"/>
        </w:rPr>
        <w:t xml:space="preserve"> “Item 2—Management’s Discussion and Analysis of Financial Condition and Results of Operations.”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Residential Net Operating Income</w:t>
      </w:r>
    </w:p>
    <w:p>
      <w:pPr>
        <w:spacing w:after="0" w:line="121"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Net operating income for our residential same properties decreased by approximately $2.2 million for the six months ended June 30, 2021 compared to 2020.</w:t>
      </w:r>
    </w:p>
    <w:p>
      <w:pPr>
        <w:spacing w:after="0" w:line="150" w:lineRule="exact"/>
        <w:rPr>
          <w:sz w:val="20"/>
          <w:szCs w:val="20"/>
          <w:color w:val="auto"/>
        </w:rPr>
      </w:pPr>
    </w:p>
    <w:p>
      <w:pPr>
        <w:ind w:right="120" w:firstLine="439"/>
        <w:spacing w:after="0" w:line="252" w:lineRule="auto"/>
        <w:rPr>
          <w:sz w:val="20"/>
          <w:szCs w:val="20"/>
          <w:color w:val="auto"/>
        </w:rPr>
      </w:pPr>
      <w:r>
        <w:rPr>
          <w:rFonts w:ascii="Arial" w:cs="Arial" w:eastAsia="Arial" w:hAnsi="Arial"/>
          <w:sz w:val="18"/>
          <w:szCs w:val="18"/>
          <w:color w:val="auto"/>
        </w:rPr>
        <w:t>The following reflects our occupancy and rate information for The Lofts at Atlantic Wharf, The Avant at Reston Town Center, Signature at Reston and Proto Kendall Square for the six months ended June 30, 2021 and 2020.</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315"/>
              <w:spacing w:after="0"/>
              <w:rPr>
                <w:sz w:val="20"/>
                <w:szCs w:val="20"/>
                <w:color w:val="auto"/>
              </w:rPr>
            </w:pPr>
            <w:r>
              <w:rPr>
                <w:rFonts w:ascii="Arial" w:cs="Arial" w:eastAsia="Arial" w:hAnsi="Arial"/>
                <w:sz w:val="12"/>
                <w:szCs w:val="12"/>
                <w:b w:val="1"/>
                <w:bCs w:val="1"/>
                <w:color w:val="auto"/>
              </w:rPr>
              <w:t>The Lofts at Atlantic Wharf</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ind w:left="60"/>
              <w:spacing w:after="0"/>
              <w:rPr>
                <w:sz w:val="20"/>
                <w:szCs w:val="20"/>
                <w:color w:val="auto"/>
              </w:rPr>
            </w:pPr>
            <w:r>
              <w:rPr>
                <w:rFonts w:ascii="Arial" w:cs="Arial" w:eastAsia="Arial" w:hAnsi="Arial"/>
                <w:sz w:val="12"/>
                <w:szCs w:val="12"/>
                <w:b w:val="1"/>
                <w:bCs w:val="1"/>
                <w:color w:val="auto"/>
              </w:rPr>
              <w:t>The Avant at Reston Town Center</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554"/>
              <w:spacing w:after="0"/>
              <w:rPr>
                <w:sz w:val="20"/>
                <w:szCs w:val="20"/>
                <w:color w:val="auto"/>
              </w:rPr>
            </w:pPr>
            <w:r>
              <w:rPr>
                <w:rFonts w:ascii="Arial" w:cs="Arial" w:eastAsia="Arial" w:hAnsi="Arial"/>
                <w:sz w:val="12"/>
                <w:szCs w:val="12"/>
                <w:b w:val="1"/>
                <w:bCs w:val="1"/>
                <w:color w:val="auto"/>
              </w:rPr>
              <w:t>Signature at Reston</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ind w:left="420"/>
              <w:spacing w:after="0"/>
              <w:rPr>
                <w:sz w:val="20"/>
                <w:szCs w:val="20"/>
                <w:color w:val="auto"/>
              </w:rPr>
            </w:pPr>
            <w:r>
              <w:rPr>
                <w:rFonts w:ascii="Arial" w:cs="Arial" w:eastAsia="Arial" w:hAnsi="Arial"/>
                <w:sz w:val="12"/>
                <w:szCs w:val="12"/>
                <w:b w:val="1"/>
                <w:bCs w:val="1"/>
                <w:color w:val="auto"/>
              </w:rPr>
              <w:t>Proto Kendall Square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660" w:type="dxa"/>
            <w:vAlign w:val="bottom"/>
          </w:tcPr>
          <w:p>
            <w:pPr>
              <w:jc w:val="right"/>
              <w:ind w:right="35"/>
              <w:spacing w:after="0" w:line="120" w:lineRule="exact"/>
              <w:rPr>
                <w:sz w:val="20"/>
                <w:szCs w:val="20"/>
                <w:color w:val="auto"/>
              </w:rPr>
            </w:pPr>
            <w:r>
              <w:rPr>
                <w:rFonts w:ascii="Arial" w:cs="Arial" w:eastAsia="Arial" w:hAnsi="Arial"/>
                <w:sz w:val="12"/>
                <w:szCs w:val="12"/>
                <w:b w:val="1"/>
                <w:bCs w:val="1"/>
                <w:color w:val="auto"/>
              </w:rPr>
              <w:t>Change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Change (%)</w:t>
            </w:r>
          </w:p>
        </w:tc>
        <w:tc>
          <w:tcPr>
            <w:tcW w:w="160" w:type="dxa"/>
            <w:vAlign w:val="bottom"/>
          </w:tcPr>
          <w:p>
            <w:pPr>
              <w:spacing w:after="0"/>
              <w:rPr>
                <w:sz w:val="10"/>
                <w:szCs w:val="10"/>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Change (%)</w:t>
            </w:r>
          </w:p>
        </w:tc>
        <w:tc>
          <w:tcPr>
            <w:tcW w:w="160" w:type="dxa"/>
            <w:vAlign w:val="bottom"/>
          </w:tcPr>
          <w:p>
            <w:pPr>
              <w:spacing w:after="0"/>
              <w:rPr>
                <w:sz w:val="10"/>
                <w:szCs w:val="10"/>
                <w:color w:val="auto"/>
              </w:rPr>
            </w:pPr>
          </w:p>
        </w:tc>
        <w:tc>
          <w:tcPr>
            <w:tcW w:w="60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55"/>
              <w:spacing w:after="0" w:line="120" w:lineRule="exact"/>
              <w:rPr>
                <w:sz w:val="20"/>
                <w:szCs w:val="20"/>
                <w:color w:val="auto"/>
              </w:rPr>
            </w:pPr>
            <w:r>
              <w:rPr>
                <w:rFonts w:ascii="Arial" w:cs="Arial" w:eastAsia="Arial" w:hAnsi="Arial"/>
                <w:sz w:val="12"/>
                <w:szCs w:val="12"/>
                <w:b w:val="1"/>
                <w:bCs w:val="1"/>
                <w:color w:val="auto"/>
                <w:w w:val="99"/>
              </w:rPr>
              <w:t>Change</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75"/>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12"/>
        </w:trPr>
        <w:tc>
          <w:tcPr>
            <w:tcW w:w="1260" w:type="dxa"/>
            <w:vAlign w:val="bottom"/>
            <w:tcBorders>
              <w:top w:val="single" w:sz="8" w:color="CCEEFF"/>
            </w:tcBorders>
            <w:shd w:val="clear" w:color="auto" w:fill="CCEEFF"/>
          </w:tcPr>
          <w:p>
            <w:pPr>
              <w:ind w:left="20"/>
              <w:spacing w:after="0" w:line="113" w:lineRule="exact"/>
              <w:rPr>
                <w:sz w:val="20"/>
                <w:szCs w:val="20"/>
                <w:color w:val="auto"/>
              </w:rPr>
            </w:pPr>
            <w:r>
              <w:rPr>
                <w:rFonts w:ascii="Arial" w:cs="Arial" w:eastAsia="Arial" w:hAnsi="Arial"/>
                <w:sz w:val="12"/>
                <w:szCs w:val="12"/>
                <w:color w:val="auto"/>
              </w:rPr>
              <w:t>Average Monthly</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3,315</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4,520</w:t>
            </w: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2,233</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2,395</w:t>
            </w: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2,204</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2,331</w:t>
            </w: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2,544</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2,959</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Rental Rate (1)</w:t>
            </w:r>
          </w:p>
        </w:tc>
        <w:tc>
          <w:tcPr>
            <w:tcW w:w="14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260" w:type="dxa"/>
            <w:vAlign w:val="bottom"/>
          </w:tcPr>
          <w:p>
            <w:pPr>
              <w:ind w:left="20"/>
              <w:spacing w:after="0" w:line="127" w:lineRule="exact"/>
              <w:rPr>
                <w:sz w:val="20"/>
                <w:szCs w:val="20"/>
                <w:color w:val="auto"/>
              </w:rPr>
            </w:pPr>
            <w:r>
              <w:rPr>
                <w:rFonts w:ascii="Arial" w:cs="Arial" w:eastAsia="Arial" w:hAnsi="Arial"/>
                <w:sz w:val="12"/>
                <w:szCs w:val="12"/>
                <w:color w:val="auto"/>
              </w:rPr>
              <w:t>Average Rental</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60" w:type="dxa"/>
            <w:vAlign w:val="bottom"/>
          </w:tcPr>
          <w:p>
            <w:pPr>
              <w:ind w:left="180"/>
              <w:spacing w:after="0" w:line="120" w:lineRule="exact"/>
              <w:rPr>
                <w:sz w:val="20"/>
                <w:szCs w:val="20"/>
                <w:color w:val="auto"/>
              </w:rPr>
            </w:pPr>
            <w:r>
              <w:rPr>
                <w:rFonts w:ascii="Arial" w:cs="Arial" w:eastAsia="Arial" w:hAnsi="Arial"/>
                <w:sz w:val="12"/>
                <w:szCs w:val="12"/>
                <w:color w:val="auto"/>
              </w:rPr>
              <w:t>Rate Per</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260" w:type="dxa"/>
            <w:vAlign w:val="bottom"/>
          </w:tcPr>
          <w:p>
            <w:pPr>
              <w:ind w:left="180"/>
              <w:spacing w:after="0" w:line="120" w:lineRule="exact"/>
              <w:rPr>
                <w:sz w:val="20"/>
                <w:szCs w:val="20"/>
                <w:color w:val="auto"/>
              </w:rPr>
            </w:pPr>
            <w:r>
              <w:rPr>
                <w:rFonts w:ascii="Arial" w:cs="Arial" w:eastAsia="Arial" w:hAnsi="Arial"/>
                <w:sz w:val="12"/>
                <w:szCs w:val="12"/>
                <w:color w:val="auto"/>
              </w:rPr>
              <w:t>Occupied Square</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14"/>
              <w:spacing w:after="0"/>
              <w:rPr>
                <w:sz w:val="20"/>
                <w:szCs w:val="20"/>
                <w:color w:val="auto"/>
              </w:rPr>
            </w:pPr>
            <w:r>
              <w:rPr>
                <w:rFonts w:ascii="Arial" w:cs="Arial" w:eastAsia="Arial" w:hAnsi="Arial"/>
                <w:sz w:val="13"/>
                <w:szCs w:val="13"/>
                <w:color w:val="auto"/>
              </w:rPr>
              <w:t>5.02</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4"/>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34"/>
              <w:spacing w:after="0"/>
              <w:rPr>
                <w:sz w:val="20"/>
                <w:szCs w:val="20"/>
                <w:color w:val="auto"/>
              </w:rPr>
            </w:pPr>
            <w:r>
              <w:rPr>
                <w:rFonts w:ascii="Arial" w:cs="Arial" w:eastAsia="Arial" w:hAnsi="Arial"/>
                <w:sz w:val="13"/>
                <w:szCs w:val="13"/>
                <w:color w:val="auto"/>
              </w:rPr>
              <w:t>2.48</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115"/>
              <w:spacing w:after="0"/>
              <w:rPr>
                <w:sz w:val="20"/>
                <w:szCs w:val="20"/>
                <w:color w:val="auto"/>
              </w:rPr>
            </w:pPr>
            <w:r>
              <w:rPr>
                <w:rFonts w:ascii="Arial" w:cs="Arial" w:eastAsia="Arial" w:hAnsi="Arial"/>
                <w:sz w:val="13"/>
                <w:szCs w:val="13"/>
                <w:color w:val="auto"/>
              </w:rPr>
              <w:t>4.69</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14"/>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9"/>
        </w:trPr>
        <w:tc>
          <w:tcPr>
            <w:tcW w:w="1260" w:type="dxa"/>
            <w:vAlign w:val="bottom"/>
          </w:tcPr>
          <w:p>
            <w:pPr>
              <w:ind w:left="180"/>
              <w:spacing w:after="0"/>
              <w:rPr>
                <w:sz w:val="20"/>
                <w:szCs w:val="20"/>
                <w:color w:val="auto"/>
              </w:rPr>
            </w:pPr>
            <w:r>
              <w:rPr>
                <w:rFonts w:ascii="Arial" w:cs="Arial" w:eastAsia="Arial" w:hAnsi="Arial"/>
                <w:sz w:val="12"/>
                <w:szCs w:val="12"/>
                <w:color w:val="auto"/>
              </w:rPr>
              <w:t>Foot</w:t>
            </w:r>
          </w:p>
        </w:tc>
        <w:tc>
          <w:tcPr>
            <w:tcW w:w="1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6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Average Physical</w:t>
            </w: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91.9 %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93.4 %</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93.2 %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90.5 %</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83.6 %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81.9 %</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91.0 %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94.0 %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Occupancy (2)</w:t>
            </w: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260" w:type="dxa"/>
            <w:vAlign w:val="bottom"/>
          </w:tcPr>
          <w:p>
            <w:pPr>
              <w:ind w:left="20"/>
              <w:spacing w:after="0" w:line="127" w:lineRule="exact"/>
              <w:rPr>
                <w:sz w:val="20"/>
                <w:szCs w:val="20"/>
                <w:color w:val="auto"/>
              </w:rPr>
            </w:pPr>
            <w:r>
              <w:rPr>
                <w:rFonts w:ascii="Arial" w:cs="Arial" w:eastAsia="Arial" w:hAnsi="Arial"/>
                <w:sz w:val="12"/>
                <w:szCs w:val="12"/>
                <w:color w:val="auto"/>
              </w:rPr>
              <w:t>Average Economic</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88.8 %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93.0 %</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92.2 %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89.3 %</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3.2 %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79.4 %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76.8 %</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3.4 %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89.5 %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93.5 %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2"/>
        </w:trPr>
        <w:tc>
          <w:tcPr>
            <w:tcW w:w="1260" w:type="dxa"/>
            <w:vAlign w:val="bottom"/>
          </w:tcPr>
          <w:p>
            <w:pPr>
              <w:ind w:left="180"/>
              <w:spacing w:after="0"/>
              <w:rPr>
                <w:sz w:val="20"/>
                <w:szCs w:val="20"/>
                <w:color w:val="auto"/>
              </w:rPr>
            </w:pPr>
            <w:r>
              <w:rPr>
                <w:rFonts w:ascii="Arial" w:cs="Arial" w:eastAsia="Arial" w:hAnsi="Arial"/>
                <w:sz w:val="12"/>
                <w:szCs w:val="12"/>
                <w:color w:val="auto"/>
              </w:rPr>
              <w:t>Occupancy (3)</w:t>
            </w: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180" w:hanging="314"/>
        <w:spacing w:after="0" w:line="242" w:lineRule="auto"/>
        <w:tabs>
          <w:tab w:leader="none" w:pos="5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spacing w:after="0" w:line="1" w:lineRule="exact"/>
        <w:rPr>
          <w:rFonts w:ascii="Arial" w:cs="Arial" w:eastAsia="Arial" w:hAnsi="Arial"/>
          <w:sz w:val="16"/>
          <w:szCs w:val="16"/>
          <w:color w:val="auto"/>
        </w:rPr>
      </w:pPr>
    </w:p>
    <w:p>
      <w:pPr>
        <w:ind w:left="560" w:right="720" w:hanging="314"/>
        <w:spacing w:after="0" w:line="242" w:lineRule="auto"/>
        <w:tabs>
          <w:tab w:leader="none" w:pos="5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Average Physical Occupancy is defined as (1) the average number of occupied units divided by (2) the total number of units, expressed as a percentage.</w:t>
      </w:r>
    </w:p>
    <w:p>
      <w:pPr>
        <w:spacing w:after="0" w:line="1" w:lineRule="exact"/>
        <w:rPr>
          <w:rFonts w:ascii="Arial" w:cs="Arial" w:eastAsia="Arial" w:hAnsi="Arial"/>
          <w:sz w:val="16"/>
          <w:szCs w:val="16"/>
          <w:color w:val="auto"/>
        </w:rPr>
      </w:pPr>
    </w:p>
    <w:p>
      <w:pPr>
        <w:ind w:left="560" w:hanging="314"/>
        <w:spacing w:after="0" w:line="244" w:lineRule="auto"/>
        <w:tabs>
          <w:tab w:leader="none" w:pos="5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Hotel Net Operating Loss</w:t>
      </w:r>
    </w:p>
    <w:p>
      <w:pPr>
        <w:spacing w:after="0" w:line="121" w:lineRule="exact"/>
        <w:rPr>
          <w:sz w:val="20"/>
          <w:szCs w:val="20"/>
          <w:color w:val="auto"/>
        </w:rPr>
      </w:pPr>
    </w:p>
    <w:p>
      <w:pPr>
        <w:ind w:right="1000" w:firstLine="439"/>
        <w:spacing w:after="0" w:line="252" w:lineRule="auto"/>
        <w:rPr>
          <w:sz w:val="20"/>
          <w:szCs w:val="20"/>
          <w:color w:val="auto"/>
        </w:rPr>
      </w:pPr>
      <w:r>
        <w:rPr>
          <w:rFonts w:ascii="Arial" w:cs="Arial" w:eastAsia="Arial" w:hAnsi="Arial"/>
          <w:sz w:val="18"/>
          <w:szCs w:val="18"/>
          <w:color w:val="auto"/>
        </w:rPr>
        <w:t>The Boston Marriott Cambridge hotel property continues to operate at a loss, however, the net operating loss has decreased approximately $16,000 for the six months ended June 30, 2021 compared to 2020.</w:t>
      </w:r>
    </w:p>
    <w:p>
      <w:pPr>
        <w:spacing w:after="0" w:line="150" w:lineRule="exact"/>
        <w:rPr>
          <w:sz w:val="20"/>
          <w:szCs w:val="20"/>
          <w:color w:val="auto"/>
        </w:rPr>
      </w:pPr>
    </w:p>
    <w:p>
      <w:pPr>
        <w:jc w:val="both"/>
        <w:ind w:right="100" w:firstLine="439"/>
        <w:spacing w:after="0" w:line="263" w:lineRule="auto"/>
        <w:rPr>
          <w:sz w:val="20"/>
          <w:szCs w:val="20"/>
          <w:color w:val="auto"/>
        </w:rPr>
      </w:pPr>
      <w:r>
        <w:rPr>
          <w:rFonts w:ascii="Arial" w:cs="Arial" w:eastAsia="Arial" w:hAnsi="Arial"/>
          <w:sz w:val="17"/>
          <w:szCs w:val="17"/>
          <w:color w:val="auto"/>
        </w:rPr>
        <w:t>The Boston Marriott Cambridge closed in March 2020 due to COVID-19. The hotel re-opened on October 2, 2020 but has operated at a reduced occupancy due to the continued impact of COVID-19 on business and leisure travel. The closing of the hotel for more than two fiscal quarters, and the weak demand and low occupancy since its re-opening, have had, and are expected to continue to have, a material adverse effect on the hotel’s operations. We expect hotel occupancy to remain low until the demand for business and leisure travel returns to historical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levels</w:t>
      </w:r>
      <w:r>
        <w:rPr>
          <w:rFonts w:ascii="Arial" w:cs="Arial" w:eastAsia="Arial" w:hAnsi="Arial"/>
          <w:sz w:val="21"/>
          <w:szCs w:val="21"/>
          <w:color w:val="auto"/>
        </w:rPr>
        <w:t>.</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reflects our occupancy and rate information for the Boston Marriott Cambridge hotel for the six months ended June 30,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2021 and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 (%)</w:t>
            </w:r>
          </w:p>
        </w:tc>
      </w:tr>
      <w:tr>
        <w:trPr>
          <w:trHeight w:val="219"/>
        </w:trPr>
        <w:tc>
          <w:tcPr>
            <w:tcW w:w="60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Occupancy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5"/>
        </w:trPr>
        <w:tc>
          <w:tcPr>
            <w:tcW w:w="6060" w:type="dxa"/>
            <w:vAlign w:val="bottom"/>
          </w:tcPr>
          <w:p>
            <w:pPr>
              <w:ind w:left="20"/>
              <w:spacing w:after="0"/>
              <w:rPr>
                <w:sz w:val="20"/>
                <w:szCs w:val="20"/>
                <w:color w:val="auto"/>
              </w:rPr>
            </w:pPr>
            <w:r>
              <w:rPr>
                <w:rFonts w:ascii="Arial" w:cs="Arial" w:eastAsia="Arial" w:hAnsi="Arial"/>
                <w:sz w:val="18"/>
                <w:szCs w:val="18"/>
                <w:color w:val="auto"/>
              </w:rPr>
              <w:t>Average daily rate</w:t>
            </w: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147.66</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211.29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7"/>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62.98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bl>
    <w:p>
      <w:pPr>
        <w:spacing w:after="0" w:line="33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 Operating Revenue and Expense Items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Development and Management Services Revenue</w:t>
      </w:r>
    </w:p>
    <w:p>
      <w:pPr>
        <w:spacing w:after="0" w:line="121" w:lineRule="exact"/>
        <w:rPr>
          <w:sz w:val="20"/>
          <w:szCs w:val="20"/>
          <w:color w:val="auto"/>
        </w:rPr>
      </w:pPr>
    </w:p>
    <w:p>
      <w:pPr>
        <w:ind w:right="20" w:firstLine="439"/>
        <w:spacing w:after="0" w:line="266" w:lineRule="auto"/>
        <w:rPr>
          <w:sz w:val="20"/>
          <w:szCs w:val="20"/>
          <w:color w:val="auto"/>
        </w:rPr>
      </w:pPr>
      <w:r>
        <w:rPr>
          <w:rFonts w:ascii="Arial" w:cs="Arial" w:eastAsia="Arial" w:hAnsi="Arial"/>
          <w:sz w:val="17"/>
          <w:szCs w:val="17"/>
          <w:color w:val="auto"/>
        </w:rPr>
        <w:t>Development and management services revenue decreased by approximately $1.9 million for the six months ended June 30, 2021 compared to 2020. Development services revenue decreased by approximately $2.8 million while management services revenue increased by approximately $0.9 million. The decrease in development services revenue was primarily related to a decrease in development fees earned from a third-party owned building in the Washington, DC region. The increase in management services revenue was primarily related to an increase in leasing commissions earned in the Washington, DC region and from an unconsolidated joint venture in the Los Angeles region.</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298" w:right="39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08" w:lineRule="exact"/>
        <w:rPr>
          <w:sz w:val="20"/>
          <w:szCs w:val="20"/>
          <w:color w:val="auto"/>
        </w:rPr>
      </w:pPr>
    </w:p>
    <w:p>
      <w:pPr>
        <w:ind w:right="20" w:firstLine="439"/>
        <w:spacing w:after="0" w:line="266" w:lineRule="auto"/>
        <w:rPr>
          <w:sz w:val="20"/>
          <w:szCs w:val="20"/>
          <w:color w:val="auto"/>
        </w:rPr>
      </w:pPr>
      <w:r>
        <w:rPr>
          <w:rFonts w:ascii="Arial" w:cs="Arial" w:eastAsia="Arial" w:hAnsi="Arial"/>
          <w:sz w:val="17"/>
          <w:szCs w:val="17"/>
          <w:color w:val="auto"/>
        </w:rPr>
        <w:t>General and administrative expense increased by approximately $9.2 million for the six months ended June 30, 2021 compared to 2020 primarily due to an increase in compensation expense of approximately $11.1 million, partially offset by an approximately $1.9 million decrease in other general and administrative expenses. The increase in compensation expense was related to (1) an approximately $4.8 million increase in the value of our deferred compensation plan and (2) an approximately $6.3 million increase in other compensation expenses, primarily due to age-based vesting. The decrease in other general and administrative expenses was primarily related to a decrease in professional fees.</w:t>
      </w:r>
    </w:p>
    <w:p>
      <w:pPr>
        <w:spacing w:after="0" w:line="140" w:lineRule="exact"/>
        <w:rPr>
          <w:sz w:val="20"/>
          <w:szCs w:val="20"/>
          <w:color w:val="auto"/>
        </w:rPr>
      </w:pPr>
    </w:p>
    <w:p>
      <w:pPr>
        <w:ind w:right="40" w:firstLine="439"/>
        <w:spacing w:after="0" w:line="248" w:lineRule="auto"/>
        <w:rPr>
          <w:sz w:val="20"/>
          <w:szCs w:val="20"/>
          <w:color w:val="auto"/>
        </w:rPr>
      </w:pPr>
      <w:r>
        <w:rPr>
          <w:rFonts w:ascii="Arial" w:cs="Arial" w:eastAsia="Arial" w:hAnsi="Arial"/>
          <w:sz w:val="18"/>
          <w:szCs w:val="18"/>
          <w:color w:val="auto"/>
        </w:rPr>
        <w:t>Wages directly related to the development of rental properties are capitalized and included in real estate assets on our Consolidated Balance Sheets and amortized over the useful lives of the applicable asset or lease term. Capitalized wages for the six months ended June 30, 2021 and 2020 were approximately $6.8 million and $6.2 million, respectively. These costs are not included in the general and administrative expenses discussed above.</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121" w:lineRule="exact"/>
        <w:rPr>
          <w:sz w:val="20"/>
          <w:szCs w:val="20"/>
          <w:color w:val="auto"/>
        </w:rPr>
      </w:pPr>
    </w:p>
    <w:p>
      <w:pPr>
        <w:ind w:right="180" w:firstLine="439"/>
        <w:spacing w:after="0" w:line="249" w:lineRule="auto"/>
        <w:rPr>
          <w:sz w:val="20"/>
          <w:szCs w:val="20"/>
          <w:color w:val="auto"/>
        </w:rPr>
      </w:pPr>
      <w:r>
        <w:rPr>
          <w:rFonts w:ascii="Arial" w:cs="Arial" w:eastAsia="Arial" w:hAnsi="Arial"/>
          <w:sz w:val="18"/>
          <w:szCs w:val="18"/>
          <w:color w:val="auto"/>
        </w:rPr>
        <w:t>Transaction costs increased by approximately $0.1 million for the six months ended June 30, 2021 compared to 2020 due primarily to costs incurred in connection with the pursuit and formation of new joint ventures. In general, transaction costs relating to the formation of new and pending joint ventures and the pursuit of other transactions are expensed as incurred.</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21"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follows the cover page of this Quarterly Report on Form 10-Q.</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08" w:lineRule="exact"/>
        <w:rPr>
          <w:sz w:val="20"/>
          <w:szCs w:val="20"/>
          <w:color w:val="auto"/>
        </w:rPr>
      </w:pPr>
    </w:p>
    <w:p>
      <w:pPr>
        <w:ind w:right="260" w:firstLine="439"/>
        <w:spacing w:after="0" w:line="252" w:lineRule="auto"/>
        <w:rPr>
          <w:sz w:val="20"/>
          <w:szCs w:val="20"/>
          <w:color w:val="auto"/>
        </w:rPr>
      </w:pPr>
      <w:r>
        <w:rPr>
          <w:rFonts w:ascii="Arial" w:cs="Arial" w:eastAsia="Arial" w:hAnsi="Arial"/>
          <w:sz w:val="18"/>
          <w:szCs w:val="18"/>
          <w:color w:val="auto"/>
        </w:rPr>
        <w:t>Depreciation and amortization expense increased by approximately $11.1 million for the six months ended June 30, 2021 compared to 2020, as detailed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4300" w:type="dxa"/>
            <w:vAlign w:val="bottom"/>
            <w:gridSpan w:val="8"/>
          </w:tcPr>
          <w:p>
            <w:pPr>
              <w:jc w:val="center"/>
              <w:spacing w:after="0"/>
              <w:rPr>
                <w:sz w:val="20"/>
                <w:szCs w:val="20"/>
                <w:color w:val="auto"/>
              </w:rPr>
            </w:pPr>
            <w:r>
              <w:rPr>
                <w:rFonts w:ascii="Arial" w:cs="Arial" w:eastAsia="Arial" w:hAnsi="Arial"/>
                <w:sz w:val="16"/>
                <w:szCs w:val="16"/>
                <w:b w:val="1"/>
                <w:bCs w:val="1"/>
                <w:color w:val="auto"/>
                <w:w w:val="99"/>
              </w:rPr>
              <w:t>Depreciation and Amortization for the six months ended</w:t>
            </w: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June 30,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6"/>
        </w:trPr>
        <w:tc>
          <w:tcPr>
            <w:tcW w:w="6920" w:type="dxa"/>
            <w:vAlign w:val="bottom"/>
            <w:gridSpan w:val="3"/>
          </w:tcPr>
          <w:p>
            <w:pPr>
              <w:ind w:left="20"/>
              <w:spacing w:after="0"/>
              <w:rPr>
                <w:sz w:val="20"/>
                <w:szCs w:val="20"/>
                <w:color w:val="auto"/>
              </w:rPr>
            </w:pPr>
            <w:r>
              <w:rPr>
                <w:rFonts w:ascii="Arial" w:cs="Arial" w:eastAsia="Arial" w:hAnsi="Arial"/>
                <w:sz w:val="16"/>
                <w:szCs w:val="16"/>
                <w:b w:val="1"/>
                <w:bCs w:val="1"/>
                <w:color w:val="auto"/>
              </w:rPr>
              <w:t>Portfolio</w:t>
            </w:r>
          </w:p>
        </w:tc>
        <w:tc>
          <w:tcPr>
            <w:tcW w:w="300" w:type="dxa"/>
            <w:vAlign w:val="bottom"/>
          </w:tcPr>
          <w:p>
            <w:pPr>
              <w:spacing w:after="0"/>
              <w:rPr>
                <w:sz w:val="17"/>
                <w:szCs w:val="17"/>
                <w:color w:val="auto"/>
              </w:rPr>
            </w:pPr>
          </w:p>
        </w:tc>
        <w:tc>
          <w:tcPr>
            <w:tcW w:w="1040" w:type="dxa"/>
            <w:vAlign w:val="bottom"/>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4"/>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 thousands)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Same Property Portfolio (1)</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328,597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r>
      <w:tr>
        <w:trPr>
          <w:trHeight w:val="225"/>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Acquired Portfolio</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27"/>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Placed In-Service Portfolio</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r>
      <w:tr>
        <w:trPr>
          <w:trHeight w:val="225"/>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in Development or Redevelopment Portfolio (2)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5,750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14,772</w:t>
            </w:r>
          </w:p>
        </w:tc>
      </w:tr>
      <w:tr>
        <w:trPr>
          <w:trHeight w:val="226"/>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Sold Portfolio</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r>
      <w:tr>
        <w:trPr>
          <w:trHeight w:val="21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360,403</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349,282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140" w:hanging="314"/>
        <w:spacing w:after="0" w:line="242" w:lineRule="auto"/>
        <w:tabs>
          <w:tab w:leader="none" w:pos="5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During the six months ended June 30, 2021, we commenced redevelopment of The Prudential Center Observatory, a 59,000 net rentable square foot redevelopment of the top three floors of 800 Boylston Street - The Prudential Center, located in Boston, Massachusetts. As a result, during the six months ended June 30, 2021, we recorded approximately $2.6 million of accelerated depreciation expense for the demolition of the space, of which approximately $0.8 million related to the step-up of real estate assets.</w:t>
      </w:r>
    </w:p>
    <w:p>
      <w:pPr>
        <w:spacing w:after="0" w:line="2" w:lineRule="exact"/>
        <w:rPr>
          <w:rFonts w:ascii="Arial" w:cs="Arial" w:eastAsia="Arial" w:hAnsi="Arial"/>
          <w:sz w:val="16"/>
          <w:szCs w:val="16"/>
          <w:color w:val="auto"/>
        </w:rPr>
      </w:pPr>
    </w:p>
    <w:p>
      <w:pPr>
        <w:ind w:left="560" w:right="400" w:hanging="314"/>
        <w:spacing w:after="0" w:line="286" w:lineRule="auto"/>
        <w:tabs>
          <w:tab w:leader="none" w:pos="555" w:val="left"/>
        </w:tabs>
        <w:numPr>
          <w:ilvl w:val="0"/>
          <w:numId w:val="47"/>
        </w:numPr>
        <w:rPr>
          <w:rFonts w:ascii="Arial" w:cs="Arial" w:eastAsia="Arial" w:hAnsi="Arial"/>
          <w:sz w:val="15"/>
          <w:szCs w:val="15"/>
          <w:color w:val="auto"/>
        </w:rPr>
      </w:pPr>
      <w:r>
        <w:rPr>
          <w:rFonts w:ascii="Arial" w:cs="Arial" w:eastAsia="Arial" w:hAnsi="Arial"/>
          <w:sz w:val="15"/>
          <w:szCs w:val="15"/>
          <w:color w:val="auto"/>
        </w:rPr>
        <w:t>On February 25, 2021, we commenced redevelopment of 880 Winter Street in Waltham, Massachusetts. As a result, during the six months ended June 30, 2021, we recorded approximately $13.7 million of accelerated depreciation expense for the demolition of a portion of the building.</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08" w:lineRule="exact"/>
        <w:rPr>
          <w:sz w:val="20"/>
          <w:szCs w:val="20"/>
          <w:color w:val="auto"/>
        </w:rPr>
      </w:pPr>
    </w:p>
    <w:p>
      <w:pPr>
        <w:ind w:right="360" w:firstLine="439"/>
        <w:spacing w:after="0" w:line="252" w:lineRule="auto"/>
        <w:rPr>
          <w:sz w:val="20"/>
          <w:szCs w:val="20"/>
          <w:color w:val="auto"/>
        </w:rPr>
      </w:pPr>
      <w:r>
        <w:rPr>
          <w:rFonts w:ascii="Arial" w:cs="Arial" w:eastAsia="Arial" w:hAnsi="Arial"/>
          <w:sz w:val="18"/>
          <w:szCs w:val="18"/>
          <w:color w:val="auto"/>
        </w:rPr>
        <w:t>Depreciation and amortization expense increased by approximately $9.9 million for the six months ended June 30, 2021 compared to 2020, as detailed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4300" w:type="dxa"/>
            <w:vAlign w:val="bottom"/>
            <w:gridSpan w:val="8"/>
          </w:tcPr>
          <w:p>
            <w:pPr>
              <w:jc w:val="center"/>
              <w:spacing w:after="0"/>
              <w:rPr>
                <w:sz w:val="20"/>
                <w:szCs w:val="20"/>
                <w:color w:val="auto"/>
              </w:rPr>
            </w:pPr>
            <w:r>
              <w:rPr>
                <w:rFonts w:ascii="Arial" w:cs="Arial" w:eastAsia="Arial" w:hAnsi="Arial"/>
                <w:sz w:val="16"/>
                <w:szCs w:val="16"/>
                <w:b w:val="1"/>
                <w:bCs w:val="1"/>
                <w:color w:val="auto"/>
                <w:w w:val="99"/>
              </w:rPr>
              <w:t>Depreciation and Amortization for the six months ended</w:t>
            </w: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June 30,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6"/>
        </w:trPr>
        <w:tc>
          <w:tcPr>
            <w:tcW w:w="6920" w:type="dxa"/>
            <w:vAlign w:val="bottom"/>
            <w:gridSpan w:val="3"/>
          </w:tcPr>
          <w:p>
            <w:pPr>
              <w:ind w:left="20"/>
              <w:spacing w:after="0"/>
              <w:rPr>
                <w:sz w:val="20"/>
                <w:szCs w:val="20"/>
                <w:color w:val="auto"/>
              </w:rPr>
            </w:pPr>
            <w:r>
              <w:rPr>
                <w:rFonts w:ascii="Arial" w:cs="Arial" w:eastAsia="Arial" w:hAnsi="Arial"/>
                <w:sz w:val="16"/>
                <w:szCs w:val="16"/>
                <w:b w:val="1"/>
                <w:bCs w:val="1"/>
                <w:color w:val="auto"/>
              </w:rPr>
              <w:t>Portfolio</w:t>
            </w:r>
          </w:p>
        </w:tc>
        <w:tc>
          <w:tcPr>
            <w:tcW w:w="300" w:type="dxa"/>
            <w:vAlign w:val="bottom"/>
          </w:tcPr>
          <w:p>
            <w:pPr>
              <w:spacing w:after="0"/>
              <w:rPr>
                <w:sz w:val="17"/>
                <w:szCs w:val="17"/>
                <w:color w:val="auto"/>
              </w:rPr>
            </w:pPr>
          </w:p>
        </w:tc>
        <w:tc>
          <w:tcPr>
            <w:tcW w:w="1040" w:type="dxa"/>
            <w:vAlign w:val="bottom"/>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4"/>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 thousands)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Same Property Portfolio (1)</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323,772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334,115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w:t>
            </w:r>
          </w:p>
        </w:tc>
      </w:tr>
      <w:tr>
        <w:trPr>
          <w:trHeight w:val="225"/>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Acquired Portfolio</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27"/>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Placed In-Service Portfolio</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r>
      <w:tr>
        <w:trPr>
          <w:trHeight w:val="225"/>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in Development or Redevelopment Portfolio (2)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5,750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14,772</w:t>
            </w:r>
          </w:p>
        </w:tc>
      </w:tr>
      <w:tr>
        <w:trPr>
          <w:trHeight w:val="226"/>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Sold Portfolio</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r>
      <w:tr>
        <w:trPr>
          <w:trHeight w:val="21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355,578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345,694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140" w:hanging="314"/>
        <w:spacing w:after="0" w:line="242" w:lineRule="auto"/>
        <w:tabs>
          <w:tab w:leader="none" w:pos="5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During the six months ended June 30, 2021, we commenced redevelopment of The Prudential Center Observatory, a 59,000 net rentable square foot redevelopment of the top three floors of 800 Boylston Street - The Prudential Center, located in Boston, Massachusetts. As a result, during the six months ended June 30, 2021, we recorded approximately $1.8 million of accelerated depreciation expense for the demolition of the space.</w:t>
      </w:r>
    </w:p>
    <w:p>
      <w:pPr>
        <w:spacing w:after="0" w:line="1" w:lineRule="exact"/>
        <w:rPr>
          <w:rFonts w:ascii="Arial" w:cs="Arial" w:eastAsia="Arial" w:hAnsi="Arial"/>
          <w:sz w:val="16"/>
          <w:szCs w:val="16"/>
          <w:color w:val="auto"/>
        </w:rPr>
      </w:pPr>
    </w:p>
    <w:p>
      <w:pPr>
        <w:ind w:left="560" w:right="400" w:hanging="314"/>
        <w:spacing w:after="0" w:line="286" w:lineRule="auto"/>
        <w:tabs>
          <w:tab w:leader="none" w:pos="555" w:val="left"/>
        </w:tabs>
        <w:numPr>
          <w:ilvl w:val="0"/>
          <w:numId w:val="48"/>
        </w:numPr>
        <w:rPr>
          <w:rFonts w:ascii="Arial" w:cs="Arial" w:eastAsia="Arial" w:hAnsi="Arial"/>
          <w:sz w:val="15"/>
          <w:szCs w:val="15"/>
          <w:color w:val="auto"/>
        </w:rPr>
      </w:pPr>
      <w:r>
        <w:rPr>
          <w:rFonts w:ascii="Arial" w:cs="Arial" w:eastAsia="Arial" w:hAnsi="Arial"/>
          <w:sz w:val="15"/>
          <w:szCs w:val="15"/>
          <w:color w:val="auto"/>
        </w:rPr>
        <w:t>On February 25, 2021, we commenced redevelopment of 880 Winter Street in Waltham, Massachusetts. As a result, during the six months ended June 30, 2021, we recorded approximately $13.7 million of accelerated depreciation expense for the demolition of a portion of the building.</w:t>
      </w:r>
    </w:p>
    <w:p>
      <w:pPr>
        <w:spacing w:after="0" w:line="189" w:lineRule="exact"/>
        <w:rPr>
          <w:sz w:val="20"/>
          <w:szCs w:val="20"/>
          <w:color w:val="auto"/>
        </w:rPr>
      </w:pPr>
    </w:p>
    <w:p>
      <w:pPr>
        <w:ind w:right="200" w:firstLine="199"/>
        <w:spacing w:after="0" w:line="278" w:lineRule="auto"/>
        <w:rPr>
          <w:sz w:val="20"/>
          <w:szCs w:val="20"/>
          <w:color w:val="auto"/>
        </w:rPr>
      </w:pPr>
      <w:r>
        <w:rPr>
          <w:rFonts w:ascii="Arial" w:cs="Arial" w:eastAsia="Arial" w:hAnsi="Arial"/>
          <w:sz w:val="18"/>
          <w:szCs w:val="18"/>
          <w:b w:val="1"/>
          <w:bCs w:val="1"/>
          <w:i w:val="1"/>
          <w:iCs w:val="1"/>
          <w:color w:val="auto"/>
        </w:rPr>
        <w:t>Direct Reimbursements of Payroll and Related Costs From Management Services Contracts and Payroll and Related Costs From Management Service Contracts</w:t>
      </w:r>
    </w:p>
    <w:p>
      <w:pPr>
        <w:spacing w:after="0" w:line="61" w:lineRule="exact"/>
        <w:rPr>
          <w:sz w:val="20"/>
          <w:szCs w:val="20"/>
          <w:color w:val="auto"/>
        </w:rPr>
      </w:pPr>
    </w:p>
    <w:p>
      <w:pPr>
        <w:ind w:right="140" w:firstLine="439"/>
        <w:spacing w:after="0" w:line="249" w:lineRule="auto"/>
        <w:rPr>
          <w:sz w:val="20"/>
          <w:szCs w:val="20"/>
          <w:color w:val="auto"/>
        </w:rPr>
      </w:pPr>
      <w:r>
        <w:rPr>
          <w:rFonts w:ascii="Arial" w:cs="Arial" w:eastAsia="Arial" w:hAnsi="Arial"/>
          <w:sz w:val="18"/>
          <w:szCs w:val="18"/>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 Income and Expense Items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from Unconsolidated Joint Ventures</w:t>
      </w:r>
    </w:p>
    <w:p>
      <w:pPr>
        <w:spacing w:after="0" w:line="121"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For the six months ended June 30, 2021 compared to 2020, income from unconsolidated joint ventures increased by approximately $2.4 million primarily due to an approximately $10.3 million gain on sale of investment from the sale of our Annapolis Junction joint venture interest during the six months ended June 30, 2021 (See Note 5 to the Consolidated Financial Statements), partially offset by an approximately (1) $5.8 million gain on sale of real estate from the sale of Annapolis Junction Building Eight and two undeveloped land parcels during the six months ended June 30, 2020 and (2) $3.3 million decrease in net income from our Dock 72 joint venture, primarily related to depreciation and amortization.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on Sales of Real Estate</w:t>
      </w:r>
    </w:p>
    <w:p>
      <w:pPr>
        <w:spacing w:after="0" w:line="108" w:lineRule="exact"/>
        <w:rPr>
          <w:sz w:val="20"/>
          <w:szCs w:val="20"/>
          <w:color w:val="auto"/>
        </w:rPr>
      </w:pPr>
    </w:p>
    <w:p>
      <w:pPr>
        <w:ind w:right="180" w:firstLine="439"/>
        <w:spacing w:after="0" w:line="247" w:lineRule="auto"/>
        <w:rPr>
          <w:sz w:val="20"/>
          <w:szCs w:val="20"/>
          <w:color w:val="auto"/>
        </w:rPr>
      </w:pPr>
      <w:r>
        <w:rPr>
          <w:rFonts w:ascii="Arial" w:cs="Arial" w:eastAsia="Arial" w:hAnsi="Arial"/>
          <w:sz w:val="18"/>
          <w:szCs w:val="18"/>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follows the cover page of this Quarterly Report on Form 10-Q.</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08" w:lineRule="exact"/>
        <w:rPr>
          <w:sz w:val="20"/>
          <w:szCs w:val="20"/>
          <w:color w:val="auto"/>
        </w:rPr>
      </w:pPr>
    </w:p>
    <w:p>
      <w:pPr>
        <w:ind w:right="220" w:firstLine="439"/>
        <w:spacing w:after="0" w:line="252" w:lineRule="auto"/>
        <w:rPr>
          <w:sz w:val="20"/>
          <w:szCs w:val="20"/>
          <w:color w:val="auto"/>
        </w:rPr>
      </w:pPr>
      <w:r>
        <w:rPr>
          <w:rFonts w:ascii="Arial" w:cs="Arial" w:eastAsia="Arial" w:hAnsi="Arial"/>
          <w:sz w:val="18"/>
          <w:szCs w:val="18"/>
          <w:color w:val="auto"/>
        </w:rPr>
        <w:t>Gains on sales of real estate decreased by approximately $606.2 million for the six months ended June 30, 2021 compared to 2020, as detailed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Net Cash</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Gain (Loss) 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1"/>
                <w:szCs w:val="11"/>
                <w:color w:val="auto"/>
              </w:rPr>
            </w:pPr>
          </w:p>
        </w:tc>
        <w:tc>
          <w:tcPr>
            <w:tcW w:w="9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Sale Price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rPr>
              <w:t>Sale of Real</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Proceeds</w:t>
            </w:r>
          </w:p>
        </w:tc>
        <w:tc>
          <w:tcPr>
            <w:tcW w:w="120" w:type="dxa"/>
            <w:vAlign w:val="bottom"/>
          </w:tcPr>
          <w:p>
            <w:pPr>
              <w:spacing w:after="0"/>
              <w:rPr>
                <w:sz w:val="15"/>
                <w:szCs w:val="15"/>
                <w:color w:val="auto"/>
              </w:rPr>
            </w:pPr>
          </w:p>
        </w:tc>
        <w:tc>
          <w:tcPr>
            <w:tcW w:w="980" w:type="dxa"/>
            <w:vAlign w:val="bottom"/>
          </w:tcPr>
          <w:p>
            <w:pPr>
              <w:jc w:val="center"/>
              <w:ind w:right="49"/>
              <w:spacing w:after="0"/>
              <w:rPr>
                <w:sz w:val="20"/>
                <w:szCs w:val="20"/>
                <w:color w:val="auto"/>
              </w:rPr>
            </w:pPr>
            <w:r>
              <w:rPr>
                <w:rFonts w:ascii="Arial" w:cs="Arial" w:eastAsia="Arial" w:hAnsi="Arial"/>
                <w:sz w:val="14"/>
                <w:szCs w:val="14"/>
                <w:b w:val="1"/>
                <w:bCs w:val="1"/>
                <w:color w:val="auto"/>
                <w:w w:val="99"/>
              </w:rPr>
              <w:t>Estate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6"/>
              </w:rPr>
              <w:t>2021</w:t>
            </w:r>
          </w:p>
        </w:tc>
        <w:tc>
          <w:tcPr>
            <w:tcW w:w="2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6595 Springfield Center Drive</w:t>
            </w:r>
          </w:p>
        </w:tc>
        <w:tc>
          <w:tcPr>
            <w:tcW w:w="1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634,000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460" w:type="dxa"/>
            <w:vAlign w:val="bottom"/>
            <w:tcBorders>
              <w:bottom w:val="single" w:sz="8" w:color="CCEEFF"/>
            </w:tcBorders>
          </w:tcPr>
          <w:p>
            <w:pPr>
              <w:jc w:val="right"/>
              <w:ind w:right="18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146" w:lineRule="exact"/>
              <w:rPr>
                <w:sz w:val="20"/>
                <w:szCs w:val="20"/>
                <w:color w:val="auto"/>
              </w:rPr>
            </w:pPr>
            <w:r>
              <w:rPr>
                <w:rFonts w:ascii="Arial" w:cs="Arial" w:eastAsia="Arial" w:hAnsi="Arial"/>
                <w:sz w:val="14"/>
                <w:szCs w:val="14"/>
                <w:b w:val="1"/>
                <w:bCs w:val="1"/>
                <w:color w:val="auto"/>
                <w:w w:val="96"/>
              </w:rPr>
              <w:t>2020</w:t>
            </w:r>
          </w:p>
        </w:tc>
        <w:tc>
          <w:tcPr>
            <w:tcW w:w="22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vMerge w:val="continue"/>
          </w:tcPr>
          <w:p>
            <w:pPr>
              <w:spacing w:after="0"/>
              <w:rPr>
                <w:sz w:val="9"/>
                <w:szCs w:val="9"/>
                <w:color w:val="auto"/>
              </w:rPr>
            </w:pPr>
          </w:p>
        </w:tc>
        <w:tc>
          <w:tcPr>
            <w:tcW w:w="320" w:type="dxa"/>
            <w:vAlign w:val="bottom"/>
            <w:tcBorders>
              <w:bottom w:val="single" w:sz="8" w:color="auto"/>
            </w:tcBorders>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7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601, 611 and 651 Gateway</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28, 2020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00" w:type="dxa"/>
            <w:vAlign w:val="bottom"/>
            <w:gridSpan w:val="4"/>
          </w:tcPr>
          <w:p>
            <w:pPr>
              <w:ind w:left="20"/>
              <w:spacing w:after="0"/>
              <w:rPr>
                <w:sz w:val="20"/>
                <w:szCs w:val="20"/>
                <w:color w:val="auto"/>
              </w:rPr>
            </w:pPr>
            <w:r>
              <w:rPr>
                <w:rFonts w:ascii="Arial" w:cs="Arial" w:eastAsia="Arial" w:hAnsi="Arial"/>
                <w:sz w:val="14"/>
                <w:szCs w:val="14"/>
                <w:color w:val="auto"/>
              </w:rPr>
              <w:t>New Dominion Technology Park</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February 20, 2020</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Pr>
          <w:p>
            <w:pPr>
              <w:jc w:val="right"/>
              <w:spacing w:after="0"/>
              <w:rPr>
                <w:sz w:val="20"/>
                <w:szCs w:val="20"/>
                <w:color w:val="auto"/>
              </w:rPr>
            </w:pPr>
            <w:r>
              <w:rPr>
                <w:rFonts w:ascii="Arial" w:cs="Arial" w:eastAsia="Arial" w:hAnsi="Arial"/>
                <w:sz w:val="14"/>
                <w:szCs w:val="14"/>
                <w:color w:val="auto"/>
              </w:rPr>
              <w:t>493,000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192.3</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Capital Gallery</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25, 2020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455,000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859.7</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500.9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613.8</w:t>
            </w:r>
          </w:p>
        </w:tc>
        <w:tc>
          <w:tcPr>
            <w:tcW w:w="460" w:type="dxa"/>
            <w:vAlign w:val="bottom"/>
          </w:tcPr>
          <w:p>
            <w:pPr>
              <w:jc w:val="right"/>
              <w:ind w:right="18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8" w:lineRule="exact"/>
        <w:rPr>
          <w:sz w:val="20"/>
          <w:szCs w:val="20"/>
          <w:color w:val="auto"/>
        </w:rPr>
      </w:pPr>
    </w:p>
    <w:p>
      <w:pPr>
        <w:ind w:left="560" w:right="140" w:hanging="314"/>
        <w:spacing w:after="0" w:line="242" w:lineRule="auto"/>
        <w:tabs>
          <w:tab w:leader="none" w:pos="5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December 13, 2018, we sold our 6595 Springfield Center Drive development project located in Springfield, Virginia. Concurrently with the sale, we agreed to act as development manager and guaranteed the completion of the project (See Note 9 to the Consolidated Financial Statements). The development project was completed during the second quarter of 2021 and, upon completion of the project, the total cost of development was determined to be below the estimated total investment at the time of sale. As a result, upon completion, we recognized a gain of approximately $7.8 million.</w:t>
      </w:r>
    </w:p>
    <w:p>
      <w:pPr>
        <w:spacing w:after="0" w:line="3" w:lineRule="exact"/>
        <w:rPr>
          <w:rFonts w:ascii="Arial" w:cs="Arial" w:eastAsia="Arial" w:hAnsi="Arial"/>
          <w:sz w:val="16"/>
          <w:szCs w:val="16"/>
          <w:color w:val="auto"/>
        </w:rPr>
      </w:pPr>
    </w:p>
    <w:p>
      <w:pPr>
        <w:ind w:left="560" w:right="300" w:hanging="314"/>
        <w:spacing w:after="0" w:line="253" w:lineRule="auto"/>
        <w:tabs>
          <w:tab w:leader="none" w:pos="5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Excludes approximately $0.2 million of gains on sales of real estate recognized during the six months ended June 30, 2020 related to gain amounts from sales of real estate occurring in the prior year.</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21" w:lineRule="exact"/>
        <w:rPr>
          <w:sz w:val="20"/>
          <w:szCs w:val="20"/>
          <w:color w:val="auto"/>
        </w:rPr>
      </w:pPr>
    </w:p>
    <w:p>
      <w:pPr>
        <w:ind w:right="220" w:firstLine="439"/>
        <w:spacing w:after="0" w:line="252" w:lineRule="auto"/>
        <w:rPr>
          <w:sz w:val="20"/>
          <w:szCs w:val="20"/>
          <w:color w:val="auto"/>
        </w:rPr>
      </w:pPr>
      <w:r>
        <w:rPr>
          <w:rFonts w:ascii="Arial" w:cs="Arial" w:eastAsia="Arial" w:hAnsi="Arial"/>
          <w:sz w:val="18"/>
          <w:szCs w:val="18"/>
          <w:color w:val="auto"/>
        </w:rPr>
        <w:t>Gains on sales of real estate decreased by approximately $619.1 million for the six months ended June 30, 2021 compared to 2020, as detailed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Net Cash</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Gain (Loss) 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1"/>
                <w:szCs w:val="11"/>
                <w:color w:val="auto"/>
              </w:rPr>
            </w:pPr>
          </w:p>
        </w:tc>
        <w:tc>
          <w:tcPr>
            <w:tcW w:w="9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Sale Price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rPr>
              <w:t>Sale of Real</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Proceeds</w:t>
            </w:r>
          </w:p>
        </w:tc>
        <w:tc>
          <w:tcPr>
            <w:tcW w:w="120" w:type="dxa"/>
            <w:vAlign w:val="bottom"/>
          </w:tcPr>
          <w:p>
            <w:pPr>
              <w:spacing w:after="0"/>
              <w:rPr>
                <w:sz w:val="15"/>
                <w:szCs w:val="15"/>
                <w:color w:val="auto"/>
              </w:rPr>
            </w:pPr>
          </w:p>
        </w:tc>
        <w:tc>
          <w:tcPr>
            <w:tcW w:w="980" w:type="dxa"/>
            <w:vAlign w:val="bottom"/>
          </w:tcPr>
          <w:p>
            <w:pPr>
              <w:jc w:val="center"/>
              <w:ind w:right="49"/>
              <w:spacing w:after="0"/>
              <w:rPr>
                <w:sz w:val="20"/>
                <w:szCs w:val="20"/>
                <w:color w:val="auto"/>
              </w:rPr>
            </w:pPr>
            <w:r>
              <w:rPr>
                <w:rFonts w:ascii="Arial" w:cs="Arial" w:eastAsia="Arial" w:hAnsi="Arial"/>
                <w:sz w:val="14"/>
                <w:szCs w:val="14"/>
                <w:b w:val="1"/>
                <w:bCs w:val="1"/>
                <w:color w:val="auto"/>
                <w:w w:val="99"/>
              </w:rPr>
              <w:t>Estate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6"/>
              </w:rPr>
              <w:t>2021</w:t>
            </w:r>
          </w:p>
        </w:tc>
        <w:tc>
          <w:tcPr>
            <w:tcW w:w="2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6595 Springfield Center Drive</w:t>
            </w:r>
          </w:p>
        </w:tc>
        <w:tc>
          <w:tcPr>
            <w:tcW w:w="1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634,000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460" w:type="dxa"/>
            <w:vAlign w:val="bottom"/>
            <w:tcBorders>
              <w:bottom w:val="single" w:sz="8" w:color="CCEEFF"/>
            </w:tcBorders>
          </w:tcPr>
          <w:p>
            <w:pPr>
              <w:jc w:val="right"/>
              <w:ind w:right="18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146" w:lineRule="exact"/>
              <w:rPr>
                <w:sz w:val="20"/>
                <w:szCs w:val="20"/>
                <w:color w:val="auto"/>
              </w:rPr>
            </w:pPr>
            <w:r>
              <w:rPr>
                <w:rFonts w:ascii="Arial" w:cs="Arial" w:eastAsia="Arial" w:hAnsi="Arial"/>
                <w:sz w:val="14"/>
                <w:szCs w:val="14"/>
                <w:b w:val="1"/>
                <w:bCs w:val="1"/>
                <w:color w:val="auto"/>
                <w:w w:val="96"/>
              </w:rPr>
              <w:t>2020</w:t>
            </w:r>
          </w:p>
        </w:tc>
        <w:tc>
          <w:tcPr>
            <w:tcW w:w="22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vMerge w:val="continue"/>
          </w:tcPr>
          <w:p>
            <w:pPr>
              <w:spacing w:after="0"/>
              <w:rPr>
                <w:sz w:val="9"/>
                <w:szCs w:val="9"/>
                <w:color w:val="auto"/>
              </w:rPr>
            </w:pPr>
          </w:p>
        </w:tc>
        <w:tc>
          <w:tcPr>
            <w:tcW w:w="320" w:type="dxa"/>
            <w:vAlign w:val="bottom"/>
            <w:tcBorders>
              <w:bottom w:val="single" w:sz="8" w:color="auto"/>
            </w:tcBorders>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7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601, 611 and 651 Gateway</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28, 2020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00" w:type="dxa"/>
            <w:vAlign w:val="bottom"/>
            <w:gridSpan w:val="4"/>
          </w:tcPr>
          <w:p>
            <w:pPr>
              <w:ind w:left="20"/>
              <w:spacing w:after="0"/>
              <w:rPr>
                <w:sz w:val="20"/>
                <w:szCs w:val="20"/>
                <w:color w:val="auto"/>
              </w:rPr>
            </w:pPr>
            <w:r>
              <w:rPr>
                <w:rFonts w:ascii="Arial" w:cs="Arial" w:eastAsia="Arial" w:hAnsi="Arial"/>
                <w:sz w:val="14"/>
                <w:szCs w:val="14"/>
                <w:color w:val="auto"/>
              </w:rPr>
              <w:t>New Dominion Technology Park</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February 20, 2020</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Pr>
          <w:p>
            <w:pPr>
              <w:jc w:val="right"/>
              <w:spacing w:after="0"/>
              <w:rPr>
                <w:sz w:val="20"/>
                <w:szCs w:val="20"/>
                <w:color w:val="auto"/>
              </w:rPr>
            </w:pPr>
            <w:r>
              <w:rPr>
                <w:rFonts w:ascii="Arial" w:cs="Arial" w:eastAsia="Arial" w:hAnsi="Arial"/>
                <w:sz w:val="14"/>
                <w:szCs w:val="14"/>
                <w:color w:val="auto"/>
              </w:rPr>
              <w:t>493,000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Capital Gallery</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25, 2020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455,000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859.7</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500.9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626.7</w:t>
            </w:r>
          </w:p>
        </w:tc>
        <w:tc>
          <w:tcPr>
            <w:tcW w:w="460" w:type="dxa"/>
            <w:vAlign w:val="bottom"/>
          </w:tcPr>
          <w:p>
            <w:pPr>
              <w:jc w:val="right"/>
              <w:ind w:right="18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8" w:lineRule="exact"/>
        <w:rPr>
          <w:sz w:val="20"/>
          <w:szCs w:val="20"/>
          <w:color w:val="auto"/>
        </w:rPr>
      </w:pPr>
    </w:p>
    <w:p>
      <w:pPr>
        <w:ind w:left="560" w:right="140" w:hanging="314"/>
        <w:spacing w:after="0" w:line="242" w:lineRule="auto"/>
        <w:tabs>
          <w:tab w:leader="none" w:pos="5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December 13, 2018, we sold our 6595 Springfield Center Drive development project located in Springfield, Virginia. Concurrently with the sale, we agreed to act as development manager and guaranteed the completion of the project (See Note 9 to the Consolidated Financial Statements). The development project was completed during the second quarter of 2021 and, upon completion of the project, the total cost of development was determined to be below the estimated total investment at the time of sale. As a result, upon completion, we recognized a gain of approximately $7.8 million.</w:t>
      </w:r>
    </w:p>
    <w:p>
      <w:pPr>
        <w:spacing w:after="0" w:line="3" w:lineRule="exact"/>
        <w:rPr>
          <w:rFonts w:ascii="Arial" w:cs="Arial" w:eastAsia="Arial" w:hAnsi="Arial"/>
          <w:sz w:val="16"/>
          <w:szCs w:val="16"/>
          <w:color w:val="auto"/>
        </w:rPr>
      </w:pPr>
    </w:p>
    <w:p>
      <w:pPr>
        <w:ind w:left="560" w:right="300" w:hanging="314"/>
        <w:spacing w:after="0" w:line="253" w:lineRule="auto"/>
        <w:tabs>
          <w:tab w:leader="none" w:pos="5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Excludes approximately $0.2 million of gains on sales of real estate recognized during the six months ended June 30, 2020 related to gain amounts from sales of real estate occurring in the prior year.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and Other Income (Loss)</w:t>
      </w:r>
    </w:p>
    <w:p>
      <w:pPr>
        <w:spacing w:after="0" w:line="108"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Interest and other income decreased by approximately $1.7 million for the six months ended June 30, 2021 compared to 2020, due primarily to a decrease of approximately $2.6 million in interest income as a result of lower interest earned on our deposits, partially offset by an approximately $0.9 million decrease in the allowance for current expected credit losses, which results in higher income.</w:t>
      </w:r>
    </w:p>
    <w:p>
      <w:pPr>
        <w:spacing w:after="0" w:line="87" w:lineRule="exact"/>
        <w:rPr>
          <w:sz w:val="20"/>
          <w:szCs w:val="20"/>
          <w:color w:val="auto"/>
        </w:rPr>
      </w:pPr>
    </w:p>
    <w:p>
      <w:pPr>
        <w:ind w:right="20" w:firstLine="439"/>
        <w:spacing w:after="0" w:line="248" w:lineRule="auto"/>
        <w:rPr>
          <w:sz w:val="20"/>
          <w:szCs w:val="20"/>
          <w:color w:val="auto"/>
        </w:rPr>
      </w:pPr>
      <w:r>
        <w:rPr>
          <w:rFonts w:ascii="Arial" w:cs="Arial" w:eastAsia="Arial" w:hAnsi="Arial"/>
          <w:sz w:val="18"/>
          <w:szCs w:val="18"/>
          <w:color w:val="auto"/>
        </w:rPr>
        <w:t>On January 1, 2020, we adopted Accounting Standards Update (“ASU”) 2016-13, “Financial Instruments - Credit Losses (Topic 326): Measurement of Credit Losses on Financial Instruments” (“ASU 2016-13”) and, as a result, we were required to record an allowance for current expected credit losses related to our outstanding (1) related party note receivable, (2) notes receivable and (3) off-balance sheet credit exposures.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(losses) from Investments in Securities</w:t>
      </w:r>
    </w:p>
    <w:p>
      <w:pPr>
        <w:spacing w:after="0" w:line="121"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Gains (losses) from investments in securities for the six months ended June 30, 2021 and 2020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from investments in securities. During the six months ended June 30, 2021 and 2020, we recognized gains (losses) of approximately $3.9 million and $(0.9) million, respectively, on these investments. By comparison, our general and administrative expense increased (decreased) by approximately $3.9 million and $(0.9) million during the six months ended June 30, 2021 and 2020, respectively, as a result of increases (decreases) in our liability under our deferred compensation plans that was associated with the performance of the specific investments selected by officers and former non-employee directors of BXP participating in the plans.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Losses From Early Extinguishment of Debt</w:t>
      </w:r>
    </w:p>
    <w:p>
      <w:pPr>
        <w:spacing w:after="0" w:line="121" w:lineRule="exact"/>
        <w:rPr>
          <w:sz w:val="20"/>
          <w:szCs w:val="20"/>
          <w:color w:val="auto"/>
        </w:rPr>
      </w:pPr>
    </w:p>
    <w:p>
      <w:pPr>
        <w:ind w:right="120" w:firstLine="439"/>
        <w:spacing w:after="0" w:line="248" w:lineRule="auto"/>
        <w:rPr>
          <w:sz w:val="20"/>
          <w:szCs w:val="20"/>
          <w:color w:val="auto"/>
        </w:rPr>
      </w:pPr>
      <w:r>
        <w:rPr>
          <w:rFonts w:ascii="Arial" w:cs="Arial" w:eastAsia="Arial" w:hAnsi="Arial"/>
          <w:sz w:val="18"/>
          <w:szCs w:val="18"/>
          <w:color w:val="auto"/>
        </w:rPr>
        <w:t>On February 14, 2021, BPLP completed the redemption of $850.0 million in aggregate principal amount of its 4.125% senior notes due May 15, 2021. The redemption price was approximately $858.7 million, which was equal to the stated principal plus approximately $8.7 million of accrued and unpaid interest to, but not including, the redemption date. Excluding the accrued and unpaid interest, the redemption price was equal to the principal amount being redeemed. We recognized a loss from early extinguishment of debt totaling approximately $0.4 million related to unamortized origination costs.</w:t>
      </w:r>
    </w:p>
    <w:p>
      <w:pPr>
        <w:spacing w:after="0" w:line="154" w:lineRule="exact"/>
        <w:rPr>
          <w:sz w:val="20"/>
          <w:szCs w:val="20"/>
          <w:color w:val="auto"/>
        </w:rPr>
      </w:pPr>
    </w:p>
    <w:p>
      <w:pPr>
        <w:ind w:right="40" w:firstLine="439"/>
        <w:spacing w:after="0" w:line="281" w:lineRule="auto"/>
        <w:rPr>
          <w:sz w:val="20"/>
          <w:szCs w:val="20"/>
          <w:color w:val="auto"/>
        </w:rPr>
      </w:pPr>
      <w:r>
        <w:rPr>
          <w:rFonts w:ascii="Arial" w:cs="Arial" w:eastAsia="Arial" w:hAnsi="Arial"/>
          <w:sz w:val="17"/>
          <w:szCs w:val="17"/>
          <w:color w:val="auto"/>
        </w:rPr>
        <w:t>On March 16, 2021, BPLP repaid $500.0 million, representing all amounts outstanding on its Delayed Draw Facility under the 2017 Credit Facility. We recognized a loss from early extinguishment of debt totaling approximately $0.5 million related to unamortized financing costs.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 increased by approximately $5.5 million for the six months ended June 30, 2021 compared to 2020, as detailed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jc w:val="center"/>
              <w:ind w:right="113"/>
              <w:spacing w:after="0"/>
              <w:rPr>
                <w:sz w:val="20"/>
                <w:szCs w:val="20"/>
                <w:color w:val="auto"/>
              </w:rPr>
            </w:pPr>
            <w:r>
              <w:rPr>
                <w:rFonts w:ascii="Arial" w:cs="Arial" w:eastAsia="Arial" w:hAnsi="Arial"/>
                <w:sz w:val="16"/>
                <w:szCs w:val="16"/>
                <w:b w:val="1"/>
                <w:bCs w:val="1"/>
                <w:color w:val="auto"/>
              </w:rPr>
              <w:t>Change in interest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21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rPr>
              <w:t>expense for the six months</w:t>
            </w:r>
          </w:p>
        </w:tc>
        <w:tc>
          <w:tcPr>
            <w:tcW w:w="0" w:type="dxa"/>
            <w:vAlign w:val="bottom"/>
          </w:tcPr>
          <w:p>
            <w:pPr>
              <w:spacing w:after="0"/>
              <w:rPr>
                <w:sz w:val="1"/>
                <w:szCs w:val="1"/>
                <w:color w:val="auto"/>
              </w:rPr>
            </w:pPr>
          </w:p>
        </w:tc>
      </w:tr>
      <w:tr>
        <w:trPr>
          <w:trHeight w:val="160"/>
        </w:trPr>
        <w:tc>
          <w:tcPr>
            <w:tcW w:w="91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Component</w:t>
            </w:r>
          </w:p>
        </w:tc>
        <w:tc>
          <w:tcPr>
            <w:tcW w:w="200" w:type="dxa"/>
            <w:vAlign w:val="bottom"/>
          </w:tcPr>
          <w:p>
            <w:pPr>
              <w:spacing w:after="0"/>
              <w:rPr>
                <w:sz w:val="13"/>
                <w:szCs w:val="13"/>
                <w:color w:val="auto"/>
              </w:rPr>
            </w:pPr>
          </w:p>
        </w:tc>
        <w:tc>
          <w:tcPr>
            <w:tcW w:w="1920" w:type="dxa"/>
            <w:vAlign w:val="bottom"/>
          </w:tcPr>
          <w:p>
            <w:pPr>
              <w:jc w:val="center"/>
              <w:ind w:right="113"/>
              <w:spacing w:after="0" w:line="160" w:lineRule="exact"/>
              <w:rPr>
                <w:sz w:val="20"/>
                <w:szCs w:val="20"/>
                <w:color w:val="auto"/>
              </w:rPr>
            </w:pPr>
            <w:r>
              <w:rPr>
                <w:rFonts w:ascii="Arial" w:cs="Arial" w:eastAsia="Arial" w:hAnsi="Arial"/>
                <w:sz w:val="16"/>
                <w:szCs w:val="16"/>
                <w:b w:val="1"/>
                <w:bCs w:val="1"/>
                <w:color w:val="auto"/>
              </w:rPr>
              <w:t>ended June 30, 2021</w:t>
            </w:r>
          </w:p>
        </w:tc>
        <w:tc>
          <w:tcPr>
            <w:tcW w:w="0" w:type="dxa"/>
            <w:vAlign w:val="bottom"/>
          </w:tcPr>
          <w:p>
            <w:pPr>
              <w:spacing w:after="0"/>
              <w:rPr>
                <w:sz w:val="1"/>
                <w:szCs w:val="1"/>
                <w:color w:val="auto"/>
              </w:rPr>
            </w:pPr>
          </w:p>
        </w:tc>
      </w:tr>
      <w:tr>
        <w:trPr>
          <w:trHeight w:val="173"/>
        </w:trPr>
        <w:tc>
          <w:tcPr>
            <w:tcW w:w="9120" w:type="dxa"/>
            <w:vAlign w:val="bottom"/>
            <w:gridSpan w:val="3"/>
            <w:vMerge w:val="continue"/>
          </w:tcPr>
          <w:p>
            <w:pPr>
              <w:spacing w:after="0"/>
              <w:rPr>
                <w:sz w:val="15"/>
                <w:szCs w:val="15"/>
                <w:color w:val="auto"/>
              </w:rPr>
            </w:pPr>
          </w:p>
        </w:tc>
        <w:tc>
          <w:tcPr>
            <w:tcW w:w="2120" w:type="dxa"/>
            <w:vAlign w:val="bottom"/>
            <w:gridSpan w:val="2"/>
          </w:tcPr>
          <w:p>
            <w:pPr>
              <w:jc w:val="center"/>
              <w:spacing w:after="0" w:line="173" w:lineRule="exact"/>
              <w:rPr>
                <w:sz w:val="20"/>
                <w:szCs w:val="20"/>
                <w:color w:val="auto"/>
              </w:rPr>
            </w:pPr>
            <w:r>
              <w:rPr>
                <w:rFonts w:ascii="Arial" w:cs="Arial" w:eastAsia="Arial" w:hAnsi="Arial"/>
                <w:sz w:val="16"/>
                <w:szCs w:val="16"/>
                <w:b w:val="1"/>
                <w:bCs w:val="1"/>
                <w:color w:val="auto"/>
                <w:w w:val="99"/>
              </w:rPr>
              <w:t>compared to June 30,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center"/>
              <w:ind w:right="133"/>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26"/>
        </w:trPr>
        <w:tc>
          <w:tcPr>
            <w:tcW w:w="9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Increases to interest expense due to:</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100" w:type="dxa"/>
            <w:vAlign w:val="bottom"/>
            <w:gridSpan w:val="2"/>
          </w:tcPr>
          <w:p>
            <w:pPr>
              <w:ind w:left="320"/>
              <w:spacing w:after="0"/>
              <w:rPr>
                <w:sz w:val="20"/>
                <w:szCs w:val="20"/>
                <w:color w:val="auto"/>
              </w:rPr>
            </w:pPr>
            <w:r>
              <w:rPr>
                <w:rFonts w:ascii="Arial" w:cs="Arial" w:eastAsia="Arial" w:hAnsi="Arial"/>
                <w:sz w:val="18"/>
                <w:szCs w:val="18"/>
                <w:color w:val="auto"/>
              </w:rPr>
              <w:t>Issuance of $1.25 billion in aggregate principal of 3.250% senior notes due 2031 on May 5, 2020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14,155</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9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Issuance of $850 million in aggregate principal of 2.550% senior notes due 2032 on March 16, 2021</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100" w:type="dxa"/>
            <w:vAlign w:val="bottom"/>
            <w:gridSpan w:val="2"/>
          </w:tcPr>
          <w:p>
            <w:pPr>
              <w:ind w:left="320"/>
              <w:spacing w:after="0"/>
              <w:rPr>
                <w:sz w:val="20"/>
                <w:szCs w:val="20"/>
                <w:color w:val="auto"/>
              </w:rPr>
            </w:pPr>
            <w:r>
              <w:rPr>
                <w:rFonts w:ascii="Arial" w:cs="Arial" w:eastAsia="Arial" w:hAnsi="Arial"/>
                <w:sz w:val="18"/>
                <w:szCs w:val="18"/>
                <w:color w:val="auto"/>
              </w:rPr>
              <w:t>Increase in interest due to finance leases that are related to development properties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9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Increase in interest due to finance leases for two in-service properties</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91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Decrease in capitalized interest related to development projects</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0"/>
        </w:trPr>
        <w:tc>
          <w:tcPr>
            <w:tcW w:w="912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Total increases to interest expense</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24,538</w:t>
            </w:r>
          </w:p>
        </w:tc>
        <w:tc>
          <w:tcPr>
            <w:tcW w:w="0" w:type="dxa"/>
            <w:vAlign w:val="bottom"/>
          </w:tcPr>
          <w:p>
            <w:pPr>
              <w:spacing w:after="0"/>
              <w:rPr>
                <w:sz w:val="1"/>
                <w:szCs w:val="1"/>
                <w:color w:val="auto"/>
              </w:rPr>
            </w:pPr>
          </w:p>
        </w:tc>
      </w:tr>
      <w:tr>
        <w:trPr>
          <w:trHeight w:val="225"/>
        </w:trPr>
        <w:tc>
          <w:tcPr>
            <w:tcW w:w="9120" w:type="dxa"/>
            <w:vAlign w:val="bottom"/>
            <w:gridSpan w:val="3"/>
          </w:tcPr>
          <w:p>
            <w:pPr>
              <w:ind w:left="20"/>
              <w:spacing w:after="0"/>
              <w:rPr>
                <w:sz w:val="20"/>
                <w:szCs w:val="20"/>
                <w:color w:val="auto"/>
              </w:rPr>
            </w:pPr>
            <w:r>
              <w:rPr>
                <w:rFonts w:ascii="Arial" w:cs="Arial" w:eastAsia="Arial" w:hAnsi="Arial"/>
                <w:sz w:val="18"/>
                <w:szCs w:val="18"/>
                <w:color w:val="auto"/>
              </w:rPr>
              <w:t>Decreases to interest expense due to:</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9100" w:type="dxa"/>
            <w:vAlign w:val="bottom"/>
            <w:gridSpan w:val="2"/>
            <w:shd w:val="clear" w:color="auto" w:fill="CCEEFF"/>
          </w:tcPr>
          <w:p>
            <w:pPr>
              <w:ind w:left="320"/>
              <w:spacing w:after="0" w:line="186" w:lineRule="exact"/>
              <w:rPr>
                <w:sz w:val="20"/>
                <w:szCs w:val="20"/>
                <w:color w:val="auto"/>
              </w:rPr>
            </w:pPr>
            <w:r>
              <w:rPr>
                <w:rFonts w:ascii="Arial" w:cs="Arial" w:eastAsia="Arial" w:hAnsi="Arial"/>
                <w:sz w:val="18"/>
                <w:szCs w:val="18"/>
                <w:color w:val="auto"/>
              </w:rPr>
              <w:t>Redemption of $850 million in aggregate principal of 4.125% senior notes due 2021 on February 14,</w:t>
            </w:r>
          </w:p>
        </w:tc>
        <w:tc>
          <w:tcPr>
            <w:tcW w:w="2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1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100" w:type="dxa"/>
            <w:vAlign w:val="bottom"/>
            <w:gridSpan w:val="2"/>
          </w:tcPr>
          <w:p>
            <w:pPr>
              <w:ind w:left="320"/>
              <w:spacing w:after="0" w:line="185" w:lineRule="exact"/>
              <w:rPr>
                <w:sz w:val="20"/>
                <w:szCs w:val="20"/>
                <w:color w:val="auto"/>
              </w:rPr>
            </w:pPr>
            <w:r>
              <w:rPr>
                <w:rFonts w:ascii="Arial" w:cs="Arial" w:eastAsia="Arial" w:hAnsi="Arial"/>
                <w:sz w:val="18"/>
                <w:szCs w:val="18"/>
                <w:color w:val="auto"/>
              </w:rPr>
              <w:t>Decrease in interest rates for the 2017 and 2021 Credit Facilities and the repayment of the unsecured</w:t>
            </w: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rPr>
              <w:t>term loan on March 16, 2021 (1)</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9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Increase in capitalized interest related to development projects that had finance leases</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100" w:type="dxa"/>
            <w:vAlign w:val="bottom"/>
            <w:gridSpan w:val="2"/>
          </w:tcPr>
          <w:p>
            <w:pPr>
              <w:ind w:left="320"/>
              <w:spacing w:after="0"/>
              <w:rPr>
                <w:sz w:val="20"/>
                <w:szCs w:val="20"/>
                <w:color w:val="auto"/>
              </w:rPr>
            </w:pPr>
            <w:r>
              <w:rPr>
                <w:rFonts w:ascii="Arial" w:cs="Arial" w:eastAsia="Arial" w:hAnsi="Arial"/>
                <w:sz w:val="18"/>
                <w:szCs w:val="18"/>
                <w:color w:val="auto"/>
              </w:rPr>
              <w:t>Other interest expense (excluding senior notes)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9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Decrease in interest related to the repayment of the University Place mortgage loan</w:t>
            </w: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9"/>
        </w:trPr>
        <w:tc>
          <w:tcPr>
            <w:tcW w:w="9120" w:type="dxa"/>
            <w:vAlign w:val="bottom"/>
            <w:tcBorders>
              <w:bottom w:val="single" w:sz="8" w:color="CCEEFF"/>
            </w:tcBorders>
            <w:gridSpan w:val="3"/>
          </w:tcPr>
          <w:p>
            <w:pPr>
              <w:ind w:left="20"/>
              <w:spacing w:after="0" w:line="205" w:lineRule="exact"/>
              <w:rPr>
                <w:sz w:val="20"/>
                <w:szCs w:val="20"/>
                <w:color w:val="auto"/>
              </w:rPr>
            </w:pPr>
            <w:r>
              <w:rPr>
                <w:rFonts w:ascii="Arial" w:cs="Arial" w:eastAsia="Arial" w:hAnsi="Arial"/>
                <w:sz w:val="18"/>
                <w:szCs w:val="18"/>
                <w:color w:val="auto"/>
              </w:rPr>
              <w:t>Total decreases to interest expense</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w:t>
            </w:r>
          </w:p>
        </w:tc>
        <w:tc>
          <w:tcPr>
            <w:tcW w:w="0" w:type="dxa"/>
            <w:vAlign w:val="bottom"/>
          </w:tcPr>
          <w:p>
            <w:pPr>
              <w:spacing w:after="0"/>
              <w:rPr>
                <w:sz w:val="1"/>
                <w:szCs w:val="1"/>
                <w:color w:val="auto"/>
              </w:rPr>
            </w:pPr>
          </w:p>
        </w:tc>
      </w:tr>
      <w:tr>
        <w:trPr>
          <w:trHeight w:val="244"/>
        </w:trPr>
        <w:tc>
          <w:tcPr>
            <w:tcW w:w="9120" w:type="dxa"/>
            <w:vAlign w:val="bottom"/>
            <w:tcBorders>
              <w:bottom w:val="single" w:sz="8" w:color="CCEEFF"/>
            </w:tcBorders>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Total change in interest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540" w:hanging="314"/>
        <w:spacing w:after="0" w:line="253" w:lineRule="auto"/>
        <w:tabs>
          <w:tab w:leader="none" w:pos="5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 June 15, 2021, BPLP entered into the 2021 Credit Facility, which replaced the 2017 Credit Facility (See Note 8 to the Consolidated Financial Statements).</w:t>
      </w:r>
    </w:p>
    <w:p>
      <w:pPr>
        <w:spacing w:after="0" w:line="234" w:lineRule="exact"/>
        <w:rPr>
          <w:sz w:val="20"/>
          <w:szCs w:val="20"/>
          <w:color w:val="auto"/>
        </w:rPr>
      </w:pPr>
    </w:p>
    <w:p>
      <w:pPr>
        <w:ind w:right="420" w:firstLine="439"/>
        <w:spacing w:after="0" w:line="248" w:lineRule="auto"/>
        <w:rPr>
          <w:sz w:val="20"/>
          <w:szCs w:val="20"/>
          <w:color w:val="auto"/>
        </w:rPr>
      </w:pPr>
      <w:r>
        <w:rPr>
          <w:rFonts w:ascii="Arial" w:cs="Arial" w:eastAsia="Arial" w:hAnsi="Arial"/>
          <w:sz w:val="18"/>
          <w:szCs w:val="18"/>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six months ended June 30, 2021 and 2020 was approximately $25.0 million and $27.9 million, respectively. These costs are not included in the interest expense referenced above.</w:t>
      </w:r>
    </w:p>
    <w:p>
      <w:pPr>
        <w:spacing w:after="0" w:line="154" w:lineRule="exact"/>
        <w:rPr>
          <w:sz w:val="20"/>
          <w:szCs w:val="20"/>
          <w:color w:val="auto"/>
        </w:rPr>
      </w:pPr>
    </w:p>
    <w:p>
      <w:pPr>
        <w:ind w:right="100" w:firstLine="439"/>
        <w:spacing w:after="0" w:line="248" w:lineRule="auto"/>
        <w:rPr>
          <w:sz w:val="20"/>
          <w:szCs w:val="20"/>
          <w:color w:val="auto"/>
        </w:rPr>
      </w:pPr>
      <w:r>
        <w:rPr>
          <w:rFonts w:ascii="Arial" w:cs="Arial" w:eastAsia="Arial" w:hAnsi="Arial"/>
          <w:sz w:val="18"/>
          <w:szCs w:val="18"/>
          <w:color w:val="auto"/>
        </w:rPr>
        <w:t>At June 30, 2021, our variable rate debt consisted of BPLP’s $1.5 billion Revolving Facility. The Revolving Facility did not have an outstanding balance as of June 30, 2021. For a summary of our consolidated debt as of June 30, 2021 and June 30, 2020 refer to the heading “</w:t>
      </w:r>
      <w:r>
        <w:rPr>
          <w:rFonts w:ascii="Arial" w:cs="Arial" w:eastAsia="Arial" w:hAnsi="Arial"/>
          <w:sz w:val="18"/>
          <w:szCs w:val="18"/>
          <w:i w:val="1"/>
          <w:iCs w:val="1"/>
          <w:color w:val="auto"/>
        </w:rPr>
        <w:t>Liquidity and Capital Resources—Capitalization—Debt Financing”</w:t>
      </w:r>
      <w:r>
        <w:rPr>
          <w:rFonts w:ascii="Arial" w:cs="Arial" w:eastAsia="Arial" w:hAnsi="Arial"/>
          <w:sz w:val="18"/>
          <w:szCs w:val="18"/>
          <w:color w:val="auto"/>
        </w:rPr>
        <w:t xml:space="preserve"> within “</w:t>
      </w:r>
      <w:r>
        <w:rPr>
          <w:rFonts w:ascii="Arial" w:cs="Arial" w:eastAsia="Arial" w:hAnsi="Arial"/>
          <w:sz w:val="18"/>
          <w:szCs w:val="18"/>
          <w:i w:val="1"/>
          <w:iCs w:val="1"/>
          <w:color w:val="auto"/>
        </w:rPr>
        <w:t>Item 2—Management’s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Interests in Property Partnerships</w:t>
      </w:r>
    </w:p>
    <w:p>
      <w:pPr>
        <w:spacing w:after="0" w:line="108" w:lineRule="exact"/>
        <w:rPr>
          <w:sz w:val="20"/>
          <w:szCs w:val="20"/>
          <w:color w:val="auto"/>
        </w:rPr>
      </w:pPr>
    </w:p>
    <w:p>
      <w:pPr>
        <w:ind w:right="620" w:firstLine="439"/>
        <w:spacing w:after="0" w:line="252" w:lineRule="auto"/>
        <w:rPr>
          <w:sz w:val="20"/>
          <w:szCs w:val="20"/>
          <w:color w:val="auto"/>
        </w:rPr>
      </w:pPr>
      <w:r>
        <w:rPr>
          <w:rFonts w:ascii="Arial" w:cs="Arial" w:eastAsia="Arial" w:hAnsi="Arial"/>
          <w:sz w:val="18"/>
          <w:szCs w:val="18"/>
          <w:color w:val="auto"/>
        </w:rPr>
        <w:t>Noncontrolling interests in property partnerships increased by approximately $14.9 million for the six months ended June 30, 2021 compared to 2020, as detailed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60" w:type="dxa"/>
            <w:vAlign w:val="bottom"/>
            <w:gridSpan w:val="7"/>
          </w:tcPr>
          <w:p>
            <w:pPr>
              <w:jc w:val="center"/>
              <w:ind w:right="73"/>
              <w:spacing w:after="0"/>
              <w:rPr>
                <w:sz w:val="20"/>
                <w:szCs w:val="20"/>
                <w:color w:val="auto"/>
              </w:rPr>
            </w:pPr>
            <w:r>
              <w:rPr>
                <w:rFonts w:ascii="Arial" w:cs="Arial" w:eastAsia="Arial" w:hAnsi="Arial"/>
                <w:sz w:val="16"/>
                <w:szCs w:val="16"/>
                <w:b w:val="1"/>
                <w:bCs w:val="1"/>
                <w:color w:val="auto"/>
                <w:w w:val="99"/>
              </w:rPr>
              <w:t>Noncontrolling Interests in Property Partnerships for the six</w:t>
            </w:r>
          </w:p>
        </w:tc>
      </w:tr>
      <w:tr>
        <w:trPr>
          <w:trHeight w:val="213"/>
        </w:trPr>
        <w:tc>
          <w:tcPr>
            <w:tcW w:w="3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months ended June 30,</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30"/>
        </w:trPr>
        <w:tc>
          <w:tcPr>
            <w:tcW w:w="6320" w:type="dxa"/>
            <w:vAlign w:val="bottom"/>
            <w:gridSpan w:val="3"/>
          </w:tcPr>
          <w:p>
            <w:pPr>
              <w:ind w:left="20"/>
              <w:spacing w:after="0"/>
              <w:rPr>
                <w:sz w:val="20"/>
                <w:szCs w:val="20"/>
                <w:color w:val="auto"/>
              </w:rPr>
            </w:pPr>
            <w:r>
              <w:rPr>
                <w:rFonts w:ascii="Arial" w:cs="Arial" w:eastAsia="Arial" w:hAnsi="Arial"/>
                <w:sz w:val="16"/>
                <w:szCs w:val="16"/>
                <w:b w:val="1"/>
                <w:bCs w:val="1"/>
                <w:color w:val="auto"/>
              </w:rPr>
              <w:t>Property</w:t>
            </w:r>
          </w:p>
        </w:tc>
        <w:tc>
          <w:tcPr>
            <w:tcW w:w="160" w:type="dxa"/>
            <w:vAlign w:val="bottom"/>
          </w:tcPr>
          <w:p>
            <w:pPr>
              <w:spacing w:after="0"/>
              <w:rPr>
                <w:sz w:val="20"/>
                <w:szCs w:val="20"/>
                <w:color w:val="auto"/>
              </w:rPr>
            </w:pPr>
          </w:p>
        </w:tc>
        <w:tc>
          <w:tcPr>
            <w:tcW w:w="1300" w:type="dxa"/>
            <w:vAlign w:val="bottom"/>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53"/>
              <w:spacing w:after="0"/>
              <w:rPr>
                <w:sz w:val="20"/>
                <w:szCs w:val="20"/>
                <w:color w:val="auto"/>
              </w:rPr>
            </w:pPr>
            <w:r>
              <w:rPr>
                <w:rFonts w:ascii="Arial" w:cs="Arial" w:eastAsia="Arial" w:hAnsi="Arial"/>
                <w:sz w:val="16"/>
                <w:szCs w:val="16"/>
                <w:b w:val="1"/>
                <w:bCs w:val="1"/>
                <w:color w:val="auto"/>
              </w:rPr>
              <w:t>Change</w:t>
            </w:r>
          </w:p>
        </w:tc>
      </w:tr>
      <w:tr>
        <w:trPr>
          <w:trHeight w:val="208"/>
        </w:trPr>
        <w:tc>
          <w:tcPr>
            <w:tcW w:w="340" w:type="dxa"/>
            <w:vAlign w:val="bottom"/>
            <w:tcBorders>
              <w:top w:val="single" w:sz="8" w:color="auto"/>
            </w:tcBorders>
          </w:tcPr>
          <w:p>
            <w:pPr>
              <w:spacing w:after="0"/>
              <w:rPr>
                <w:sz w:val="18"/>
                <w:szCs w:val="18"/>
                <w:color w:val="auto"/>
              </w:rPr>
            </w:pPr>
          </w:p>
        </w:tc>
        <w:tc>
          <w:tcPr>
            <w:tcW w:w="5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(in thousands)</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26"/>
        </w:trPr>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767</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Fifth Avenue (the General Motors Building)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25"/>
        </w:trPr>
        <w:tc>
          <w:tcPr>
            <w:tcW w:w="6320" w:type="dxa"/>
            <w:vAlign w:val="bottom"/>
            <w:gridSpan w:val="3"/>
          </w:tcPr>
          <w:p>
            <w:pPr>
              <w:ind w:left="20"/>
              <w:spacing w:after="0"/>
              <w:rPr>
                <w:sz w:val="20"/>
                <w:szCs w:val="20"/>
                <w:color w:val="auto"/>
              </w:rPr>
            </w:pPr>
            <w:r>
              <w:rPr>
                <w:rFonts w:ascii="Arial" w:cs="Arial" w:eastAsia="Arial" w:hAnsi="Arial"/>
                <w:sz w:val="18"/>
                <w:szCs w:val="18"/>
                <w:color w:val="auto"/>
              </w:rPr>
              <w:t>Times Square Tower (2)</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13,267</w:t>
            </w:r>
          </w:p>
        </w:tc>
      </w:tr>
      <w:tr>
        <w:trPr>
          <w:trHeight w:val="227"/>
        </w:trPr>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601</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Lexington Avenue (3)</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25"/>
        </w:trPr>
        <w:tc>
          <w:tcPr>
            <w:tcW w:w="340" w:type="dxa"/>
            <w:vAlign w:val="bottom"/>
          </w:tcPr>
          <w:p>
            <w:pPr>
              <w:ind w:left="20"/>
              <w:spacing w:after="0"/>
              <w:rPr>
                <w:sz w:val="20"/>
                <w:szCs w:val="20"/>
                <w:color w:val="auto"/>
              </w:rPr>
            </w:pPr>
            <w:r>
              <w:rPr>
                <w:rFonts w:ascii="Arial" w:cs="Arial" w:eastAsia="Arial" w:hAnsi="Arial"/>
                <w:sz w:val="18"/>
                <w:szCs w:val="18"/>
                <w:color w:val="auto"/>
                <w:w w:val="99"/>
              </w:rPr>
              <w:t>100</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Federal Street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6,790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7,309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26"/>
        </w:trPr>
        <w:tc>
          <w:tcPr>
            <w:tcW w:w="6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Atlantic Wharf Office Building</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9"/>
        </w:trPr>
        <w:tc>
          <w:tcPr>
            <w:tcW w:w="34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33,631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18,719</w:t>
            </w:r>
          </w:p>
        </w:tc>
        <w:tc>
          <w:tcPr>
            <w:tcW w:w="2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14,912</w:t>
            </w:r>
          </w:p>
        </w:tc>
      </w:tr>
      <w:tr>
        <w:trPr>
          <w:trHeight w:val="20"/>
        </w:trPr>
        <w:tc>
          <w:tcPr>
            <w:tcW w:w="3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220" w:hanging="314"/>
        <w:spacing w:after="0" w:line="242" w:lineRule="auto"/>
        <w:tabs>
          <w:tab w:leader="none" w:pos="5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increase was primarily attributable to an increase in lease revenue from our tenants. In addition, during the six months ended June 30, 2020, we accelerated amortization expense related to a below-market lease that terminated early.</w:t>
      </w:r>
    </w:p>
    <w:p>
      <w:pPr>
        <w:spacing w:after="0" w:line="1" w:lineRule="exact"/>
        <w:rPr>
          <w:rFonts w:ascii="Arial" w:cs="Arial" w:eastAsia="Arial" w:hAnsi="Arial"/>
          <w:sz w:val="16"/>
          <w:szCs w:val="16"/>
          <w:color w:val="auto"/>
        </w:rPr>
      </w:pPr>
    </w:p>
    <w:p>
      <w:pPr>
        <w:ind w:left="560" w:hanging="314"/>
        <w:spacing w:after="0" w:line="242" w:lineRule="auto"/>
        <w:tabs>
          <w:tab w:leader="none" w:pos="5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the six months ended June 30, 2020, we wrote off approximately $26.8 million of accrued rent and accounts receivable balances for tenants that either terminated their leases or for which we determined their accrued rent and/or accounts receivable balances, primarily retail tenants, were no longer probable of collection. Approximately $12.0 million represents our partners’ share of the write-offs.</w:t>
      </w:r>
    </w:p>
    <w:p>
      <w:pPr>
        <w:spacing w:after="0" w:line="1" w:lineRule="exact"/>
        <w:rPr>
          <w:rFonts w:ascii="Arial" w:cs="Arial" w:eastAsia="Arial" w:hAnsi="Arial"/>
          <w:sz w:val="16"/>
          <w:szCs w:val="16"/>
          <w:color w:val="auto"/>
        </w:rPr>
      </w:pPr>
    </w:p>
    <w:p>
      <w:pPr>
        <w:ind w:left="560" w:right="80" w:hanging="314"/>
        <w:spacing w:after="0" w:line="245" w:lineRule="auto"/>
        <w:tabs>
          <w:tab w:leader="none" w:pos="5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decrease was primarily due to a decrease in lease revenue from our retail tenants and a tenant that terminated its space during the six months ended June 30, 2020, partially offset by the increase in revenue related to placing in-service One Five Nine East 53rd Street. During the six months ended June 30, 2020, we wrote off approximately $2.9 million of accrued rent and accounts receivable balances for tenants that either terminated their leases or for which we determined their accrued rent and/or accounts receivable balances, primarily retail tenants, were no longer probable of collection. Approximately $1.3 million represents our partners’ share of the write-offs.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Interest—Common Units of the Operating Partnership</w:t>
      </w:r>
    </w:p>
    <w:p>
      <w:pPr>
        <w:spacing w:after="0" w:line="108" w:lineRule="exact"/>
        <w:rPr>
          <w:sz w:val="20"/>
          <w:szCs w:val="20"/>
          <w:color w:val="auto"/>
        </w:rPr>
      </w:pPr>
    </w:p>
    <w:p>
      <w:pPr>
        <w:ind w:firstLine="439"/>
        <w:spacing w:after="0" w:line="271" w:lineRule="auto"/>
        <w:rPr>
          <w:sz w:val="20"/>
          <w:szCs w:val="20"/>
          <w:color w:val="auto"/>
        </w:rPr>
      </w:pPr>
      <w:r>
        <w:rPr>
          <w:rFonts w:ascii="Arial" w:cs="Arial" w:eastAsia="Arial" w:hAnsi="Arial"/>
          <w:sz w:val="17"/>
          <w:szCs w:val="17"/>
          <w:color w:val="auto"/>
        </w:rPr>
        <w:t>For BXP, noncontrolling interest—common units of the Operating Partnership decreased by approximately $64.1 million for the six months ended June 30, 2021 compared to 2020 due primarily to a decrease in allocable income, which was the result of recognizing a greater gain on sales of real estate amount during 2020. Due to our ownership structure, there is no corresponding line item on BPLP’s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2021 and 2020</w:t>
      </w:r>
    </w:p>
    <w:p>
      <w:pPr>
        <w:spacing w:after="0" w:line="187" w:lineRule="exact"/>
        <w:rPr>
          <w:sz w:val="20"/>
          <w:szCs w:val="20"/>
          <w:color w:val="auto"/>
        </w:rPr>
      </w:pPr>
    </w:p>
    <w:p>
      <w:pPr>
        <w:ind w:right="120" w:firstLine="425"/>
        <w:spacing w:after="0" w:line="248" w:lineRule="auto"/>
        <w:rPr>
          <w:sz w:val="20"/>
          <w:szCs w:val="20"/>
          <w:color w:val="auto"/>
        </w:rPr>
      </w:pPr>
      <w:r>
        <w:rPr>
          <w:rFonts w:ascii="Arial" w:cs="Arial" w:eastAsia="Arial" w:hAnsi="Arial"/>
          <w:sz w:val="18"/>
          <w:szCs w:val="18"/>
          <w:color w:val="auto"/>
        </w:rPr>
        <w:t>Net income attributable to Boston Properties, Inc. common shareholders and net income attributable to Boston Properties Limited Partnership common unitholders decreased approximately $154.8 million and $176.1 million for the three months ended June 30, 2021 compared to 2020, respectively, as detailed in the following tables and for the reasons discussed below under the heading “</w:t>
      </w:r>
      <w:r>
        <w:rPr>
          <w:rFonts w:ascii="Arial" w:cs="Arial" w:eastAsia="Arial" w:hAnsi="Arial"/>
          <w:sz w:val="18"/>
          <w:szCs w:val="18"/>
          <w:i w:val="1"/>
          <w:iCs w:val="1"/>
          <w:color w:val="auto"/>
        </w:rPr>
        <w:t>Comparison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three months ended June 30, 2021 to the three months ended June 30, 2020” within “Item 2—Management’s Discussion and Analysis of Financial Condition and Results of Operations.</w:t>
      </w:r>
      <w:r>
        <w:rPr>
          <w:rFonts w:ascii="Arial" w:cs="Arial" w:eastAsia="Arial" w:hAnsi="Arial"/>
          <w:sz w:val="18"/>
          <w:szCs w:val="18"/>
          <w:color w:val="auto"/>
        </w:rPr>
        <w:t>”</w:t>
      </w:r>
    </w:p>
    <w:p>
      <w:pPr>
        <w:spacing w:after="0" w:line="154" w:lineRule="exact"/>
        <w:rPr>
          <w:sz w:val="20"/>
          <w:szCs w:val="20"/>
          <w:color w:val="auto"/>
        </w:rPr>
      </w:pPr>
    </w:p>
    <w:p>
      <w:pPr>
        <w:ind w:right="20" w:firstLine="425"/>
        <w:spacing w:after="0" w:line="249" w:lineRule="auto"/>
        <w:rPr>
          <w:sz w:val="20"/>
          <w:szCs w:val="20"/>
          <w:color w:val="auto"/>
        </w:rPr>
      </w:pPr>
      <w:r>
        <w:rPr>
          <w:rFonts w:ascii="Arial" w:cs="Arial" w:eastAsia="Arial" w:hAnsi="Arial"/>
          <w:sz w:val="18"/>
          <w:szCs w:val="18"/>
          <w:color w:val="auto"/>
        </w:rPr>
        <w:t>Below are reconciliations of net income attributable to Boston Properties, Inc. common shareholders to NOI and net income attributable to Boston Properties Limited Partnership common unitholders to NOI for the three months ended June 30, 2021 and 2020. For a detailed discussion of NOI, including the reasons management believes NOI is useful to investors, see page 59.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rPr>
              <w:t>Three months ended June 30,</w:t>
            </w: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20"/>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321"/>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5"/>
                <w:szCs w:val="15"/>
                <w:b w:val="1"/>
                <w:bCs w:val="1"/>
                <w:color w:val="auto"/>
              </w:rPr>
              <w:t>Increase/</w:t>
            </w:r>
          </w:p>
        </w:tc>
        <w:tc>
          <w:tcPr>
            <w:tcW w:w="1420" w:type="dxa"/>
            <w:vAlign w:val="bottom"/>
          </w:tcPr>
          <w:p>
            <w:pPr>
              <w:jc w:val="right"/>
              <w:ind w:right="561"/>
              <w:spacing w:after="0" w:line="14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6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rPr>
              <w:t>(Decrease)</w:t>
            </w: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3"/>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jc w:val="center"/>
              <w:spacing w:after="0"/>
              <w:rPr>
                <w:sz w:val="20"/>
                <w:szCs w:val="20"/>
                <w:color w:val="auto"/>
              </w:rPr>
            </w:pPr>
            <w:r>
              <w:rPr>
                <w:rFonts w:ascii="Arial" w:cs="Arial" w:eastAsia="Arial" w:hAnsi="Arial"/>
                <w:sz w:val="15"/>
                <w:szCs w:val="15"/>
                <w:b w:val="1"/>
                <w:bCs w:val="1"/>
                <w:color w:val="auto"/>
              </w:rPr>
              <w:t>(in thousands)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 Common Shareholders</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266,525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(154,822)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(58.09)%</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Preferred dividends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269,150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(157,447)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(58.50)%</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30,197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(58.99)%</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17,931</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2,337.81 %</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298,580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(157,330)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(52.69)%</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106,319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107,142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from investments in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11.26 %</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203,767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(196,011)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(96.19)%</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Income (loss) from unconsolidated joint ventures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(3,205)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(174.95)%</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178,188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5,650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3.17 %</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126.20 %</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6.88 %</w:t>
            </w:r>
          </w:p>
        </w:tc>
        <w:tc>
          <w:tcPr>
            <w:tcW w:w="0" w:type="dxa"/>
            <w:vAlign w:val="bottom"/>
          </w:tcPr>
          <w:p>
            <w:pPr>
              <w:spacing w:after="0"/>
              <w:rPr>
                <w:sz w:val="1"/>
                <w:szCs w:val="1"/>
                <w:color w:val="auto"/>
              </w:rPr>
            </w:pPr>
          </w:p>
        </w:tc>
      </w:tr>
      <w:tr>
        <w:trPr>
          <w:trHeight w:val="210"/>
        </w:trPr>
        <w:tc>
          <w:tcPr>
            <w:tcW w:w="6100" w:type="dxa"/>
            <w:vAlign w:val="bottom"/>
          </w:tcPr>
          <w:p>
            <w:pPr>
              <w:ind w:left="3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38,405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37,743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100" w:type="dxa"/>
            <w:vAlign w:val="bottom"/>
            <w:shd w:val="clear" w:color="auto" w:fill="CCEEFF"/>
          </w:tcPr>
          <w:p>
            <w:pPr>
              <w:ind w:left="340"/>
              <w:spacing w:after="0" w:line="178"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contracts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6.88 %</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3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453,169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402,404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50,765</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5"/>
                <w:szCs w:val="15"/>
                <w:b w:val="1"/>
                <w:bCs w:val="1"/>
                <w:color w:val="auto"/>
              </w:rPr>
              <w:t>Three months ended June 30,</w:t>
            </w: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20"/>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301"/>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4" w:lineRule="exact"/>
              <w:rPr>
                <w:sz w:val="20"/>
                <w:szCs w:val="20"/>
                <w:color w:val="auto"/>
              </w:rPr>
            </w:pPr>
            <w:r>
              <w:rPr>
                <w:rFonts w:ascii="Arial" w:cs="Arial" w:eastAsia="Arial" w:hAnsi="Arial"/>
                <w:sz w:val="15"/>
                <w:szCs w:val="15"/>
                <w:b w:val="1"/>
                <w:bCs w:val="1"/>
                <w:color w:val="auto"/>
                <w:w w:val="98"/>
              </w:rPr>
              <w:t>Increase/</w:t>
            </w:r>
          </w:p>
        </w:tc>
        <w:tc>
          <w:tcPr>
            <w:tcW w:w="1360" w:type="dxa"/>
            <w:vAlign w:val="bottom"/>
          </w:tcPr>
          <w:p>
            <w:pPr>
              <w:jc w:val="right"/>
              <w:ind w:right="541"/>
              <w:spacing w:after="0" w:line="14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6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9"/>
              </w:rPr>
              <w:t>(Decrease)</w:t>
            </w:r>
          </w:p>
        </w:tc>
        <w:tc>
          <w:tcPr>
            <w:tcW w:w="136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3"/>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jc w:val="center"/>
              <w:ind w:right="60"/>
              <w:spacing w:after="0"/>
              <w:rPr>
                <w:sz w:val="20"/>
                <w:szCs w:val="20"/>
                <w:color w:val="auto"/>
              </w:rPr>
            </w:pPr>
            <w:r>
              <w:rPr>
                <w:rFonts w:ascii="Arial" w:cs="Arial" w:eastAsia="Arial" w:hAnsi="Arial"/>
                <w:sz w:val="15"/>
                <w:szCs w:val="15"/>
                <w:b w:val="1"/>
                <w:bCs w:val="1"/>
                <w:color w:val="auto"/>
              </w:rPr>
              <w:t>(in thousands)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Net Income Attributable to Boston Properties Limited Partnership Common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Unitholders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(176,129)</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(58.33)%</w:t>
            </w:r>
          </w:p>
        </w:tc>
        <w:tc>
          <w:tcPr>
            <w:tcW w:w="0" w:type="dxa"/>
            <w:vAlign w:val="bottom"/>
          </w:tcPr>
          <w:p>
            <w:pPr>
              <w:spacing w:after="0"/>
              <w:rPr>
                <w:sz w:val="1"/>
                <w:szCs w:val="1"/>
                <w:color w:val="auto"/>
              </w:rPr>
            </w:pPr>
          </w:p>
        </w:tc>
      </w:tr>
      <w:tr>
        <w:trPr>
          <w:trHeight w:val="210"/>
        </w:trPr>
        <w:tc>
          <w:tcPr>
            <w:tcW w:w="6120" w:type="dxa"/>
            <w:vAlign w:val="bottom"/>
          </w:tcPr>
          <w:p>
            <w:pPr>
              <w:ind w:left="340"/>
              <w:spacing w:after="0"/>
              <w:rPr>
                <w:sz w:val="20"/>
                <w:szCs w:val="20"/>
                <w:color w:val="auto"/>
              </w:rPr>
            </w:pPr>
            <w:r>
              <w:rPr>
                <w:rFonts w:ascii="Arial" w:cs="Arial" w:eastAsia="Arial" w:hAnsi="Arial"/>
                <w:sz w:val="16"/>
                <w:szCs w:val="16"/>
                <w:color w:val="auto"/>
              </w:rPr>
              <w:t>Preferred distributions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(178,754)</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(58.68)%</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17,931</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2,337.81 %</w:t>
            </w:r>
          </w:p>
        </w:tc>
        <w:tc>
          <w:tcPr>
            <w:tcW w:w="0" w:type="dxa"/>
            <w:vAlign w:val="bottom"/>
          </w:tcPr>
          <w:p>
            <w:pPr>
              <w:spacing w:after="0"/>
              <w:rPr>
                <w:sz w:val="1"/>
                <w:szCs w:val="1"/>
                <w:color w:val="auto"/>
              </w:rPr>
            </w:pPr>
          </w:p>
        </w:tc>
      </w:tr>
      <w:tr>
        <w:trPr>
          <w:trHeight w:val="206"/>
        </w:trPr>
        <w:tc>
          <w:tcPr>
            <w:tcW w:w="61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143,010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303,833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(160,823)</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(52.93)%</w:t>
            </w:r>
          </w:p>
        </w:tc>
        <w:tc>
          <w:tcPr>
            <w:tcW w:w="0" w:type="dxa"/>
            <w:vAlign w:val="bottom"/>
          </w:tcPr>
          <w:p>
            <w:pPr>
              <w:spacing w:after="0"/>
              <w:rPr>
                <w:sz w:val="1"/>
                <w:szCs w:val="1"/>
                <w:color w:val="auto"/>
              </w:rPr>
            </w:pP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340"/>
              <w:spacing w:after="0"/>
              <w:rPr>
                <w:sz w:val="20"/>
                <w:szCs w:val="20"/>
                <w:color w:val="auto"/>
              </w:rPr>
            </w:pPr>
            <w:r>
              <w:rPr>
                <w:rFonts w:ascii="Arial" w:cs="Arial" w:eastAsia="Arial" w:hAnsi="Arial"/>
                <w:sz w:val="16"/>
                <w:szCs w:val="16"/>
                <w:color w:val="auto"/>
              </w:rPr>
              <w:t>Gains from investments in securities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(2,277)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215"/>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other income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11.26 %</w:t>
            </w:r>
          </w:p>
        </w:tc>
        <w:tc>
          <w:tcPr>
            <w:tcW w:w="0" w:type="dxa"/>
            <w:vAlign w:val="bottom"/>
          </w:tcPr>
          <w:p>
            <w:pPr>
              <w:spacing w:after="0"/>
              <w:rPr>
                <w:sz w:val="1"/>
                <w:szCs w:val="1"/>
                <w:color w:val="auto"/>
              </w:rPr>
            </w:pPr>
          </w:p>
        </w:tc>
      </w:tr>
      <w:tr>
        <w:trPr>
          <w:trHeight w:val="210"/>
        </w:trPr>
        <w:tc>
          <w:tcPr>
            <w:tcW w:w="6120" w:type="dxa"/>
            <w:vAlign w:val="bottom"/>
          </w:tcPr>
          <w:p>
            <w:pPr>
              <w:ind w:left="340"/>
              <w:spacing w:after="0"/>
              <w:rPr>
                <w:sz w:val="20"/>
                <w:szCs w:val="20"/>
                <w:color w:val="auto"/>
              </w:rPr>
            </w:pPr>
            <w:r>
              <w:rPr>
                <w:rFonts w:ascii="Arial" w:cs="Arial" w:eastAsia="Arial" w:hAnsi="Arial"/>
                <w:sz w:val="16"/>
                <w:szCs w:val="16"/>
                <w:color w:val="auto"/>
              </w:rPr>
              <w:t>Gains on sales of real estate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207,241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(199,485)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(96.26)%</w:t>
            </w:r>
          </w:p>
        </w:tc>
        <w:tc>
          <w:tcPr>
            <w:tcW w:w="0" w:type="dxa"/>
            <w:vAlign w:val="bottom"/>
          </w:tcPr>
          <w:p>
            <w:pPr>
              <w:spacing w:after="0"/>
              <w:rPr>
                <w:sz w:val="1"/>
                <w:szCs w:val="1"/>
                <w:color w:val="auto"/>
              </w:rPr>
            </w:pPr>
          </w:p>
        </w:tc>
      </w:tr>
      <w:tr>
        <w:trPr>
          <w:trHeight w:val="215"/>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(loss) from unconsolidated joint ventures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(174.95)%</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182,078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5,669</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3.21 %</w:t>
            </w:r>
          </w:p>
        </w:tc>
        <w:tc>
          <w:tcPr>
            <w:tcW w:w="0" w:type="dxa"/>
            <w:vAlign w:val="bottom"/>
          </w:tcPr>
          <w:p>
            <w:pPr>
              <w:spacing w:after="0"/>
              <w:rPr>
                <w:sz w:val="1"/>
                <w:szCs w:val="1"/>
                <w:color w:val="auto"/>
              </w:rPr>
            </w:pPr>
          </w:p>
        </w:tc>
      </w:tr>
      <w:tr>
        <w:trPr>
          <w:trHeight w:val="215"/>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126.20 %</w:t>
            </w:r>
          </w:p>
        </w:tc>
        <w:tc>
          <w:tcPr>
            <w:tcW w:w="0" w:type="dxa"/>
            <w:vAlign w:val="bottom"/>
          </w:tcPr>
          <w:p>
            <w:pPr>
              <w:spacing w:after="0"/>
              <w:rPr>
                <w:sz w:val="1"/>
                <w:szCs w:val="1"/>
                <w:color w:val="auto"/>
              </w:rPr>
            </w:pPr>
          </w:p>
        </w:tc>
      </w:tr>
      <w:tr>
        <w:trPr>
          <w:trHeight w:val="210"/>
        </w:trPr>
        <w:tc>
          <w:tcPr>
            <w:tcW w:w="6120" w:type="dxa"/>
            <w:vAlign w:val="bottom"/>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6.88 %</w:t>
            </w:r>
          </w:p>
        </w:tc>
        <w:tc>
          <w:tcPr>
            <w:tcW w:w="0" w:type="dxa"/>
            <w:vAlign w:val="bottom"/>
          </w:tcPr>
          <w:p>
            <w:pPr>
              <w:spacing w:after="0"/>
              <w:rPr>
                <w:sz w:val="1"/>
                <w:szCs w:val="1"/>
                <w:color w:val="auto"/>
              </w:rPr>
            </w:pPr>
          </w:p>
        </w:tc>
      </w:tr>
      <w:tr>
        <w:trPr>
          <w:trHeight w:val="215"/>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340"/>
              <w:spacing w:after="0" w:line="175"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120" w:type="dxa"/>
            <w:vAlign w:val="bottom"/>
          </w:tcPr>
          <w:p>
            <w:pPr>
              <w:ind w:left="500"/>
              <w:spacing w:after="0"/>
              <w:rPr>
                <w:sz w:val="20"/>
                <w:szCs w:val="20"/>
                <w:color w:val="auto"/>
              </w:rPr>
            </w:pPr>
            <w:r>
              <w:rPr>
                <w:rFonts w:ascii="Arial" w:cs="Arial" w:eastAsia="Arial" w:hAnsi="Arial"/>
                <w:sz w:val="16"/>
                <w:szCs w:val="16"/>
                <w:color w:val="auto"/>
              </w:rPr>
              <w:t>contracts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6.88 %</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453,169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402,404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50,765</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12.62 %</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three months ended June 30, 2021 to the three months ended June 30, 2020</w:t>
      </w:r>
    </w:p>
    <w:p>
      <w:pPr>
        <w:spacing w:after="0" w:line="108" w:lineRule="exact"/>
        <w:rPr>
          <w:sz w:val="20"/>
          <w:szCs w:val="20"/>
          <w:color w:val="auto"/>
        </w:rPr>
      </w:pPr>
    </w:p>
    <w:p>
      <w:pPr>
        <w:ind w:right="200" w:firstLine="439"/>
        <w:spacing w:after="0" w:line="247" w:lineRule="auto"/>
        <w:rPr>
          <w:sz w:val="20"/>
          <w:szCs w:val="20"/>
          <w:color w:val="auto"/>
        </w:rPr>
      </w:pPr>
      <w:r>
        <w:rPr>
          <w:rFonts w:ascii="Arial" w:cs="Arial" w:eastAsia="Arial" w:hAnsi="Arial"/>
          <w:sz w:val="18"/>
          <w:szCs w:val="18"/>
          <w:color w:val="auto"/>
        </w:rPr>
        <w:t>The table below shows selected operating information for the Same Property Portfolio and the Total Property Portfolio. The Same Property Portfolio consists of 141 properties totaling approximately 39.3 million net rentable square feet, excluding unconsolidated joint ventures. The Same Property Portfolio includes properties acquired or placed in-service on or prior to April 1, 2020 and owned and in-service through June 30, 2021. The Total Property Portfolio includes the effects of the other properties either acquired, placed in-service, in development or redevelopment after April 1, 2020 or disposed of on or prior to June 30, 2021. This table includes a reconciliation from the Same Property Portfolio to the Total Property Portfolio by also providing information for the three months ended June 30, 2021 and 2020 with respect to the properties that were acquired, placed in-service, in development or redevelopment or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vMerge w:val="restart"/>
          </w:tcPr>
          <w:p>
            <w:pPr>
              <w:jc w:val="center"/>
              <w:ind w:right="160"/>
              <w:spacing w:after="0"/>
              <w:rPr>
                <w:sz w:val="20"/>
                <w:szCs w:val="20"/>
                <w:color w:val="auto"/>
              </w:rPr>
            </w:pPr>
            <w:r>
              <w:rPr>
                <w:rFonts w:ascii="Arial" w:cs="Arial" w:eastAsia="Arial" w:hAnsi="Arial"/>
                <w:sz w:val="12"/>
                <w:szCs w:val="12"/>
                <w:b w:val="1"/>
                <w:bCs w:val="1"/>
                <w:color w:val="auto"/>
              </w:rPr>
              <w:t>Properties</w:t>
            </w:r>
          </w:p>
        </w:tc>
        <w:tc>
          <w:tcPr>
            <w:tcW w:w="1200" w:type="dxa"/>
            <w:vAlign w:val="bottom"/>
            <w:gridSpan w:val="5"/>
            <w:vMerge w:val="restart"/>
          </w:tcPr>
          <w:p>
            <w:pPr>
              <w:jc w:val="center"/>
              <w:ind w:right="60"/>
              <w:spacing w:after="0"/>
              <w:rPr>
                <w:sz w:val="20"/>
                <w:szCs w:val="20"/>
                <w:color w:val="auto"/>
              </w:rPr>
            </w:pPr>
            <w:r>
              <w:rPr>
                <w:rFonts w:ascii="Arial" w:cs="Arial" w:eastAsia="Arial" w:hAnsi="Arial"/>
                <w:sz w:val="12"/>
                <w:szCs w:val="12"/>
                <w:b w:val="1"/>
                <w:bCs w:val="1"/>
                <w:color w:val="auto"/>
              </w:rPr>
              <w:t>Properties</w:t>
            </w:r>
          </w:p>
        </w:tc>
        <w:tc>
          <w:tcPr>
            <w:tcW w:w="114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rPr>
              <w:t>Properties in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5"/>
            <w:vMerge w:val="continue"/>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1140" w:type="dxa"/>
            <w:vAlign w:val="bottom"/>
            <w:gridSpan w:val="4"/>
          </w:tcPr>
          <w:p>
            <w:pPr>
              <w:jc w:val="center"/>
              <w:ind w:right="80"/>
              <w:spacing w:after="0" w:line="120" w:lineRule="exact"/>
              <w:rPr>
                <w:sz w:val="20"/>
                <w:szCs w:val="20"/>
                <w:color w:val="auto"/>
              </w:rPr>
            </w:pPr>
            <w:r>
              <w:rPr>
                <w:rFonts w:ascii="Arial" w:cs="Arial" w:eastAsia="Arial" w:hAnsi="Arial"/>
                <w:sz w:val="12"/>
                <w:szCs w:val="12"/>
                <w:b w:val="1"/>
                <w:bCs w:val="1"/>
                <w:color w:val="auto"/>
              </w:rPr>
              <w:t>Development or</w:t>
            </w:r>
          </w:p>
        </w:tc>
        <w:tc>
          <w:tcPr>
            <w:tcW w:w="114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auto"/>
              </w:rPr>
              <w:t>Properties Sold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60" w:type="dxa"/>
            <w:vAlign w:val="bottom"/>
            <w:gridSpan w:val="6"/>
            <w:vMerge w:val="restart"/>
          </w:tcPr>
          <w:p>
            <w:pPr>
              <w:jc w:val="right"/>
              <w:ind w:right="100"/>
              <w:spacing w:after="0"/>
              <w:rPr>
                <w:sz w:val="20"/>
                <w:szCs w:val="20"/>
                <w:color w:val="auto"/>
              </w:rPr>
            </w:pPr>
            <w:r>
              <w:rPr>
                <w:rFonts w:ascii="Arial" w:cs="Arial" w:eastAsia="Arial" w:hAnsi="Arial"/>
                <w:sz w:val="12"/>
                <w:szCs w:val="12"/>
                <w:b w:val="1"/>
                <w:bCs w:val="1"/>
                <w:color w:val="auto"/>
              </w:rPr>
              <w:t>Same Property Portfolio</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5"/>
          </w:tcPr>
          <w:p>
            <w:pPr>
              <w:jc w:val="center"/>
              <w:ind w:right="160"/>
              <w:spacing w:after="0" w:line="120" w:lineRule="exact"/>
              <w:rPr>
                <w:sz w:val="20"/>
                <w:szCs w:val="20"/>
                <w:color w:val="auto"/>
              </w:rPr>
            </w:pPr>
            <w:r>
              <w:rPr>
                <w:rFonts w:ascii="Arial" w:cs="Arial" w:eastAsia="Arial" w:hAnsi="Arial"/>
                <w:sz w:val="12"/>
                <w:szCs w:val="12"/>
                <w:b w:val="1"/>
                <w:bCs w:val="1"/>
                <w:color w:val="auto"/>
                <w:w w:val="99"/>
              </w:rPr>
              <w:t>Acquired</w:t>
            </w:r>
          </w:p>
        </w:tc>
        <w:tc>
          <w:tcPr>
            <w:tcW w:w="1200" w:type="dxa"/>
            <w:vAlign w:val="bottom"/>
            <w:gridSpan w:val="5"/>
          </w:tcPr>
          <w:p>
            <w:pPr>
              <w:jc w:val="center"/>
              <w:ind w:right="60"/>
              <w:spacing w:after="0" w:line="120" w:lineRule="exact"/>
              <w:rPr>
                <w:sz w:val="20"/>
                <w:szCs w:val="20"/>
                <w:color w:val="auto"/>
              </w:rPr>
            </w:pPr>
            <w:r>
              <w:rPr>
                <w:rFonts w:ascii="Arial" w:cs="Arial" w:eastAsia="Arial" w:hAnsi="Arial"/>
                <w:sz w:val="12"/>
                <w:szCs w:val="12"/>
                <w:b w:val="1"/>
                <w:bCs w:val="1"/>
                <w:color w:val="auto"/>
              </w:rPr>
              <w:t>Placed In-Service</w:t>
            </w:r>
          </w:p>
        </w:tc>
        <w:tc>
          <w:tcPr>
            <w:tcW w:w="1140" w:type="dxa"/>
            <w:vAlign w:val="bottom"/>
            <w:gridSpan w:val="4"/>
          </w:tcPr>
          <w:p>
            <w:pPr>
              <w:jc w:val="center"/>
              <w:ind w:right="60"/>
              <w:spacing w:after="0" w:line="120" w:lineRule="exact"/>
              <w:rPr>
                <w:sz w:val="20"/>
                <w:szCs w:val="20"/>
                <w:color w:val="auto"/>
              </w:rPr>
            </w:pPr>
            <w:r>
              <w:rPr>
                <w:rFonts w:ascii="Arial" w:cs="Arial" w:eastAsia="Arial" w:hAnsi="Arial"/>
                <w:sz w:val="12"/>
                <w:szCs w:val="12"/>
                <w:b w:val="1"/>
                <w:bCs w:val="1"/>
                <w:color w:val="auto"/>
              </w:rPr>
              <w:t>Redevelopment</w:t>
            </w:r>
          </w:p>
        </w:tc>
        <w:tc>
          <w:tcPr>
            <w:tcW w:w="1140" w:type="dxa"/>
            <w:vAlign w:val="bottom"/>
            <w:gridSpan w:val="4"/>
            <w:vMerge w:val="continue"/>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Total Property Portfolio</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gridSpan w:val="6"/>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center"/>
              <w:ind w:left="58"/>
              <w:spacing w:after="0"/>
              <w:rPr>
                <w:sz w:val="20"/>
                <w:szCs w:val="20"/>
                <w:color w:val="auto"/>
              </w:rPr>
            </w:pPr>
            <w:r>
              <w:rPr>
                <w:rFonts w:ascii="Arial" w:cs="Arial" w:eastAsia="Arial" w:hAnsi="Arial"/>
                <w:sz w:val="12"/>
                <w:szCs w:val="12"/>
                <w:b w:val="1"/>
                <w:bCs w:val="1"/>
                <w:color w:val="auto"/>
              </w:rPr>
              <w:t>Portfolio</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11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11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118"/>
              <w:spacing w:after="0"/>
              <w:rPr>
                <w:sz w:val="20"/>
                <w:szCs w:val="20"/>
                <w:color w:val="auto"/>
              </w:rPr>
            </w:pPr>
            <w:r>
              <w:rPr>
                <w:rFonts w:ascii="Arial" w:cs="Arial" w:eastAsia="Arial" w:hAnsi="Arial"/>
                <w:sz w:val="12"/>
                <w:szCs w:val="12"/>
                <w:b w:val="1"/>
                <w:bCs w:val="1"/>
                <w:color w:val="auto"/>
              </w:rPr>
              <w:t>2021</w:t>
            </w:r>
          </w:p>
        </w:tc>
        <w:tc>
          <w:tcPr>
            <w:tcW w:w="720" w:type="dxa"/>
            <w:vAlign w:val="bottom"/>
            <w:tcBorders>
              <w:top w:val="single" w:sz="8" w:color="auto"/>
            </w:tcBorders>
            <w:gridSpan w:val="2"/>
            <w:vMerge w:val="restart"/>
          </w:tcPr>
          <w:p>
            <w:pPr>
              <w:jc w:val="right"/>
              <w:ind w:right="118"/>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ind w:left="60"/>
              <w:spacing w:after="0" w:line="118" w:lineRule="exact"/>
              <w:rPr>
                <w:sz w:val="20"/>
                <w:szCs w:val="20"/>
                <w:color w:val="auto"/>
              </w:rPr>
            </w:pPr>
            <w:r>
              <w:rPr>
                <w:rFonts w:ascii="Arial" w:cs="Arial" w:eastAsia="Arial" w:hAnsi="Arial"/>
                <w:sz w:val="12"/>
                <w:szCs w:val="12"/>
                <w:b w:val="1"/>
                <w:bCs w:val="1"/>
                <w:color w:val="auto"/>
              </w:rPr>
              <w:t>Increase/</w:t>
            </w:r>
          </w:p>
        </w:tc>
        <w:tc>
          <w:tcPr>
            <w:tcW w:w="580" w:type="dxa"/>
            <w:vAlign w:val="bottom"/>
            <w:tcBorders>
              <w:top w:val="single" w:sz="8" w:color="auto"/>
            </w:tcBorders>
          </w:tcPr>
          <w:p>
            <w:pPr>
              <w:jc w:val="right"/>
              <w:ind w:right="178"/>
              <w:spacing w:after="0" w:line="118"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52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50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48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11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8" w:lineRule="exact"/>
              <w:rPr>
                <w:sz w:val="20"/>
                <w:szCs w:val="20"/>
                <w:color w:val="auto"/>
              </w:rPr>
            </w:pPr>
            <w:r>
              <w:rPr>
                <w:rFonts w:ascii="Arial" w:cs="Arial" w:eastAsia="Arial" w:hAnsi="Arial"/>
                <w:sz w:val="12"/>
                <w:szCs w:val="12"/>
                <w:b w:val="1"/>
                <w:bCs w:val="1"/>
                <w:color w:val="auto"/>
              </w:rPr>
              <w:t>Increase/</w:t>
            </w:r>
          </w:p>
        </w:tc>
        <w:tc>
          <w:tcPr>
            <w:tcW w:w="620" w:type="dxa"/>
            <w:vAlign w:val="bottom"/>
            <w:tcBorders>
              <w:top w:val="single" w:sz="8" w:color="auto"/>
            </w:tcBorders>
          </w:tcPr>
          <w:p>
            <w:pPr>
              <w:jc w:val="right"/>
              <w:ind w:right="198"/>
              <w:spacing w:after="0" w:line="118"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(Decrease)</w:t>
            </w: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Change</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(Decrease)</w:t>
            </w: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gridSpan w:val="8"/>
          </w:tcPr>
          <w:p>
            <w:pPr>
              <w:ind w:left="40"/>
              <w:spacing w:after="0"/>
              <w:rPr>
                <w:sz w:val="20"/>
                <w:szCs w:val="20"/>
                <w:color w:val="auto"/>
              </w:rPr>
            </w:pPr>
            <w:r>
              <w:rPr>
                <w:rFonts w:ascii="Arial" w:cs="Arial" w:eastAsia="Arial" w:hAnsi="Arial"/>
                <w:sz w:val="12"/>
                <w:szCs w:val="12"/>
                <w:b w:val="1"/>
                <w:bCs w:val="1"/>
                <w:color w:val="auto"/>
              </w:rPr>
              <w:t>(dollars in thousands)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10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Rental Revenue:</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100" w:type="dxa"/>
            <w:vAlign w:val="bottom"/>
          </w:tcPr>
          <w:p>
            <w:pPr>
              <w:ind w:left="180"/>
              <w:spacing w:after="0" w:line="127" w:lineRule="exact"/>
              <w:rPr>
                <w:sz w:val="20"/>
                <w:szCs w:val="20"/>
                <w:color w:val="auto"/>
              </w:rPr>
            </w:pPr>
            <w:r>
              <w:rPr>
                <w:rFonts w:ascii="Arial" w:cs="Arial" w:eastAsia="Arial" w:hAnsi="Arial"/>
                <w:sz w:val="12"/>
                <w:szCs w:val="12"/>
                <w:color w:val="auto"/>
              </w:rPr>
              <w:t>Lease Revenue</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100" w:type="dxa"/>
            <w:vAlign w:val="bottom"/>
          </w:tcPr>
          <w:p>
            <w:pPr>
              <w:ind w:left="340"/>
              <w:spacing w:after="0" w:line="120" w:lineRule="exact"/>
              <w:rPr>
                <w:sz w:val="20"/>
                <w:szCs w:val="20"/>
                <w:color w:val="auto"/>
              </w:rPr>
            </w:pPr>
            <w:r>
              <w:rPr>
                <w:rFonts w:ascii="Arial" w:cs="Arial" w:eastAsia="Arial" w:hAnsi="Arial"/>
                <w:sz w:val="12"/>
                <w:szCs w:val="12"/>
                <w:color w:val="auto"/>
              </w:rPr>
              <w:t>(Excluding</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100" w:type="dxa"/>
            <w:vAlign w:val="bottom"/>
          </w:tcPr>
          <w:p>
            <w:pPr>
              <w:ind w:left="340"/>
              <w:spacing w:after="0" w:line="120" w:lineRule="exact"/>
              <w:rPr>
                <w:sz w:val="20"/>
                <w:szCs w:val="20"/>
                <w:color w:val="auto"/>
              </w:rPr>
            </w:pPr>
            <w:r>
              <w:rPr>
                <w:rFonts w:ascii="Arial" w:cs="Arial" w:eastAsia="Arial" w:hAnsi="Arial"/>
                <w:sz w:val="12"/>
                <w:szCs w:val="12"/>
                <w:color w:val="auto"/>
              </w:rPr>
              <w:t>Termination</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00" w:type="dxa"/>
            <w:vAlign w:val="bottom"/>
          </w:tcPr>
          <w:p>
            <w:pPr>
              <w:ind w:left="340"/>
              <w:spacing w:after="0"/>
              <w:rPr>
                <w:sz w:val="20"/>
                <w:szCs w:val="20"/>
                <w:color w:val="auto"/>
              </w:rPr>
            </w:pPr>
            <w:r>
              <w:rPr>
                <w:rFonts w:ascii="Arial" w:cs="Arial" w:eastAsia="Arial" w:hAnsi="Arial"/>
                <w:sz w:val="12"/>
                <w:szCs w:val="12"/>
                <w:color w:val="auto"/>
              </w:rPr>
              <w:t>Income)</w:t>
            </w:r>
          </w:p>
        </w:tc>
        <w:tc>
          <w:tcPr>
            <w:tcW w:w="640" w:type="dxa"/>
            <w:vAlign w:val="bottom"/>
          </w:tcPr>
          <w:p>
            <w:pPr>
              <w:jc w:val="right"/>
              <w:spacing w:after="0"/>
              <w:rPr>
                <w:sz w:val="20"/>
                <w:szCs w:val="20"/>
                <w:color w:val="auto"/>
              </w:rPr>
            </w:pPr>
            <w:r>
              <w:rPr>
                <w:rFonts w:ascii="Arial" w:cs="Arial" w:eastAsia="Arial" w:hAnsi="Arial"/>
                <w:sz w:val="12"/>
                <w:szCs w:val="12"/>
                <w:color w:val="auto"/>
              </w:rPr>
              <w:t>$ 656,819</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$ 605,044</w:t>
            </w:r>
          </w:p>
        </w:tc>
        <w:tc>
          <w:tcPr>
            <w:tcW w:w="80" w:type="dxa"/>
            <w:vAlign w:val="bottom"/>
          </w:tcPr>
          <w:p>
            <w:pPr>
              <w:spacing w:after="0"/>
              <w:rPr>
                <w:sz w:val="13"/>
                <w:szCs w:val="13"/>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51,775</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8.56 %</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1,041</w:t>
            </w:r>
          </w:p>
        </w:tc>
        <w:tc>
          <w:tcPr>
            <w:tcW w:w="80" w:type="dxa"/>
            <w:vAlign w:val="bottom"/>
          </w:tcPr>
          <w:p>
            <w:pPr>
              <w:spacing w:after="0"/>
              <w:rPr>
                <w:sz w:val="13"/>
                <w:szCs w:val="13"/>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200" w:type="dxa"/>
            <w:vAlign w:val="bottom"/>
          </w:tcPr>
          <w:p>
            <w:pPr>
              <w:jc w:val="right"/>
              <w:spacing w:after="0"/>
              <w:rPr>
                <w:sz w:val="20"/>
                <w:szCs w:val="20"/>
                <w:color w:val="auto"/>
              </w:rPr>
            </w:pPr>
            <w:r>
              <w:rPr>
                <w:rFonts w:ascii="Arial" w:cs="Arial" w:eastAsia="Arial" w:hAnsi="Arial"/>
                <w:sz w:val="12"/>
                <w:szCs w:val="12"/>
                <w:color w:val="auto"/>
                <w:w w:val="89"/>
              </w:rPr>
              <w:t>16</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$ 5,849</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(510)</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$ 2,904</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9"/>
              </w:rPr>
              <w:t>$ 4,932</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9"/>
              </w:rPr>
              <w:t>$ 2,493</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$ 8,084</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$ 669,106</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$ 617,566</w:t>
            </w:r>
          </w:p>
        </w:tc>
        <w:tc>
          <w:tcPr>
            <w:tcW w:w="8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51,540</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8.35 %</w:t>
            </w:r>
          </w:p>
        </w:tc>
        <w:tc>
          <w:tcPr>
            <w:tcW w:w="0" w:type="dxa"/>
            <w:vAlign w:val="bottom"/>
          </w:tcPr>
          <w:p>
            <w:pPr>
              <w:spacing w:after="0"/>
              <w:rPr>
                <w:sz w:val="1"/>
                <w:szCs w:val="1"/>
                <w:color w:val="auto"/>
              </w:rPr>
            </w:pPr>
          </w:p>
        </w:tc>
      </w:tr>
      <w:tr>
        <w:trPr>
          <w:trHeight w:val="136"/>
        </w:trPr>
        <w:tc>
          <w:tcPr>
            <w:tcW w:w="110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Termination</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Income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5,355</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3,264</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2,091</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64.06 %</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5,355</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3,309</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2,046</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61.83 %</w:t>
            </w:r>
          </w:p>
        </w:tc>
        <w:tc>
          <w:tcPr>
            <w:tcW w:w="0" w:type="dxa"/>
            <w:vAlign w:val="bottom"/>
          </w:tcPr>
          <w:p>
            <w:pPr>
              <w:spacing w:after="0"/>
              <w:rPr>
                <w:sz w:val="1"/>
                <w:szCs w:val="1"/>
                <w:color w:val="auto"/>
              </w:rPr>
            </w:pPr>
          </w:p>
        </w:tc>
      </w:tr>
      <w:tr>
        <w:trPr>
          <w:trHeight w:val="164"/>
        </w:trPr>
        <w:tc>
          <w:tcPr>
            <w:tcW w:w="1100" w:type="dxa"/>
            <w:vAlign w:val="bottom"/>
          </w:tcPr>
          <w:p>
            <w:pPr>
              <w:ind w:left="180"/>
              <w:spacing w:after="0"/>
              <w:rPr>
                <w:sz w:val="20"/>
                <w:szCs w:val="20"/>
                <w:color w:val="auto"/>
              </w:rPr>
            </w:pPr>
            <w:r>
              <w:rPr>
                <w:rFonts w:ascii="Arial" w:cs="Arial" w:eastAsia="Arial" w:hAnsi="Arial"/>
                <w:sz w:val="12"/>
                <w:szCs w:val="12"/>
                <w:color w:val="auto"/>
              </w:rPr>
              <w:t>Lease Revenue</w:t>
            </w:r>
          </w:p>
        </w:tc>
        <w:tc>
          <w:tcPr>
            <w:tcW w:w="640" w:type="dxa"/>
            <w:vAlign w:val="bottom"/>
          </w:tcPr>
          <w:p>
            <w:pPr>
              <w:jc w:val="right"/>
              <w:spacing w:after="0"/>
              <w:rPr>
                <w:sz w:val="20"/>
                <w:szCs w:val="20"/>
                <w:color w:val="auto"/>
              </w:rPr>
            </w:pPr>
            <w:r>
              <w:rPr>
                <w:rFonts w:ascii="Arial" w:cs="Arial" w:eastAsia="Arial" w:hAnsi="Arial"/>
                <w:sz w:val="12"/>
                <w:szCs w:val="12"/>
                <w:color w:val="auto"/>
              </w:rPr>
              <w:t>662,174</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608,308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53,866</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8.86 %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89"/>
              </w:rPr>
              <w:t>16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5,849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(510)</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2,904</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4,932</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2,493</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8,129</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674,461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620,875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53,586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8.63 %</w:t>
            </w:r>
          </w:p>
        </w:tc>
        <w:tc>
          <w:tcPr>
            <w:tcW w:w="0" w:type="dxa"/>
            <w:vAlign w:val="bottom"/>
          </w:tcPr>
          <w:p>
            <w:pPr>
              <w:spacing w:after="0"/>
              <w:rPr>
                <w:sz w:val="1"/>
                <w:szCs w:val="1"/>
                <w:color w:val="auto"/>
              </w:rPr>
            </w:pPr>
          </w:p>
        </w:tc>
      </w:tr>
      <w:tr>
        <w:trPr>
          <w:trHeight w:val="136"/>
        </w:trPr>
        <w:tc>
          <w:tcPr>
            <w:tcW w:w="110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Parking and</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Other</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13,549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3,847</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28.39 %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18,083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13,788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31.15 %</w:t>
            </w:r>
          </w:p>
        </w:tc>
        <w:tc>
          <w:tcPr>
            <w:tcW w:w="0" w:type="dxa"/>
            <w:vAlign w:val="bottom"/>
          </w:tcPr>
          <w:p>
            <w:pPr>
              <w:spacing w:after="0"/>
              <w:rPr>
                <w:sz w:val="1"/>
                <w:szCs w:val="1"/>
                <w:color w:val="auto"/>
              </w:rPr>
            </w:pPr>
          </w:p>
        </w:tc>
      </w:tr>
      <w:tr>
        <w:trPr>
          <w:trHeight w:val="107"/>
        </w:trPr>
        <w:tc>
          <w:tcPr>
            <w:tcW w:w="1100" w:type="dxa"/>
            <w:vAlign w:val="bottom"/>
          </w:tcPr>
          <w:p>
            <w:pPr>
              <w:ind w:left="20"/>
              <w:spacing w:after="0" w:line="107" w:lineRule="exact"/>
              <w:rPr>
                <w:sz w:val="20"/>
                <w:szCs w:val="20"/>
                <w:color w:val="auto"/>
              </w:rPr>
            </w:pPr>
            <w:r>
              <w:rPr>
                <w:rFonts w:ascii="Arial" w:cs="Arial" w:eastAsia="Arial" w:hAnsi="Arial"/>
                <w:sz w:val="12"/>
                <w:szCs w:val="12"/>
                <w:color w:val="auto"/>
              </w:rPr>
              <w:t>Total Rental</w:t>
            </w: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100" w:type="dxa"/>
            <w:vAlign w:val="bottom"/>
          </w:tcPr>
          <w:p>
            <w:pPr>
              <w:ind w:left="20"/>
              <w:spacing w:after="0"/>
              <w:rPr>
                <w:sz w:val="20"/>
                <w:szCs w:val="20"/>
                <w:color w:val="auto"/>
              </w:rPr>
            </w:pPr>
            <w:r>
              <w:rPr>
                <w:rFonts w:ascii="Arial" w:cs="Arial" w:eastAsia="Arial" w:hAnsi="Arial"/>
                <w:sz w:val="12"/>
                <w:szCs w:val="12"/>
                <w:color w:val="auto"/>
              </w:rPr>
              <w:t>Revenue (1)</w:t>
            </w:r>
          </w:p>
        </w:tc>
        <w:tc>
          <w:tcPr>
            <w:tcW w:w="640" w:type="dxa"/>
            <w:vAlign w:val="bottom"/>
          </w:tcPr>
          <w:p>
            <w:pPr>
              <w:jc w:val="right"/>
              <w:spacing w:after="0"/>
              <w:rPr>
                <w:sz w:val="20"/>
                <w:szCs w:val="20"/>
                <w:color w:val="auto"/>
              </w:rPr>
            </w:pPr>
            <w:r>
              <w:rPr>
                <w:rFonts w:ascii="Arial" w:cs="Arial" w:eastAsia="Arial" w:hAnsi="Arial"/>
                <w:sz w:val="12"/>
                <w:szCs w:val="12"/>
                <w:color w:val="auto"/>
              </w:rPr>
              <w:t>679,570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621,857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57,713</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9.28 %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89"/>
              </w:rPr>
              <w:t>16</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5,852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(504)</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3,105</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4,932</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2,800</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8,362</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692,544</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634,663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57,881</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9.12 %</w:t>
            </w:r>
          </w:p>
        </w:tc>
        <w:tc>
          <w:tcPr>
            <w:tcW w:w="0" w:type="dxa"/>
            <w:vAlign w:val="bottom"/>
          </w:tcPr>
          <w:p>
            <w:pPr>
              <w:spacing w:after="0"/>
              <w:rPr>
                <w:sz w:val="1"/>
                <w:szCs w:val="1"/>
                <w:color w:val="auto"/>
              </w:rPr>
            </w:pPr>
          </w:p>
        </w:tc>
      </w:tr>
      <w:tr>
        <w:trPr>
          <w:trHeight w:val="136"/>
        </w:trPr>
        <w:tc>
          <w:tcPr>
            <w:tcW w:w="110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Real Estate</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10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Operating</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237,923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229,685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3,077</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242,775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235,822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2.95 %</w:t>
            </w:r>
          </w:p>
        </w:tc>
        <w:tc>
          <w:tcPr>
            <w:tcW w:w="0" w:type="dxa"/>
            <w:vAlign w:val="bottom"/>
          </w:tcPr>
          <w:p>
            <w:pPr>
              <w:spacing w:after="0"/>
              <w:rPr>
                <w:sz w:val="1"/>
                <w:szCs w:val="1"/>
                <w:color w:val="auto"/>
              </w:rPr>
            </w:pPr>
          </w:p>
        </w:tc>
      </w:tr>
      <w:tr>
        <w:trPr>
          <w:trHeight w:val="107"/>
        </w:trPr>
        <w:tc>
          <w:tcPr>
            <w:tcW w:w="1100" w:type="dxa"/>
            <w:vAlign w:val="bottom"/>
          </w:tcPr>
          <w:p>
            <w:pPr>
              <w:ind w:left="20"/>
              <w:spacing w:after="0" w:line="107" w:lineRule="exact"/>
              <w:rPr>
                <w:sz w:val="20"/>
                <w:szCs w:val="20"/>
                <w:color w:val="auto"/>
              </w:rPr>
            </w:pPr>
            <w:r>
              <w:rPr>
                <w:rFonts w:ascii="Arial" w:cs="Arial" w:eastAsia="Arial" w:hAnsi="Arial"/>
                <w:sz w:val="12"/>
                <w:szCs w:val="12"/>
                <w:color w:val="auto"/>
              </w:rPr>
              <w:t>Net Operating</w:t>
            </w: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100" w:type="dxa"/>
            <w:vAlign w:val="bottom"/>
          </w:tcPr>
          <w:p>
            <w:pPr>
              <w:ind w:left="180"/>
              <w:spacing w:after="0" w:line="120" w:lineRule="exact"/>
              <w:rPr>
                <w:sz w:val="20"/>
                <w:szCs w:val="20"/>
                <w:color w:val="auto"/>
              </w:rPr>
            </w:pPr>
            <w:r>
              <w:rPr>
                <w:rFonts w:ascii="Arial" w:cs="Arial" w:eastAsia="Arial" w:hAnsi="Arial"/>
                <w:sz w:val="12"/>
                <w:szCs w:val="12"/>
                <w:color w:val="auto"/>
              </w:rPr>
              <w:t>Income (Loss),</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100" w:type="dxa"/>
            <w:vAlign w:val="bottom"/>
          </w:tcPr>
          <w:p>
            <w:pPr>
              <w:ind w:left="180"/>
              <w:spacing w:after="0" w:line="120" w:lineRule="exact"/>
              <w:rPr>
                <w:sz w:val="20"/>
                <w:szCs w:val="20"/>
                <w:color w:val="auto"/>
              </w:rPr>
            </w:pPr>
            <w:r>
              <w:rPr>
                <w:rFonts w:ascii="Arial" w:cs="Arial" w:eastAsia="Arial" w:hAnsi="Arial"/>
                <w:sz w:val="12"/>
                <w:szCs w:val="12"/>
                <w:color w:val="auto"/>
              </w:rPr>
              <w:t>Excluding</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100" w:type="dxa"/>
            <w:vAlign w:val="bottom"/>
          </w:tcPr>
          <w:p>
            <w:pPr>
              <w:ind w:left="180"/>
              <w:spacing w:after="0" w:line="120" w:lineRule="exact"/>
              <w:rPr>
                <w:sz w:val="20"/>
                <w:szCs w:val="20"/>
                <w:color w:val="auto"/>
              </w:rPr>
            </w:pPr>
            <w:r>
              <w:rPr>
                <w:rFonts w:ascii="Arial" w:cs="Arial" w:eastAsia="Arial" w:hAnsi="Arial"/>
                <w:sz w:val="12"/>
                <w:szCs w:val="12"/>
                <w:color w:val="auto"/>
              </w:rPr>
              <w:t>Residential and</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00" w:type="dxa"/>
            <w:vAlign w:val="bottom"/>
          </w:tcPr>
          <w:p>
            <w:pPr>
              <w:ind w:left="180"/>
              <w:spacing w:after="0"/>
              <w:rPr>
                <w:sz w:val="20"/>
                <w:szCs w:val="20"/>
                <w:color w:val="auto"/>
              </w:rPr>
            </w:pPr>
            <w:r>
              <w:rPr>
                <w:rFonts w:ascii="Arial" w:cs="Arial" w:eastAsia="Arial" w:hAnsi="Arial"/>
                <w:sz w:val="12"/>
                <w:szCs w:val="12"/>
                <w:color w:val="auto"/>
              </w:rPr>
              <w:t>Hotel</w:t>
            </w:r>
          </w:p>
        </w:tc>
        <w:tc>
          <w:tcPr>
            <w:tcW w:w="640" w:type="dxa"/>
            <w:vAlign w:val="bottom"/>
          </w:tcPr>
          <w:p>
            <w:pPr>
              <w:jc w:val="right"/>
              <w:spacing w:after="0"/>
              <w:rPr>
                <w:sz w:val="20"/>
                <w:szCs w:val="20"/>
                <w:color w:val="auto"/>
              </w:rPr>
            </w:pPr>
            <w:r>
              <w:rPr>
                <w:rFonts w:ascii="Arial" w:cs="Arial" w:eastAsia="Arial" w:hAnsi="Arial"/>
                <w:sz w:val="12"/>
                <w:szCs w:val="12"/>
                <w:color w:val="auto"/>
              </w:rPr>
              <w:t>441,647</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392,172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49,475</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12.62 %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89"/>
              </w:rPr>
              <w:t>15</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4,411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9"/>
              </w:rPr>
              <w:t>(1,517)</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1,350</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2,886</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1,823</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5,285</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449,769</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398,841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50,928</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12.77 %</w:t>
            </w:r>
          </w:p>
        </w:tc>
        <w:tc>
          <w:tcPr>
            <w:tcW w:w="0" w:type="dxa"/>
            <w:vAlign w:val="bottom"/>
          </w:tcPr>
          <w:p>
            <w:pPr>
              <w:spacing w:after="0"/>
              <w:rPr>
                <w:sz w:val="1"/>
                <w:szCs w:val="1"/>
                <w:color w:val="auto"/>
              </w:rPr>
            </w:pPr>
          </w:p>
        </w:tc>
      </w:tr>
      <w:tr>
        <w:trPr>
          <w:trHeight w:val="136"/>
        </w:trPr>
        <w:tc>
          <w:tcPr>
            <w:tcW w:w="110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Residential Net</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1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Operating</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1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Income (Loss)</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5,437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(29.46)%</w:t>
            </w:r>
          </w:p>
        </w:tc>
        <w:tc>
          <w:tcPr>
            <w:tcW w:w="0" w:type="dxa"/>
            <w:vAlign w:val="bottom"/>
          </w:tcPr>
          <w:p>
            <w:pPr>
              <w:spacing w:after="0"/>
              <w:rPr>
                <w:sz w:val="1"/>
                <w:szCs w:val="1"/>
                <w:color w:val="auto"/>
              </w:rPr>
            </w:pPr>
          </w:p>
        </w:tc>
      </w:tr>
      <w:tr>
        <w:trPr>
          <w:trHeight w:val="127"/>
        </w:trPr>
        <w:tc>
          <w:tcPr>
            <w:tcW w:w="1100" w:type="dxa"/>
            <w:vAlign w:val="bottom"/>
          </w:tcPr>
          <w:p>
            <w:pPr>
              <w:ind w:left="20"/>
              <w:spacing w:after="0" w:line="127" w:lineRule="exact"/>
              <w:rPr>
                <w:sz w:val="20"/>
                <w:szCs w:val="20"/>
                <w:color w:val="auto"/>
              </w:rPr>
            </w:pPr>
            <w:r>
              <w:rPr>
                <w:rFonts w:ascii="Arial" w:cs="Arial" w:eastAsia="Arial" w:hAnsi="Arial"/>
                <w:sz w:val="12"/>
                <w:szCs w:val="12"/>
                <w:color w:val="auto"/>
              </w:rPr>
              <w:t>Hotel Net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100" w:type="dxa"/>
            <w:vAlign w:val="bottom"/>
          </w:tcPr>
          <w:p>
            <w:pPr>
              <w:ind w:left="180"/>
              <w:spacing w:after="0" w:line="120" w:lineRule="exact"/>
              <w:rPr>
                <w:sz w:val="20"/>
                <w:szCs w:val="20"/>
                <w:color w:val="auto"/>
              </w:rPr>
            </w:pPr>
            <w:r>
              <w:rPr>
                <w:rFonts w:ascii="Arial" w:cs="Arial" w:eastAsia="Arial" w:hAnsi="Arial"/>
                <w:sz w:val="12"/>
                <w:szCs w:val="12"/>
                <w:color w:val="auto"/>
              </w:rPr>
              <w:t>Operating Loss</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00" w:type="dxa"/>
            <w:vAlign w:val="bottom"/>
          </w:tcPr>
          <w:p>
            <w:pPr>
              <w:ind w:left="180"/>
              <w:spacing w:after="0"/>
              <w:rPr>
                <w:sz w:val="20"/>
                <w:szCs w:val="20"/>
                <w:color w:val="auto"/>
              </w:rPr>
            </w:pPr>
            <w:r>
              <w:rPr>
                <w:rFonts w:ascii="Arial" w:cs="Arial" w:eastAsia="Arial" w:hAnsi="Arial"/>
                <w:sz w:val="12"/>
                <w:szCs w:val="12"/>
                <w:color w:val="auto"/>
              </w:rPr>
              <w:t>(2)</w:t>
            </w:r>
          </w:p>
        </w:tc>
        <w:tc>
          <w:tcPr>
            <w:tcW w:w="640" w:type="dxa"/>
            <w:vAlign w:val="bottom"/>
          </w:tcPr>
          <w:p>
            <w:pPr>
              <w:jc w:val="right"/>
              <w:spacing w:after="0"/>
              <w:rPr>
                <w:sz w:val="20"/>
                <w:szCs w:val="20"/>
                <w:color w:val="auto"/>
              </w:rPr>
            </w:pPr>
            <w:r>
              <w:rPr>
                <w:rFonts w:ascii="Arial" w:cs="Arial" w:eastAsia="Arial" w:hAnsi="Arial"/>
                <w:sz w:val="12"/>
                <w:szCs w:val="12"/>
                <w:color w:val="auto"/>
              </w:rPr>
              <w:t>(435)</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(1,874)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1,439</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76.79 %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(435)</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(1,874)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1,439</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76.79 %</w:t>
            </w:r>
          </w:p>
        </w:tc>
        <w:tc>
          <w:tcPr>
            <w:tcW w:w="0" w:type="dxa"/>
            <w:vAlign w:val="bottom"/>
          </w:tcPr>
          <w:p>
            <w:pPr>
              <w:spacing w:after="0"/>
              <w:rPr>
                <w:sz w:val="1"/>
                <w:szCs w:val="1"/>
                <w:color w:val="auto"/>
              </w:rPr>
            </w:pPr>
          </w:p>
        </w:tc>
      </w:tr>
      <w:tr>
        <w:trPr>
          <w:trHeight w:val="114"/>
        </w:trPr>
        <w:tc>
          <w:tcPr>
            <w:tcW w:w="1100" w:type="dxa"/>
            <w:vAlign w:val="bottom"/>
            <w:tcBorders>
              <w:top w:val="single" w:sz="8" w:color="CCEEFF"/>
            </w:tcBorders>
            <w:shd w:val="clear" w:color="auto" w:fill="CCEEFF"/>
          </w:tcPr>
          <w:p>
            <w:pPr>
              <w:ind w:left="20"/>
              <w:spacing w:after="0" w:line="114" w:lineRule="exact"/>
              <w:rPr>
                <w:sz w:val="20"/>
                <w:szCs w:val="20"/>
                <w:color w:val="auto"/>
              </w:rPr>
            </w:pPr>
            <w:r>
              <w:rPr>
                <w:rFonts w:ascii="Arial" w:cs="Arial" w:eastAsia="Arial" w:hAnsi="Arial"/>
                <w:sz w:val="12"/>
                <w:szCs w:val="12"/>
                <w:color w:val="auto"/>
              </w:rPr>
              <w:t>Net Operating</w:t>
            </w: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1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(Loss)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$ 445,901</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$ 395,735</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50,166</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12.68 %</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538</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15</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$ 3,557</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(1,517)</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$ 1,350</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$ 2,886</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$ 1,823</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$ 5,285</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$ 453,169</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$ 402,404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50,765</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12.62 %</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1" w:lineRule="exact"/>
        <w:rPr>
          <w:sz w:val="20"/>
          <w:szCs w:val="20"/>
          <w:color w:val="auto"/>
        </w:rPr>
      </w:pPr>
    </w:p>
    <w:p>
      <w:pPr>
        <w:ind w:left="640" w:right="20" w:hanging="315"/>
        <w:spacing w:after="0" w:line="237" w:lineRule="auto"/>
        <w:tabs>
          <w:tab w:leader="none" w:pos="6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2" w:lineRule="exact"/>
        <w:rPr>
          <w:rFonts w:ascii="Arial" w:cs="Arial" w:eastAsia="Arial" w:hAnsi="Arial"/>
          <w:sz w:val="14"/>
          <w:szCs w:val="14"/>
          <w:color w:val="auto"/>
        </w:rPr>
      </w:pPr>
    </w:p>
    <w:p>
      <w:pPr>
        <w:ind w:left="640" w:hanging="315"/>
        <w:spacing w:after="0" w:line="242" w:lineRule="auto"/>
        <w:tabs>
          <w:tab w:leader="none" w:pos="6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59. Residential Net Operating Income for the three months ended June 30, 2021 and 2020 is comprised of Residential Revenue of $9,763 and $9,402 less Residential Expenses of $5,928 and $3,965, respectively. Hotel Net Operating Income for the three months ended June 30, 2021 and 2020 is comprised of Hotel Revenue of $1,561 and $99 less Hotel Expenses of $1,996 and $1,973, respectively, per the Consolidated Statements of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Same Property Portfolio</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 Revenue (Excluding Termination Income)</w:t>
      </w:r>
    </w:p>
    <w:p>
      <w:pPr>
        <w:spacing w:after="0" w:line="121" w:lineRule="exact"/>
        <w:rPr>
          <w:sz w:val="20"/>
          <w:szCs w:val="20"/>
          <w:color w:val="auto"/>
        </w:rPr>
      </w:pPr>
    </w:p>
    <w:p>
      <w:pPr>
        <w:ind w:right="240" w:firstLine="439"/>
        <w:spacing w:after="0" w:line="268" w:lineRule="auto"/>
        <w:rPr>
          <w:sz w:val="20"/>
          <w:szCs w:val="20"/>
          <w:color w:val="auto"/>
        </w:rPr>
      </w:pPr>
      <w:r>
        <w:rPr>
          <w:rFonts w:ascii="Arial" w:cs="Arial" w:eastAsia="Arial" w:hAnsi="Arial"/>
          <w:sz w:val="17"/>
          <w:szCs w:val="17"/>
          <w:color w:val="auto"/>
        </w:rPr>
        <w:t>Lease revenue from the Same Property Portfolio increased by approximately $51.8 million for the three months ended June 30, 2021 compared to 2020. Approximately $50.3 million of the increase was related to write-offs, which are discussed below. Excluding the write-offs, the remaining increase was a result of our average revenue per square foot increasing by approximately $2.23, contributing approximately $19.1 million, partially offset by an approximately $17.6 million decrease due to our average occupancy decreasing from 93.7% to 91.2%.</w:t>
      </w:r>
    </w:p>
    <w:p>
      <w:pPr>
        <w:spacing w:after="0" w:line="137"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Under ASC 842, any write-off for bad debt, including accrued rent, is recorded as a reduction to lease revenue. As a result, during the three months ended June 30, 2021, for our Same Property Portfolio, we wrote off approximately $0.5 million and $0.3 million of accrued rent and accounts receivable balances, respectively. During the three months ended June 30, 2020, for our Same Property Portfolio, we wrote off approximately $33.7 million and $17.4 million of accrued rent and accounts receivable balances, respectively. These write-offs were for tenants, primarily in the retail sector, that either terminated their leases or we determined that their accrued rent and/or accounts receivable balances were no longer probable of collection.</w:t>
      </w:r>
    </w:p>
    <w:p>
      <w:pPr>
        <w:spacing w:after="0" w:line="158" w:lineRule="exact"/>
        <w:rPr>
          <w:sz w:val="20"/>
          <w:szCs w:val="20"/>
          <w:color w:val="auto"/>
        </w:rPr>
      </w:pPr>
    </w:p>
    <w:p>
      <w:pPr>
        <w:ind w:right="120" w:firstLine="439"/>
        <w:spacing w:after="0" w:line="248" w:lineRule="auto"/>
        <w:rPr>
          <w:sz w:val="20"/>
          <w:szCs w:val="20"/>
          <w:color w:val="auto"/>
        </w:rPr>
      </w:pPr>
      <w:r>
        <w:rPr>
          <w:rFonts w:ascii="Arial" w:cs="Arial" w:eastAsia="Arial" w:hAnsi="Arial"/>
          <w:sz w:val="18"/>
          <w:szCs w:val="18"/>
          <w:color w:val="auto"/>
        </w:rPr>
        <w:t>Each quarter since the second quarter of 2020, the number of executed COVID-19 lease modifications has decreased. We expect the volume of lease modifications to further decrease as the economy recovers. However, the degree to which our tenants’ businesses have been negatively impacted by COVID-19 and any resulting downturn in their business may leave some tenants still unable to meet their rental payment obligations and result in a reduction in our cash flows.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 Income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Termination income increased by approximately $2.1 million for the three months ended June 30, 2021 compared to 2020.</w:t>
      </w:r>
    </w:p>
    <w:p>
      <w:pPr>
        <w:spacing w:after="0" w:line="165" w:lineRule="exact"/>
        <w:rPr>
          <w:sz w:val="20"/>
          <w:szCs w:val="20"/>
          <w:color w:val="auto"/>
        </w:rPr>
      </w:pPr>
    </w:p>
    <w:p>
      <w:pPr>
        <w:ind w:right="520" w:firstLine="439"/>
        <w:spacing w:after="0" w:line="252" w:lineRule="auto"/>
        <w:rPr>
          <w:sz w:val="20"/>
          <w:szCs w:val="20"/>
          <w:color w:val="auto"/>
        </w:rPr>
      </w:pPr>
      <w:r>
        <w:rPr>
          <w:rFonts w:ascii="Arial" w:cs="Arial" w:eastAsia="Arial" w:hAnsi="Arial"/>
          <w:sz w:val="18"/>
          <w:szCs w:val="18"/>
          <w:color w:val="auto"/>
        </w:rPr>
        <w:t>Termination income for the three months ended June 30, 2021 related to 13 tenants across the Same Property Portfolio and totaled approximately $5.4 million, which was primarily related to tenants that terminated leases early in New York City.</w:t>
      </w:r>
    </w:p>
    <w:p>
      <w:pPr>
        <w:spacing w:after="0" w:line="150" w:lineRule="exact"/>
        <w:rPr>
          <w:sz w:val="20"/>
          <w:szCs w:val="20"/>
          <w:color w:val="auto"/>
        </w:rPr>
      </w:pPr>
    </w:p>
    <w:p>
      <w:pPr>
        <w:ind w:right="520" w:firstLine="439"/>
        <w:spacing w:after="0" w:line="252" w:lineRule="auto"/>
        <w:rPr>
          <w:sz w:val="20"/>
          <w:szCs w:val="20"/>
          <w:color w:val="auto"/>
        </w:rPr>
      </w:pPr>
      <w:r>
        <w:rPr>
          <w:rFonts w:ascii="Arial" w:cs="Arial" w:eastAsia="Arial" w:hAnsi="Arial"/>
          <w:sz w:val="18"/>
          <w:szCs w:val="18"/>
          <w:color w:val="auto"/>
        </w:rPr>
        <w:t>Termination income for the three months ended June 30, 2020 related to 17 tenants across the Same Property Portfolio and totaled approximately $3.3 million, which was primarily related to tenants that terminated leases early in New York City.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Parking and Other Revenue</w:t>
      </w:r>
    </w:p>
    <w:p>
      <w:pPr>
        <w:spacing w:after="0" w:line="108"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Parking and other revenue increased by approximately $3.8 million for the three months ended June 30, 2021 compared to 2020. Parking revenue increased by approximately $4.3 million while other revenue decreased by approximately $0.5 million. The increase in parking revenue was primarily due to an increase in transient parking.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121" w:lineRule="exact"/>
        <w:rPr>
          <w:sz w:val="20"/>
          <w:szCs w:val="20"/>
          <w:color w:val="auto"/>
        </w:rPr>
      </w:pPr>
    </w:p>
    <w:p>
      <w:pPr>
        <w:ind w:right="20" w:firstLine="439"/>
        <w:spacing w:after="0" w:line="248" w:lineRule="auto"/>
        <w:rPr>
          <w:sz w:val="20"/>
          <w:szCs w:val="20"/>
          <w:color w:val="auto"/>
        </w:rPr>
      </w:pPr>
      <w:r>
        <w:rPr>
          <w:rFonts w:ascii="Arial" w:cs="Arial" w:eastAsia="Arial" w:hAnsi="Arial"/>
          <w:sz w:val="18"/>
          <w:szCs w:val="18"/>
          <w:color w:val="auto"/>
        </w:rPr>
        <w:t>Real estate operating expenses from the Same Property Portfolio increased by approximately $8.2 million, or 3.6%, for the three months ended June 30, 2021 compared to 2020, due primarily to increases in utility and other real estate operating expenses of approximately $3.7 million, or 21.2%, and $4.5 million, or 2.1%, respectively. The increase in utility expense was experienced across the portfolio and was primarily driven by an increase in physical tenant occupancy, which led to higher demand for electricity and HVAC.</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Acquired Portfolio</w:t>
      </w:r>
    </w:p>
    <w:p>
      <w:pPr>
        <w:spacing w:after="0" w:line="108" w:lineRule="exact"/>
        <w:rPr>
          <w:sz w:val="20"/>
          <w:szCs w:val="20"/>
          <w:color w:val="auto"/>
        </w:rPr>
      </w:pPr>
    </w:p>
    <w:p>
      <w:pPr>
        <w:ind w:right="80" w:firstLine="439"/>
        <w:spacing w:after="0" w:line="249" w:lineRule="auto"/>
        <w:rPr>
          <w:sz w:val="20"/>
          <w:szCs w:val="20"/>
          <w:color w:val="auto"/>
        </w:rPr>
      </w:pPr>
      <w:r>
        <w:rPr>
          <w:rFonts w:ascii="Arial" w:cs="Arial" w:eastAsia="Arial" w:hAnsi="Arial"/>
          <w:sz w:val="18"/>
          <w:szCs w:val="18"/>
          <w:color w:val="auto"/>
        </w:rPr>
        <w:t>The table below lists the properties acquired between April 1, 2020 and June 30, 2021. Rental revenue and real estate operating expenses increased by approximately $1.2 million and $0.7 million, respectively, for the three months ended June 30, 2021 compared to 2020, as detailed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right"/>
              <w:ind w:right="29"/>
              <w:spacing w:after="0"/>
              <w:rPr>
                <w:sz w:val="20"/>
                <w:szCs w:val="20"/>
                <w:color w:val="auto"/>
              </w:rPr>
            </w:pPr>
            <w:r>
              <w:rPr>
                <w:rFonts w:ascii="Arial" w:cs="Arial" w:eastAsia="Arial" w:hAnsi="Arial"/>
                <w:sz w:val="13"/>
                <w:szCs w:val="13"/>
                <w:b w:val="1"/>
                <w:bCs w:val="1"/>
                <w:color w:val="auto"/>
              </w:rPr>
              <w:t>Rental Revenue</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3"/>
                <w:szCs w:val="13"/>
                <w:b w:val="1"/>
                <w:bCs w:val="1"/>
                <w:color w:val="auto"/>
              </w:rPr>
              <w:t>Real Estate Operating Expenses</w:t>
            </w:r>
          </w:p>
        </w:tc>
      </w:tr>
      <w:tr>
        <w:trPr>
          <w:trHeight w:val="246"/>
        </w:trPr>
        <w:tc>
          <w:tcPr>
            <w:tcW w:w="280" w:type="dxa"/>
            <w:vAlign w:val="bottom"/>
          </w:tcPr>
          <w:p>
            <w:pPr>
              <w:spacing w:after="0"/>
              <w:rPr>
                <w:sz w:val="21"/>
                <w:szCs w:val="21"/>
                <w:color w:val="auto"/>
              </w:rPr>
            </w:pPr>
          </w:p>
        </w:tc>
        <w:tc>
          <w:tcPr>
            <w:tcW w:w="2700" w:type="dxa"/>
            <w:vAlign w:val="bottom"/>
            <w:gridSpan w:val="2"/>
          </w:tcPr>
          <w:p>
            <w:pPr>
              <w:ind w:left="980"/>
              <w:spacing w:after="0"/>
              <w:rPr>
                <w:sz w:val="20"/>
                <w:szCs w:val="20"/>
                <w:color w:val="auto"/>
              </w:rPr>
            </w:pPr>
            <w:r>
              <w:rPr>
                <w:rFonts w:ascii="Arial" w:cs="Arial" w:eastAsia="Arial" w:hAnsi="Arial"/>
                <w:sz w:val="13"/>
                <w:szCs w:val="13"/>
                <w:b w:val="1"/>
                <w:bCs w:val="1"/>
                <w:color w:val="auto"/>
              </w:rPr>
              <w:t>Name</w:t>
            </w:r>
          </w:p>
        </w:tc>
        <w:tc>
          <w:tcPr>
            <w:tcW w:w="1640" w:type="dxa"/>
            <w:vAlign w:val="bottom"/>
            <w:gridSpan w:val="2"/>
          </w:tcPr>
          <w:p>
            <w:pPr>
              <w:ind w:left="320"/>
              <w:spacing w:after="0"/>
              <w:rPr>
                <w:sz w:val="20"/>
                <w:szCs w:val="20"/>
                <w:color w:val="auto"/>
              </w:rPr>
            </w:pPr>
            <w:r>
              <w:rPr>
                <w:rFonts w:ascii="Arial" w:cs="Arial" w:eastAsia="Arial" w:hAnsi="Arial"/>
                <w:sz w:val="13"/>
                <w:szCs w:val="13"/>
                <w:b w:val="1"/>
                <w:bCs w:val="1"/>
                <w:color w:val="auto"/>
              </w:rPr>
              <w:t>Date acquired</w:t>
            </w: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21"/>
                <w:szCs w:val="21"/>
                <w:color w:val="auto"/>
              </w:rPr>
            </w:pPr>
          </w:p>
        </w:tc>
        <w:tc>
          <w:tcPr>
            <w:tcW w:w="640" w:type="dxa"/>
            <w:vAlign w:val="bottom"/>
          </w:tcPr>
          <w:p>
            <w:pPr>
              <w:jc w:val="right"/>
              <w:ind w:right="19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9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21"/>
                <w:szCs w:val="21"/>
                <w:color w:val="auto"/>
              </w:rPr>
            </w:pPr>
          </w:p>
        </w:tc>
        <w:tc>
          <w:tcPr>
            <w:tcW w:w="680" w:type="dxa"/>
            <w:vAlign w:val="bottom"/>
          </w:tcPr>
          <w:p>
            <w:pPr>
              <w:jc w:val="right"/>
              <w:ind w:right="21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15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3"/>
                <w:szCs w:val="13"/>
                <w:b w:val="1"/>
                <w:bCs w:val="1"/>
                <w:color w:val="auto"/>
              </w:rPr>
              <w:t>Change</w:t>
            </w:r>
          </w:p>
        </w:tc>
      </w:tr>
      <w:tr>
        <w:trPr>
          <w:trHeight w:val="181"/>
        </w:trPr>
        <w:tc>
          <w:tcPr>
            <w:tcW w:w="28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191"/>
        </w:trPr>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Harrison Street (1)</w:t>
            </w: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26, 2020</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607</w:t>
            </w:r>
          </w:p>
        </w:tc>
      </w:tr>
      <w:tr>
        <w:trPr>
          <w:trHeight w:val="186"/>
        </w:trPr>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153</w:t>
            </w:r>
          </w:p>
        </w:tc>
        <w:tc>
          <w:tcPr>
            <w:tcW w:w="2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&amp; 211 Second Avenue</w:t>
            </w:r>
          </w:p>
        </w:tc>
        <w:tc>
          <w:tcPr>
            <w:tcW w:w="1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June 4, 2021</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136,882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71</w:t>
            </w:r>
          </w:p>
        </w:tc>
      </w:tr>
      <w:tr>
        <w:trPr>
          <w:trHeight w:val="199"/>
        </w:trPr>
        <w:tc>
          <w:tcPr>
            <w:tcW w:w="2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136,882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678</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600" w:hanging="314"/>
        <w:spacing w:after="0" w:line="253" w:lineRule="auto"/>
        <w:tabs>
          <w:tab w:leader="none" w:pos="5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Formerly known as Fourth + Harrison and 425 Fourth Street and includes operating results for 759 Harrison Street, which was fully acquired on December 16, 2020.</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Properties Placed In-Service Portfolio</w:t>
      </w:r>
    </w:p>
    <w:p>
      <w:pPr>
        <w:spacing w:after="0" w:line="121" w:lineRule="exact"/>
        <w:rPr>
          <w:sz w:val="20"/>
          <w:szCs w:val="20"/>
          <w:color w:val="auto"/>
        </w:rPr>
      </w:pPr>
    </w:p>
    <w:p>
      <w:pPr>
        <w:ind w:right="20" w:firstLine="439"/>
        <w:spacing w:after="0" w:line="249" w:lineRule="auto"/>
        <w:rPr>
          <w:sz w:val="20"/>
          <w:szCs w:val="20"/>
          <w:color w:val="auto"/>
        </w:rPr>
      </w:pPr>
      <w:r>
        <w:rPr>
          <w:rFonts w:ascii="Arial" w:cs="Arial" w:eastAsia="Arial" w:hAnsi="Arial"/>
          <w:sz w:val="18"/>
          <w:szCs w:val="18"/>
          <w:color w:val="auto"/>
        </w:rPr>
        <w:t>The table below lists the properties that were placed in-service or partially placed in-service between April 1, 2020 and June 30, 2021. Rental revenue and real estate operating expenses from our Properties Placed In-Service Portfolio increased by approximately $7.0 million and $2.0 million, respectively, for the three months ended June 30, 2021 compared to 2020, as detailed below.</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Rental Revenue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250"/>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Quarter Initially</w:t>
            </w:r>
          </w:p>
        </w:tc>
        <w:tc>
          <w:tcPr>
            <w:tcW w:w="1440" w:type="dxa"/>
            <w:vAlign w:val="bottom"/>
            <w:gridSpan w:val="2"/>
          </w:tcPr>
          <w:p>
            <w:pPr>
              <w:ind w:left="24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5"/>
                <w:szCs w:val="15"/>
                <w:color w:val="auto"/>
              </w:rPr>
            </w:pPr>
          </w:p>
        </w:tc>
        <w:tc>
          <w:tcPr>
            <w:tcW w:w="64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5"/>
                <w:szCs w:val="15"/>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Placed In-Service</w:t>
            </w:r>
          </w:p>
        </w:tc>
        <w:tc>
          <w:tcPr>
            <w:tcW w:w="1440" w:type="dxa"/>
            <w:vAlign w:val="bottom"/>
            <w:gridSpan w:val="2"/>
          </w:tcPr>
          <w:p>
            <w:pPr>
              <w:ind w:left="12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98"/>
              </w:rPr>
              <w:t>Office</w:t>
            </w:r>
          </w:p>
        </w:tc>
        <w:tc>
          <w:tcPr>
            <w:tcW w:w="124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40" w:type="dxa"/>
            <w:vAlign w:val="bottom"/>
            <w:gridSpan w:val="4"/>
            <w:vMerge w:val="restart"/>
          </w:tcPr>
          <w:p>
            <w:pPr>
              <w:ind w:left="20"/>
              <w:spacing w:after="0"/>
              <w:rPr>
                <w:sz w:val="20"/>
                <w:szCs w:val="20"/>
                <w:color w:val="auto"/>
              </w:rPr>
            </w:pPr>
            <w:r>
              <w:rPr>
                <w:rFonts w:ascii="Arial" w:cs="Arial" w:eastAsia="Arial" w:hAnsi="Arial"/>
                <w:sz w:val="14"/>
                <w:szCs w:val="14"/>
                <w:color w:val="auto"/>
              </w:rPr>
              <w:t>20 CityPoint</w:t>
            </w:r>
          </w:p>
        </w:tc>
        <w:tc>
          <w:tcPr>
            <w:tcW w:w="100" w:type="dxa"/>
            <w:vAlign w:val="bottom"/>
          </w:tcPr>
          <w:p>
            <w:pPr>
              <w:spacing w:after="0"/>
              <w:rPr>
                <w:sz w:val="13"/>
                <w:szCs w:val="13"/>
                <w:color w:val="auto"/>
              </w:rPr>
            </w:pPr>
          </w:p>
        </w:tc>
        <w:tc>
          <w:tcPr>
            <w:tcW w:w="150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Second Quarter,</w:t>
            </w:r>
          </w:p>
        </w:tc>
        <w:tc>
          <w:tcPr>
            <w:tcW w:w="144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Second Quarter,</w:t>
            </w:r>
          </w:p>
        </w:tc>
        <w:tc>
          <w:tcPr>
            <w:tcW w:w="960" w:type="dxa"/>
            <w:vAlign w:val="bottom"/>
            <w:vMerge w:val="restart"/>
          </w:tcPr>
          <w:p>
            <w:pPr>
              <w:jc w:val="right"/>
              <w:ind w:right="10"/>
              <w:spacing w:after="0"/>
              <w:rPr>
                <w:sz w:val="20"/>
                <w:szCs w:val="20"/>
                <w:color w:val="auto"/>
              </w:rPr>
            </w:pPr>
            <w:r>
              <w:rPr>
                <w:rFonts w:ascii="Arial" w:cs="Arial" w:eastAsia="Arial" w:hAnsi="Arial"/>
                <w:sz w:val="14"/>
                <w:szCs w:val="14"/>
                <w:color w:val="auto"/>
              </w:rPr>
              <w:t>211,476</w:t>
            </w:r>
          </w:p>
        </w:tc>
        <w:tc>
          <w:tcPr>
            <w:tcW w:w="100" w:type="dxa"/>
            <w:vAlign w:val="bottom"/>
          </w:tcPr>
          <w:p>
            <w:pPr>
              <w:spacing w:after="0"/>
              <w:rPr>
                <w:sz w:val="13"/>
                <w:szCs w:val="13"/>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1,837</w:t>
            </w:r>
          </w:p>
        </w:tc>
        <w:tc>
          <w:tcPr>
            <w:tcW w:w="3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3"/>
                <w:szCs w:val="13"/>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3"/>
                <w:szCs w:val="13"/>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8"/>
        </w:trPr>
        <w:tc>
          <w:tcPr>
            <w:tcW w:w="1640" w:type="dxa"/>
            <w:vAlign w:val="bottom"/>
            <w:gridSpan w:val="4"/>
            <w:vMerge w:val="continue"/>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132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40" w:type="dxa"/>
            <w:vAlign w:val="bottom"/>
            <w:gridSpan w:val="4"/>
            <w:shd w:val="clear" w:color="auto" w:fill="CCEEFF"/>
          </w:tcPr>
          <w:p>
            <w:pPr>
              <w:ind w:left="20"/>
              <w:spacing w:after="0" w:line="151" w:lineRule="exact"/>
              <w:rPr>
                <w:sz w:val="20"/>
                <w:szCs w:val="20"/>
                <w:color w:val="auto"/>
              </w:rPr>
            </w:pPr>
            <w:r>
              <w:rPr>
                <w:rFonts w:ascii="Arial" w:cs="Arial" w:eastAsia="Arial" w:hAnsi="Arial"/>
                <w:sz w:val="14"/>
                <w:szCs w:val="14"/>
                <w:color w:val="auto"/>
              </w:rPr>
              <w:t>One Five Nine East 53rd</w:t>
            </w:r>
          </w:p>
        </w:tc>
        <w:tc>
          <w:tcPr>
            <w:tcW w:w="100" w:type="dxa"/>
            <w:vAlign w:val="bottom"/>
            <w:shd w:val="clear" w:color="auto" w:fill="CCEEFF"/>
          </w:tcPr>
          <w:p>
            <w:pPr>
              <w:spacing w:after="0"/>
              <w:rPr>
                <w:sz w:val="13"/>
                <w:szCs w:val="13"/>
                <w:color w:val="auto"/>
              </w:rPr>
            </w:pPr>
          </w:p>
        </w:tc>
        <w:tc>
          <w:tcPr>
            <w:tcW w:w="15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Quarter, 2021</w:t>
            </w: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Quarter, 2021</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220,000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6,294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Street (1)</w:t>
            </w:r>
          </w:p>
        </w:tc>
        <w:tc>
          <w:tcPr>
            <w:tcW w:w="100" w:type="dxa"/>
            <w:vAlign w:val="bottom"/>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64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Total Office</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431,476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5,852</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6,356</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620" w:type="dxa"/>
            <w:vAlign w:val="bottom"/>
            <w:gridSpan w:val="3"/>
          </w:tcPr>
          <w:p>
            <w:pPr>
              <w:spacing w:after="0" w:line="159" w:lineRule="exact"/>
              <w:rPr>
                <w:sz w:val="20"/>
                <w:szCs w:val="20"/>
                <w:color w:val="auto"/>
              </w:rPr>
            </w:pPr>
            <w:r>
              <w:rPr>
                <w:rFonts w:ascii="Arial" w:cs="Arial" w:eastAsia="Arial" w:hAnsi="Arial"/>
                <w:sz w:val="14"/>
                <w:szCs w:val="14"/>
                <w:color w:val="auto"/>
              </w:rPr>
              <w:t>Residential</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The Skylyne</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 Quarter, 2020</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 Quarter, 2020</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330,996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0" w:type="dxa"/>
            <w:vAlign w:val="bottom"/>
          </w:tcPr>
          <w:p>
            <w:pPr>
              <w:spacing w:after="0"/>
              <w:rPr>
                <w:sz w:val="1"/>
                <w:szCs w:val="1"/>
                <w:color w:val="auto"/>
              </w:rPr>
            </w:pPr>
          </w:p>
        </w:tc>
      </w:tr>
      <w:tr>
        <w:trPr>
          <w:trHeight w:val="179"/>
        </w:trPr>
        <w:tc>
          <w:tcPr>
            <w:tcW w:w="164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Total Residential</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330,996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762,472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6,542</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jc w:val="right"/>
        <w:ind w:left="560" w:hanging="314"/>
        <w:spacing w:after="0" w:line="286" w:lineRule="auto"/>
        <w:tabs>
          <w:tab w:leader="none" w:pos="4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This is the low-rise portion of 601 Lexington Avenue, which was in development for the three months ended June 30, 2020. Rental revenue for the three months ended June 30, 2020 includes an approximately $2.9 million write-off of accrued rent and accounts receivable balances for a terminated tenant.</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in Development or Redevelopment Portfolio</w:t>
      </w:r>
    </w:p>
    <w:p>
      <w:pPr>
        <w:spacing w:after="0" w:line="121" w:lineRule="exact"/>
        <w:rPr>
          <w:sz w:val="20"/>
          <w:szCs w:val="20"/>
          <w:color w:val="auto"/>
        </w:rPr>
      </w:pPr>
    </w:p>
    <w:p>
      <w:pPr>
        <w:ind w:right="20" w:firstLine="439"/>
        <w:spacing w:after="0" w:line="249" w:lineRule="auto"/>
        <w:rPr>
          <w:sz w:val="20"/>
          <w:szCs w:val="20"/>
          <w:color w:val="auto"/>
        </w:rPr>
      </w:pPr>
      <w:r>
        <w:rPr>
          <w:rFonts w:ascii="Arial" w:cs="Arial" w:eastAsia="Arial" w:hAnsi="Arial"/>
          <w:sz w:val="18"/>
          <w:szCs w:val="18"/>
          <w:color w:val="auto"/>
        </w:rPr>
        <w:t>The table below lists the properties that were in development or redevelopment between April 1, 2020 and June 30, 2021. Rental revenue and real estate operating expenses from our Properties in Development or Redevelopment Portfolio decreased by approximately $1.8 million and $0.3 million, respectively, for the three months ended June 30, 2021 compared to 2020.</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right"/>
              <w:ind w:right="370"/>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2"/>
          </w:tcPr>
          <w:p>
            <w:pPr>
              <w:jc w:val="center"/>
              <w:ind w:right="100"/>
              <w:spacing w:after="0" w:line="120" w:lineRule="exact"/>
              <w:rPr>
                <w:sz w:val="20"/>
                <w:szCs w:val="20"/>
                <w:color w:val="auto"/>
              </w:rPr>
            </w:pPr>
            <w:r>
              <w:rPr>
                <w:rFonts w:ascii="Arial" w:cs="Arial" w:eastAsia="Arial" w:hAnsi="Arial"/>
                <w:sz w:val="13"/>
                <w:szCs w:val="13"/>
                <w:b w:val="1"/>
                <w:bCs w:val="1"/>
                <w:color w:val="auto"/>
              </w:rPr>
              <w:t>Date Commenced</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2080" w:type="dxa"/>
            <w:vAlign w:val="bottom"/>
            <w:gridSpan w:val="2"/>
            <w:vMerge w:val="restart"/>
          </w:tcPr>
          <w:p>
            <w:pPr>
              <w:ind w:left="660"/>
              <w:spacing w:after="0"/>
              <w:rPr>
                <w:sz w:val="20"/>
                <w:szCs w:val="20"/>
                <w:color w:val="auto"/>
              </w:rPr>
            </w:pPr>
            <w:r>
              <w:rPr>
                <w:rFonts w:ascii="Arial" w:cs="Arial" w:eastAsia="Arial" w:hAnsi="Arial"/>
                <w:sz w:val="13"/>
                <w:szCs w:val="13"/>
                <w:b w:val="1"/>
                <w:bCs w:val="1"/>
                <w:color w:val="auto"/>
              </w:rPr>
              <w:t>Name</w:t>
            </w:r>
          </w:p>
        </w:tc>
        <w:tc>
          <w:tcPr>
            <w:tcW w:w="182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rPr>
              <w:t>Development /</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1"/>
                <w:szCs w:val="11"/>
                <w:color w:val="auto"/>
              </w:rPr>
            </w:pPr>
          </w:p>
        </w:tc>
        <w:tc>
          <w:tcPr>
            <w:tcW w:w="68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1"/>
                <w:szCs w:val="11"/>
                <w:color w:val="auto"/>
              </w:rPr>
            </w:pPr>
          </w:p>
        </w:tc>
        <w:tc>
          <w:tcPr>
            <w:tcW w:w="68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5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5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Redevelopment</w:t>
            </w: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325</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Main Street (1)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9, 2019</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6"/>
        </w:trPr>
        <w:tc>
          <w:tcPr>
            <w:tcW w:w="280" w:type="dxa"/>
            <w:vAlign w:val="bottom"/>
          </w:tcPr>
          <w:p>
            <w:pPr>
              <w:ind w:left="20"/>
              <w:spacing w:after="0"/>
              <w:rPr>
                <w:sz w:val="20"/>
                <w:szCs w:val="20"/>
                <w:color w:val="auto"/>
              </w:rPr>
            </w:pPr>
            <w:r>
              <w:rPr>
                <w:rFonts w:ascii="Arial" w:cs="Arial" w:eastAsia="Arial" w:hAnsi="Arial"/>
                <w:sz w:val="14"/>
                <w:szCs w:val="14"/>
                <w:color w:val="auto"/>
              </w:rPr>
              <w:t>200</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West Street (2)</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September 30, 2019</w:t>
            </w:r>
          </w:p>
        </w:tc>
        <w:tc>
          <w:tcPr>
            <w:tcW w:w="960" w:type="dxa"/>
            <w:vAlign w:val="bottom"/>
          </w:tcPr>
          <w:p>
            <w:pPr>
              <w:jc w:val="right"/>
              <w:spacing w:after="0"/>
              <w:rPr>
                <w:sz w:val="20"/>
                <w:szCs w:val="20"/>
                <w:color w:val="auto"/>
              </w:rPr>
            </w:pPr>
            <w:r>
              <w:rPr>
                <w:rFonts w:ascii="Arial" w:cs="Arial" w:eastAsia="Arial" w:hAnsi="Arial"/>
                <w:sz w:val="14"/>
                <w:szCs w:val="14"/>
                <w:color w:val="auto"/>
              </w:rPr>
              <w:t>261,000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1,647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6"/>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880</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Winter Street (3)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25, 2021</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6"/>
        </w:trPr>
        <w:tc>
          <w:tcPr>
            <w:tcW w:w="23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3625-3635 Peterson Way (4)</w:t>
            </w: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April 16, 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218,000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356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99"/>
        </w:trPr>
        <w:tc>
          <w:tcPr>
            <w:tcW w:w="2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3,105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hanging="314"/>
        <w:spacing w:after="0"/>
        <w:tabs>
          <w:tab w:leader="none" w:pos="5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Real estate operating expenses for the three months ended June 30, 2021 are related to demolition costs.</w:t>
      </w:r>
    </w:p>
    <w:p>
      <w:pPr>
        <w:spacing w:after="0" w:line="2" w:lineRule="exact"/>
        <w:rPr>
          <w:rFonts w:ascii="Arial" w:cs="Arial" w:eastAsia="Arial" w:hAnsi="Arial"/>
          <w:sz w:val="16"/>
          <w:szCs w:val="16"/>
          <w:color w:val="auto"/>
        </w:rPr>
      </w:pPr>
    </w:p>
    <w:p>
      <w:pPr>
        <w:ind w:left="560" w:hanging="314"/>
        <w:spacing w:after="0"/>
        <w:tabs>
          <w:tab w:leader="none" w:pos="5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Conversion of a 126,000 square foot portion of the property to life sciences space from office space.</w:t>
      </w:r>
    </w:p>
    <w:p>
      <w:pPr>
        <w:spacing w:after="0" w:line="2" w:lineRule="exact"/>
        <w:rPr>
          <w:rFonts w:ascii="Arial" w:cs="Arial" w:eastAsia="Arial" w:hAnsi="Arial"/>
          <w:sz w:val="16"/>
          <w:szCs w:val="16"/>
          <w:color w:val="auto"/>
        </w:rPr>
      </w:pPr>
    </w:p>
    <w:p>
      <w:pPr>
        <w:ind w:left="560" w:right="540" w:hanging="314"/>
        <w:spacing w:after="0" w:line="242" w:lineRule="auto"/>
        <w:tabs>
          <w:tab w:leader="none" w:pos="5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 February 25, 2021, we commenced the redevelopment and conversion of 880 Winter Street, a 224,000 square foot office property located in Waltham, Massachusetts, to laboratory space.</w:t>
      </w:r>
    </w:p>
    <w:p>
      <w:pPr>
        <w:spacing w:after="0" w:line="1" w:lineRule="exact"/>
        <w:rPr>
          <w:rFonts w:ascii="Arial" w:cs="Arial" w:eastAsia="Arial" w:hAnsi="Arial"/>
          <w:sz w:val="16"/>
          <w:szCs w:val="16"/>
          <w:color w:val="auto"/>
        </w:rPr>
      </w:pPr>
    </w:p>
    <w:p>
      <w:pPr>
        <w:ind w:left="560" w:right="280" w:hanging="314"/>
        <w:spacing w:after="0" w:line="253" w:lineRule="auto"/>
        <w:tabs>
          <w:tab w:leader="none" w:pos="5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 April 16, 2021, we removed 3625-3635 Peterson Way, located in Santa Clara, California, from our in-service portfolio. We intend to demolish the building and redevelop the site at a future date.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Sold Portfolio</w:t>
      </w:r>
    </w:p>
    <w:p>
      <w:pPr>
        <w:spacing w:after="0" w:line="108"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The table below lists the properties we sold between April 1, 2020 and June 30, 2021. Rental revenue and real estate operating expenses from our Properties Sold Portfolio decreased by approximately $5.6 million and $2.1 million, respectively, for the three months ended June 30, 2021 compared to 2020, as detailed below.</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71"/>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20"/>
        </w:trPr>
        <w:tc>
          <w:tcPr>
            <w:tcW w:w="190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Name</w:t>
            </w:r>
          </w:p>
        </w:tc>
        <w:tc>
          <w:tcPr>
            <w:tcW w:w="178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Date Sold</w:t>
            </w:r>
          </w:p>
        </w:tc>
        <w:tc>
          <w:tcPr>
            <w:tcW w:w="920" w:type="dxa"/>
            <w:vAlign w:val="bottom"/>
            <w:gridSpan w:val="2"/>
          </w:tcPr>
          <w:p>
            <w:pPr>
              <w:jc w:val="center"/>
              <w:ind w:right="120"/>
              <w:spacing w:after="0" w:line="120" w:lineRule="exact"/>
              <w:rPr>
                <w:sz w:val="20"/>
                <w:szCs w:val="20"/>
                <w:color w:val="auto"/>
              </w:rPr>
            </w:pPr>
            <w:r>
              <w:rPr>
                <w:rFonts w:ascii="Arial" w:cs="Arial" w:eastAsia="Arial" w:hAnsi="Arial"/>
                <w:sz w:val="13"/>
                <w:szCs w:val="13"/>
                <w:b w:val="1"/>
                <w:bCs w:val="1"/>
                <w:color w:val="auto"/>
              </w:rPr>
              <w:t>Property</w:t>
            </w: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0"/>
                <w:szCs w:val="10"/>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0"/>
                <w:szCs w:val="10"/>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11"/>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1"/>
        </w:trPr>
        <w:tc>
          <w:tcPr>
            <w:tcW w:w="19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Type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Capital Gallery (1)</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25, 2020</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631,000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8,362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3,077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79"/>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631,000</w:t>
            </w:r>
          </w:p>
        </w:tc>
        <w:tc>
          <w:tcPr>
            <w:tcW w:w="10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2,800</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8,362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(5,562)</w:t>
            </w:r>
          </w:p>
        </w:tc>
        <w:tc>
          <w:tcPr>
            <w:tcW w:w="12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3,077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60" w:hanging="314"/>
        <w:spacing w:after="0" w:line="246" w:lineRule="auto"/>
        <w:tabs>
          <w:tab w:leader="none" w:pos="5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completed the sale of a portion of our Capital Gallery property located in Washington, DC. Capital Gallery is an approximately 631,000 net rentable square foot Class A office property. The portion sold was comprised of approximately 455,000 net rentable square feet of commercial office space. We continue to own the land, underground parking garage and remaining commercial office and retail space. The amounts shown represent the entire property and not just the portion sold.</w:t>
      </w:r>
    </w:p>
    <w:p>
      <w:pPr>
        <w:spacing w:after="0" w:line="209" w:lineRule="exact"/>
        <w:rPr>
          <w:sz w:val="20"/>
          <w:szCs w:val="20"/>
          <w:color w:val="auto"/>
        </w:rPr>
      </w:pPr>
    </w:p>
    <w:p>
      <w:pPr>
        <w:ind w:right="40" w:firstLine="439"/>
        <w:spacing w:after="0" w:line="260" w:lineRule="auto"/>
        <w:rPr>
          <w:sz w:val="20"/>
          <w:szCs w:val="20"/>
          <w:color w:val="auto"/>
        </w:rPr>
      </w:pPr>
      <w:r>
        <w:rPr>
          <w:rFonts w:ascii="Arial" w:cs="Arial" w:eastAsia="Arial" w:hAnsi="Arial"/>
          <w:sz w:val="18"/>
          <w:szCs w:val="18"/>
          <w:color w:val="auto"/>
        </w:rPr>
        <w:t xml:space="preserve">For additional information on the sales of the above properties and land parcel refer to </w:t>
      </w:r>
      <w:r>
        <w:rPr>
          <w:rFonts w:ascii="Arial" w:cs="Arial" w:eastAsia="Arial" w:hAnsi="Arial"/>
          <w:sz w:val="18"/>
          <w:szCs w:val="18"/>
          <w:i w:val="1"/>
          <w:iCs w:val="1"/>
          <w:color w:val="auto"/>
        </w:rPr>
        <w:t>“Results of Operations—Other Income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Items - Losses on Sales of Real Estate” </w:t>
      </w:r>
      <w:r>
        <w:rPr>
          <w:rFonts w:ascii="Arial" w:cs="Arial" w:eastAsia="Arial" w:hAnsi="Arial"/>
          <w:sz w:val="18"/>
          <w:szCs w:val="18"/>
          <w:color w:val="auto"/>
        </w:rPr>
        <w:t>within</w:t>
      </w:r>
      <w:r>
        <w:rPr>
          <w:rFonts w:ascii="Arial" w:cs="Arial" w:eastAsia="Arial" w:hAnsi="Arial"/>
          <w:sz w:val="18"/>
          <w:szCs w:val="18"/>
          <w:i w:val="1"/>
          <w:iCs w:val="1"/>
          <w:color w:val="auto"/>
        </w:rPr>
        <w:t xml:space="preserve"> “Item 2—Management’s Discussion and Analysis of Financial Condition and Results of Operations.”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Residential Net Operating Income</w:t>
      </w:r>
    </w:p>
    <w:p>
      <w:pPr>
        <w:spacing w:after="0" w:line="121" w:lineRule="exact"/>
        <w:rPr>
          <w:sz w:val="20"/>
          <w:szCs w:val="20"/>
          <w:color w:val="auto"/>
        </w:rPr>
      </w:pPr>
    </w:p>
    <w:p>
      <w:pPr>
        <w:jc w:val="both"/>
        <w:ind w:right="260" w:firstLine="439"/>
        <w:spacing w:after="0" w:line="249" w:lineRule="auto"/>
        <w:rPr>
          <w:sz w:val="20"/>
          <w:szCs w:val="20"/>
          <w:color w:val="auto"/>
        </w:rPr>
      </w:pPr>
      <w:r>
        <w:rPr>
          <w:rFonts w:ascii="Arial" w:cs="Arial" w:eastAsia="Arial" w:hAnsi="Arial"/>
          <w:sz w:val="18"/>
          <w:szCs w:val="18"/>
          <w:color w:val="auto"/>
        </w:rPr>
        <w:t>Net operating income for our residential same properties decreased by approximately $0.7 million for the three months ended June 30, 2021 compared to 2020. Net operating income for the three months ended June 30, 2020 includes approximately $0.7 million of termination income from a retail tenant.</w:t>
      </w:r>
    </w:p>
    <w:p>
      <w:pPr>
        <w:spacing w:after="0" w:line="154" w:lineRule="exact"/>
        <w:rPr>
          <w:sz w:val="20"/>
          <w:szCs w:val="20"/>
          <w:color w:val="auto"/>
        </w:rPr>
      </w:pPr>
    </w:p>
    <w:p>
      <w:pPr>
        <w:ind w:right="120" w:firstLine="439"/>
        <w:spacing w:after="0" w:line="252" w:lineRule="auto"/>
        <w:rPr>
          <w:sz w:val="20"/>
          <w:szCs w:val="20"/>
          <w:color w:val="auto"/>
        </w:rPr>
      </w:pPr>
      <w:r>
        <w:rPr>
          <w:rFonts w:ascii="Arial" w:cs="Arial" w:eastAsia="Arial" w:hAnsi="Arial"/>
          <w:sz w:val="18"/>
          <w:szCs w:val="18"/>
          <w:color w:val="auto"/>
        </w:rPr>
        <w:t>The following reflects our occupancy and rate information for The Lofts at Atlantic Wharf, The Avant at Reston Town Center, Signature at Reston and Proto Kendall Square for the three months ended June 30, 2021 and 2020.</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315"/>
              <w:spacing w:after="0"/>
              <w:rPr>
                <w:sz w:val="20"/>
                <w:szCs w:val="20"/>
                <w:color w:val="auto"/>
              </w:rPr>
            </w:pPr>
            <w:r>
              <w:rPr>
                <w:rFonts w:ascii="Arial" w:cs="Arial" w:eastAsia="Arial" w:hAnsi="Arial"/>
                <w:sz w:val="12"/>
                <w:szCs w:val="12"/>
                <w:b w:val="1"/>
                <w:bCs w:val="1"/>
                <w:color w:val="auto"/>
              </w:rPr>
              <w:t>The Lofts at Atlantic Wharf</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ind w:left="60"/>
              <w:spacing w:after="0"/>
              <w:rPr>
                <w:sz w:val="20"/>
                <w:szCs w:val="20"/>
                <w:color w:val="auto"/>
              </w:rPr>
            </w:pPr>
            <w:r>
              <w:rPr>
                <w:rFonts w:ascii="Arial" w:cs="Arial" w:eastAsia="Arial" w:hAnsi="Arial"/>
                <w:sz w:val="12"/>
                <w:szCs w:val="12"/>
                <w:b w:val="1"/>
                <w:bCs w:val="1"/>
                <w:color w:val="auto"/>
              </w:rPr>
              <w:t>The Avant at Reston Town Center</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554"/>
              <w:spacing w:after="0"/>
              <w:rPr>
                <w:sz w:val="20"/>
                <w:szCs w:val="20"/>
                <w:color w:val="auto"/>
              </w:rPr>
            </w:pPr>
            <w:r>
              <w:rPr>
                <w:rFonts w:ascii="Arial" w:cs="Arial" w:eastAsia="Arial" w:hAnsi="Arial"/>
                <w:sz w:val="12"/>
                <w:szCs w:val="12"/>
                <w:b w:val="1"/>
                <w:bCs w:val="1"/>
                <w:color w:val="auto"/>
              </w:rPr>
              <w:t>Signature at Reston</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ind w:left="420"/>
              <w:spacing w:after="0"/>
              <w:rPr>
                <w:sz w:val="20"/>
                <w:szCs w:val="20"/>
                <w:color w:val="auto"/>
              </w:rPr>
            </w:pPr>
            <w:r>
              <w:rPr>
                <w:rFonts w:ascii="Arial" w:cs="Arial" w:eastAsia="Arial" w:hAnsi="Arial"/>
                <w:sz w:val="12"/>
                <w:szCs w:val="12"/>
                <w:b w:val="1"/>
                <w:bCs w:val="1"/>
                <w:color w:val="auto"/>
              </w:rPr>
              <w:t>Proto Kendall Square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660" w:type="dxa"/>
            <w:vAlign w:val="bottom"/>
          </w:tcPr>
          <w:p>
            <w:pPr>
              <w:jc w:val="right"/>
              <w:ind w:right="35"/>
              <w:spacing w:after="0" w:line="120" w:lineRule="exact"/>
              <w:rPr>
                <w:sz w:val="20"/>
                <w:szCs w:val="20"/>
                <w:color w:val="auto"/>
              </w:rPr>
            </w:pPr>
            <w:r>
              <w:rPr>
                <w:rFonts w:ascii="Arial" w:cs="Arial" w:eastAsia="Arial" w:hAnsi="Arial"/>
                <w:sz w:val="12"/>
                <w:szCs w:val="12"/>
                <w:b w:val="1"/>
                <w:bCs w:val="1"/>
                <w:color w:val="auto"/>
              </w:rPr>
              <w:t>Change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Change (%)</w:t>
            </w:r>
          </w:p>
        </w:tc>
        <w:tc>
          <w:tcPr>
            <w:tcW w:w="160" w:type="dxa"/>
            <w:vAlign w:val="bottom"/>
          </w:tcPr>
          <w:p>
            <w:pPr>
              <w:spacing w:after="0"/>
              <w:rPr>
                <w:sz w:val="10"/>
                <w:szCs w:val="10"/>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Change (%)</w:t>
            </w:r>
          </w:p>
        </w:tc>
        <w:tc>
          <w:tcPr>
            <w:tcW w:w="160" w:type="dxa"/>
            <w:vAlign w:val="bottom"/>
          </w:tcPr>
          <w:p>
            <w:pPr>
              <w:spacing w:after="0"/>
              <w:rPr>
                <w:sz w:val="10"/>
                <w:szCs w:val="10"/>
                <w:color w:val="auto"/>
              </w:rPr>
            </w:pPr>
          </w:p>
        </w:tc>
        <w:tc>
          <w:tcPr>
            <w:tcW w:w="60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55"/>
              <w:spacing w:after="0" w:line="120" w:lineRule="exact"/>
              <w:rPr>
                <w:sz w:val="20"/>
                <w:szCs w:val="20"/>
                <w:color w:val="auto"/>
              </w:rPr>
            </w:pPr>
            <w:r>
              <w:rPr>
                <w:rFonts w:ascii="Arial" w:cs="Arial" w:eastAsia="Arial" w:hAnsi="Arial"/>
                <w:sz w:val="12"/>
                <w:szCs w:val="12"/>
                <w:b w:val="1"/>
                <w:bCs w:val="1"/>
                <w:color w:val="auto"/>
                <w:w w:val="99"/>
              </w:rPr>
              <w:t>Change</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75"/>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12"/>
        </w:trPr>
        <w:tc>
          <w:tcPr>
            <w:tcW w:w="1260" w:type="dxa"/>
            <w:vAlign w:val="bottom"/>
            <w:tcBorders>
              <w:top w:val="single" w:sz="8" w:color="CCEEFF"/>
            </w:tcBorders>
            <w:shd w:val="clear" w:color="auto" w:fill="CCEEFF"/>
          </w:tcPr>
          <w:p>
            <w:pPr>
              <w:ind w:left="20"/>
              <w:spacing w:after="0" w:line="113" w:lineRule="exact"/>
              <w:rPr>
                <w:sz w:val="20"/>
                <w:szCs w:val="20"/>
                <w:color w:val="auto"/>
              </w:rPr>
            </w:pPr>
            <w:r>
              <w:rPr>
                <w:rFonts w:ascii="Arial" w:cs="Arial" w:eastAsia="Arial" w:hAnsi="Arial"/>
                <w:sz w:val="12"/>
                <w:szCs w:val="12"/>
                <w:color w:val="auto"/>
              </w:rPr>
              <w:t>Average Monthly</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3,156</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4,530</w:t>
            </w: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2,180</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2,371</w:t>
            </w: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2,143</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2,320</w:t>
            </w: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rPr>
              <w:t>2,504</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2,891</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Rental Rate (1)</w:t>
            </w:r>
          </w:p>
        </w:tc>
        <w:tc>
          <w:tcPr>
            <w:tcW w:w="14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260" w:type="dxa"/>
            <w:vAlign w:val="bottom"/>
          </w:tcPr>
          <w:p>
            <w:pPr>
              <w:ind w:left="20"/>
              <w:spacing w:after="0" w:line="127" w:lineRule="exact"/>
              <w:rPr>
                <w:sz w:val="20"/>
                <w:szCs w:val="20"/>
                <w:color w:val="auto"/>
              </w:rPr>
            </w:pPr>
            <w:r>
              <w:rPr>
                <w:rFonts w:ascii="Arial" w:cs="Arial" w:eastAsia="Arial" w:hAnsi="Arial"/>
                <w:sz w:val="12"/>
                <w:szCs w:val="12"/>
                <w:color w:val="auto"/>
              </w:rPr>
              <w:t>Average Rental</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60" w:type="dxa"/>
            <w:vAlign w:val="bottom"/>
          </w:tcPr>
          <w:p>
            <w:pPr>
              <w:ind w:left="180"/>
              <w:spacing w:after="0" w:line="120" w:lineRule="exact"/>
              <w:rPr>
                <w:sz w:val="20"/>
                <w:szCs w:val="20"/>
                <w:color w:val="auto"/>
              </w:rPr>
            </w:pPr>
            <w:r>
              <w:rPr>
                <w:rFonts w:ascii="Arial" w:cs="Arial" w:eastAsia="Arial" w:hAnsi="Arial"/>
                <w:sz w:val="12"/>
                <w:szCs w:val="12"/>
                <w:color w:val="auto"/>
              </w:rPr>
              <w:t>Rate Per</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260" w:type="dxa"/>
            <w:vAlign w:val="bottom"/>
          </w:tcPr>
          <w:p>
            <w:pPr>
              <w:ind w:left="180"/>
              <w:spacing w:after="0" w:line="120" w:lineRule="exact"/>
              <w:rPr>
                <w:sz w:val="20"/>
                <w:szCs w:val="20"/>
                <w:color w:val="auto"/>
              </w:rPr>
            </w:pPr>
            <w:r>
              <w:rPr>
                <w:rFonts w:ascii="Arial" w:cs="Arial" w:eastAsia="Arial" w:hAnsi="Arial"/>
                <w:sz w:val="12"/>
                <w:szCs w:val="12"/>
                <w:color w:val="auto"/>
              </w:rPr>
              <w:t>Occupied Square</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3.51</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14"/>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4"/>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34"/>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0"/>
                <w:szCs w:val="10"/>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115"/>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14"/>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59"/>
        </w:trPr>
        <w:tc>
          <w:tcPr>
            <w:tcW w:w="1260" w:type="dxa"/>
            <w:vAlign w:val="bottom"/>
          </w:tcPr>
          <w:p>
            <w:pPr>
              <w:ind w:left="180"/>
              <w:spacing w:after="0"/>
              <w:rPr>
                <w:sz w:val="20"/>
                <w:szCs w:val="20"/>
                <w:color w:val="auto"/>
              </w:rPr>
            </w:pPr>
            <w:r>
              <w:rPr>
                <w:rFonts w:ascii="Arial" w:cs="Arial" w:eastAsia="Arial" w:hAnsi="Arial"/>
                <w:sz w:val="12"/>
                <w:szCs w:val="12"/>
                <w:color w:val="auto"/>
              </w:rPr>
              <w:t>Foot</w:t>
            </w:r>
          </w:p>
        </w:tc>
        <w:tc>
          <w:tcPr>
            <w:tcW w:w="1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6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Average Physical</w:t>
            </w: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96.1 %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91.9 %</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95.0 %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89.5 %</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87.2 %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81.5 %</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91.7 %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92.5 %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Occupancy (2)</w:t>
            </w: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260" w:type="dxa"/>
            <w:vAlign w:val="bottom"/>
          </w:tcPr>
          <w:p>
            <w:pPr>
              <w:ind w:left="20"/>
              <w:spacing w:after="0" w:line="127" w:lineRule="exact"/>
              <w:rPr>
                <w:sz w:val="20"/>
                <w:szCs w:val="20"/>
                <w:color w:val="auto"/>
              </w:rPr>
            </w:pPr>
            <w:r>
              <w:rPr>
                <w:rFonts w:ascii="Arial" w:cs="Arial" w:eastAsia="Arial" w:hAnsi="Arial"/>
                <w:sz w:val="12"/>
                <w:szCs w:val="12"/>
                <w:color w:val="auto"/>
              </w:rPr>
              <w:t>Average Economic</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93.7 %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91.7 %</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2.2 %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94.3 %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88.4 %</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6.7 %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83.1 %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76.7 %</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8.3 %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90.2 %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91.9 %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2"/>
        </w:trPr>
        <w:tc>
          <w:tcPr>
            <w:tcW w:w="1260" w:type="dxa"/>
            <w:vAlign w:val="bottom"/>
          </w:tcPr>
          <w:p>
            <w:pPr>
              <w:ind w:left="180"/>
              <w:spacing w:after="0"/>
              <w:rPr>
                <w:sz w:val="20"/>
                <w:szCs w:val="20"/>
                <w:color w:val="auto"/>
              </w:rPr>
            </w:pPr>
            <w:r>
              <w:rPr>
                <w:rFonts w:ascii="Arial" w:cs="Arial" w:eastAsia="Arial" w:hAnsi="Arial"/>
                <w:sz w:val="12"/>
                <w:szCs w:val="12"/>
                <w:color w:val="auto"/>
              </w:rPr>
              <w:t>Occupancy (3)</w:t>
            </w: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180" w:hanging="314"/>
        <w:spacing w:after="0" w:line="242" w:lineRule="auto"/>
        <w:tabs>
          <w:tab w:leader="none" w:pos="5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spacing w:after="0" w:line="1" w:lineRule="exact"/>
        <w:rPr>
          <w:rFonts w:ascii="Arial" w:cs="Arial" w:eastAsia="Arial" w:hAnsi="Arial"/>
          <w:sz w:val="16"/>
          <w:szCs w:val="16"/>
          <w:color w:val="auto"/>
        </w:rPr>
      </w:pPr>
    </w:p>
    <w:p>
      <w:pPr>
        <w:ind w:left="560" w:right="720" w:hanging="314"/>
        <w:spacing w:after="0" w:line="242" w:lineRule="auto"/>
        <w:tabs>
          <w:tab w:leader="none" w:pos="5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Average Physical Occupancy is defined as (1) the average number of occupied units divided by (2) the total number of units, expressed as a percentage.</w:t>
      </w:r>
    </w:p>
    <w:p>
      <w:pPr>
        <w:spacing w:after="0" w:line="1" w:lineRule="exact"/>
        <w:rPr>
          <w:rFonts w:ascii="Arial" w:cs="Arial" w:eastAsia="Arial" w:hAnsi="Arial"/>
          <w:sz w:val="16"/>
          <w:szCs w:val="16"/>
          <w:color w:val="auto"/>
        </w:rPr>
      </w:pPr>
    </w:p>
    <w:p>
      <w:pPr>
        <w:ind w:left="560" w:hanging="314"/>
        <w:spacing w:after="0" w:line="244" w:lineRule="auto"/>
        <w:tabs>
          <w:tab w:leader="none" w:pos="5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Hotel Net Operating Loss</w:t>
      </w:r>
    </w:p>
    <w:p>
      <w:pPr>
        <w:spacing w:after="0" w:line="121" w:lineRule="exact"/>
        <w:rPr>
          <w:sz w:val="20"/>
          <w:szCs w:val="20"/>
          <w:color w:val="auto"/>
        </w:rPr>
      </w:pPr>
    </w:p>
    <w:p>
      <w:pPr>
        <w:ind w:right="1000" w:firstLine="439"/>
        <w:spacing w:after="0" w:line="252" w:lineRule="auto"/>
        <w:rPr>
          <w:sz w:val="20"/>
          <w:szCs w:val="20"/>
          <w:color w:val="auto"/>
        </w:rPr>
      </w:pPr>
      <w:r>
        <w:rPr>
          <w:rFonts w:ascii="Arial" w:cs="Arial" w:eastAsia="Arial" w:hAnsi="Arial"/>
          <w:sz w:val="18"/>
          <w:szCs w:val="18"/>
          <w:color w:val="auto"/>
        </w:rPr>
        <w:t>The Boston Marriott Cambridge hotel property continues to operate at a loss, however, the net operating loss has decreased approximately $1.4 million for the three months ended June 30, 2021 compared to 2020.</w:t>
      </w:r>
    </w:p>
    <w:p>
      <w:pPr>
        <w:spacing w:after="0" w:line="150" w:lineRule="exact"/>
        <w:rPr>
          <w:sz w:val="20"/>
          <w:szCs w:val="20"/>
          <w:color w:val="auto"/>
        </w:rPr>
      </w:pPr>
    </w:p>
    <w:p>
      <w:pPr>
        <w:jc w:val="both"/>
        <w:ind w:right="100" w:firstLine="439"/>
        <w:spacing w:after="0" w:line="263" w:lineRule="auto"/>
        <w:rPr>
          <w:sz w:val="20"/>
          <w:szCs w:val="20"/>
          <w:color w:val="auto"/>
        </w:rPr>
      </w:pPr>
      <w:r>
        <w:rPr>
          <w:rFonts w:ascii="Arial" w:cs="Arial" w:eastAsia="Arial" w:hAnsi="Arial"/>
          <w:sz w:val="17"/>
          <w:szCs w:val="17"/>
          <w:color w:val="auto"/>
        </w:rPr>
        <w:t>The Boston Marriott Cambridge closed in March 2020 due to COVID-19. The hotel re-opened on October 2, 2020 but has operated at a reduced occupancy due to the continued impact of COVID-19 on business and leisure travel. The closing of the hotel for more than two fiscal quarters, and the weak demand and low occupancy since its re-opening, have had, and are expected to continue to have, a material adverse effect on the hotel’s operations. We expect hotel occupancy to remain low until the demand for business and leisure travel returns to historical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levels</w:t>
      </w:r>
      <w:r>
        <w:rPr>
          <w:rFonts w:ascii="Arial" w:cs="Arial" w:eastAsia="Arial" w:hAnsi="Arial"/>
          <w:sz w:val="21"/>
          <w:szCs w:val="21"/>
          <w:color w:val="auto"/>
        </w:rPr>
        <w:t>.</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reflects our occupancy and rate information for the Boston Marriott Cambridge hotel for the three months ended June 30,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2021 and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 (%)</w:t>
            </w:r>
          </w:p>
        </w:tc>
      </w:tr>
      <w:tr>
        <w:trPr>
          <w:trHeight w:val="219"/>
        </w:trPr>
        <w:tc>
          <w:tcPr>
            <w:tcW w:w="60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Occupancy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5"/>
        </w:trPr>
        <w:tc>
          <w:tcPr>
            <w:tcW w:w="6060" w:type="dxa"/>
            <w:vAlign w:val="bottom"/>
          </w:tcPr>
          <w:p>
            <w:pPr>
              <w:ind w:left="20"/>
              <w:spacing w:after="0"/>
              <w:rPr>
                <w:sz w:val="20"/>
                <w:szCs w:val="20"/>
                <w:color w:val="auto"/>
              </w:rPr>
            </w:pPr>
            <w:r>
              <w:rPr>
                <w:rFonts w:ascii="Arial" w:cs="Arial" w:eastAsia="Arial" w:hAnsi="Arial"/>
                <w:sz w:val="18"/>
                <w:szCs w:val="18"/>
                <w:color w:val="auto"/>
              </w:rPr>
              <w:t>Average daily rate</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160.96</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7"/>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REVPAR</w:t>
            </w: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bl>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 Operating Revenue and Expense Items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Development and Management Services Revenue</w:t>
      </w:r>
    </w:p>
    <w:p>
      <w:pPr>
        <w:spacing w:after="0" w:line="121" w:lineRule="exact"/>
        <w:rPr>
          <w:sz w:val="20"/>
          <w:szCs w:val="20"/>
          <w:color w:val="auto"/>
        </w:rPr>
      </w:pPr>
    </w:p>
    <w:p>
      <w:pPr>
        <w:ind w:right="20" w:firstLine="439"/>
        <w:spacing w:after="0" w:line="247" w:lineRule="auto"/>
        <w:rPr>
          <w:sz w:val="20"/>
          <w:szCs w:val="20"/>
          <w:color w:val="auto"/>
        </w:rPr>
      </w:pPr>
      <w:r>
        <w:rPr>
          <w:rFonts w:ascii="Arial" w:cs="Arial" w:eastAsia="Arial" w:hAnsi="Arial"/>
          <w:sz w:val="18"/>
          <w:szCs w:val="18"/>
          <w:color w:val="auto"/>
        </w:rPr>
        <w:t>Development and management services revenue decreased by approximately $0.8 million for the three months ended June 30, 2021 compared to 2020. Development services revenue decreased by approximately $1.3 million while management services revenue increased by approximately $0.5 million. The decrease in development services revenue was primarily related to a decrease in development fees earned in the Boston region and from a third-party owned building in the Washington, DC region. The increase in management services revenue was primarily related to an increase in leasing commissions earned in the Washington, DC region and from an unconsolidated joint venture in the Los Angeles region.</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298" w:right="39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08" w:lineRule="exact"/>
        <w:rPr>
          <w:sz w:val="20"/>
          <w:szCs w:val="20"/>
          <w:color w:val="auto"/>
        </w:rPr>
      </w:pPr>
    </w:p>
    <w:p>
      <w:pPr>
        <w:ind w:right="140" w:firstLine="439"/>
        <w:spacing w:after="0" w:line="247" w:lineRule="auto"/>
        <w:rPr>
          <w:sz w:val="20"/>
          <w:szCs w:val="20"/>
          <w:color w:val="auto"/>
        </w:rPr>
      </w:pPr>
      <w:r>
        <w:rPr>
          <w:rFonts w:ascii="Arial" w:cs="Arial" w:eastAsia="Arial" w:hAnsi="Arial"/>
          <w:sz w:val="18"/>
          <w:szCs w:val="18"/>
          <w:color w:val="auto"/>
        </w:rPr>
        <w:t>General and administrative expense increased by approximately $0.7 million for the three months ended June 30, 2021 compared to 2020 primarily due to an increase in compensation expense of approximately $1.8 million, partially offset by a decrease of approximately $1.1 million in other general and administrative expenses. The increase in compensation expense was related to an approximately $4.1 million increase in other compensation-related expenses, partially offset by a decrease in compensation expense related to an approximately $2.3 million decrease in the value of our deferred compensation plan. The decrease in other general and administrative expenses was primarily related to a decrease in professional fees.</w:t>
      </w:r>
    </w:p>
    <w:p>
      <w:pPr>
        <w:spacing w:after="0" w:line="158" w:lineRule="exact"/>
        <w:rPr>
          <w:sz w:val="20"/>
          <w:szCs w:val="20"/>
          <w:color w:val="auto"/>
        </w:rPr>
      </w:pPr>
    </w:p>
    <w:p>
      <w:pPr>
        <w:ind w:right="440" w:firstLine="439"/>
        <w:spacing w:after="0" w:line="248" w:lineRule="auto"/>
        <w:rPr>
          <w:sz w:val="20"/>
          <w:szCs w:val="20"/>
          <w:color w:val="auto"/>
        </w:rPr>
      </w:pPr>
      <w:r>
        <w:rPr>
          <w:rFonts w:ascii="Arial" w:cs="Arial" w:eastAsia="Arial" w:hAnsi="Arial"/>
          <w:sz w:val="18"/>
          <w:szCs w:val="18"/>
          <w:color w:val="auto"/>
        </w:rPr>
        <w:t>Wages directly related to the development of rental properties are capitalized and included in real estate assets on our Consolidated Balance Sheets and amortized over the useful lives of the applicable asset or lease term. Capitalized wages for the three months ended June 30, 2021 and 2020 were approximately $3.5 million and $3.4 million, respectively. These costs are not included in the general and administrative expenses discussed above.</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121" w:lineRule="exact"/>
        <w:rPr>
          <w:sz w:val="20"/>
          <w:szCs w:val="20"/>
          <w:color w:val="auto"/>
        </w:rPr>
      </w:pPr>
    </w:p>
    <w:p>
      <w:pPr>
        <w:jc w:val="both"/>
        <w:ind w:right="160" w:firstLine="439"/>
        <w:spacing w:after="0" w:line="249" w:lineRule="auto"/>
        <w:rPr>
          <w:sz w:val="20"/>
          <w:szCs w:val="20"/>
          <w:color w:val="auto"/>
        </w:rPr>
      </w:pPr>
      <w:r>
        <w:rPr>
          <w:rFonts w:ascii="Arial" w:cs="Arial" w:eastAsia="Arial" w:hAnsi="Arial"/>
          <w:sz w:val="18"/>
          <w:szCs w:val="18"/>
          <w:color w:val="auto"/>
        </w:rPr>
        <w:t>Transaction costs increased by approximately $0.4 million for the three months ended June 30, 2021 compared to 2020 due primarily to costs incurred in connection with the pursuit and formation of new joint ventures. In general, transaction costs relating to the formation of new and pending joint ventures and the pursuit of other transactions are expensed as incurred.</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21"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follows the cover page of this Quarterly Report on Form 10-Q.</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08" w:lineRule="exact"/>
        <w:rPr>
          <w:sz w:val="20"/>
          <w:szCs w:val="20"/>
          <w:color w:val="auto"/>
        </w:rPr>
      </w:pPr>
    </w:p>
    <w:p>
      <w:pPr>
        <w:ind w:right="160" w:firstLine="439"/>
        <w:spacing w:after="0" w:line="252" w:lineRule="auto"/>
        <w:rPr>
          <w:sz w:val="20"/>
          <w:szCs w:val="20"/>
          <w:color w:val="auto"/>
        </w:rPr>
      </w:pPr>
      <w:r>
        <w:rPr>
          <w:rFonts w:ascii="Arial" w:cs="Arial" w:eastAsia="Arial" w:hAnsi="Arial"/>
          <w:sz w:val="18"/>
          <w:szCs w:val="18"/>
          <w:color w:val="auto"/>
        </w:rPr>
        <w:t>Depreciation and amortization expense increased by approximately $5.7 million for the three months ended June 30, 2021 compared to 2020, as detailed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7"/>
          </w:tcPr>
          <w:p>
            <w:pPr>
              <w:jc w:val="center"/>
              <w:ind w:right="73"/>
              <w:spacing w:after="0"/>
              <w:rPr>
                <w:sz w:val="20"/>
                <w:szCs w:val="20"/>
                <w:color w:val="auto"/>
              </w:rPr>
            </w:pPr>
            <w:r>
              <w:rPr>
                <w:rFonts w:ascii="Arial" w:cs="Arial" w:eastAsia="Arial" w:hAnsi="Arial"/>
                <w:sz w:val="16"/>
                <w:szCs w:val="16"/>
                <w:b w:val="1"/>
                <w:bCs w:val="1"/>
                <w:color w:val="auto"/>
                <w:w w:val="99"/>
              </w:rPr>
              <w:t>Depreciation and Amortization for the three months</w:t>
            </w: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8"/>
              </w:rPr>
              <w:t>ended June 30,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6"/>
        </w:trPr>
        <w:tc>
          <w:tcPr>
            <w:tcW w:w="6920" w:type="dxa"/>
            <w:vAlign w:val="bottom"/>
            <w:gridSpan w:val="3"/>
          </w:tcPr>
          <w:p>
            <w:pPr>
              <w:ind w:left="20"/>
              <w:spacing w:after="0"/>
              <w:rPr>
                <w:sz w:val="20"/>
                <w:szCs w:val="20"/>
                <w:color w:val="auto"/>
              </w:rPr>
            </w:pPr>
            <w:r>
              <w:rPr>
                <w:rFonts w:ascii="Arial" w:cs="Arial" w:eastAsia="Arial" w:hAnsi="Arial"/>
                <w:sz w:val="16"/>
                <w:szCs w:val="16"/>
                <w:b w:val="1"/>
                <w:bCs w:val="1"/>
                <w:color w:val="auto"/>
              </w:rPr>
              <w:t>Portfolio</w:t>
            </w:r>
          </w:p>
        </w:tc>
        <w:tc>
          <w:tcPr>
            <w:tcW w:w="160" w:type="dxa"/>
            <w:vAlign w:val="bottom"/>
          </w:tcPr>
          <w:p>
            <w:pPr>
              <w:spacing w:after="0"/>
              <w:rPr>
                <w:sz w:val="17"/>
                <w:szCs w:val="17"/>
                <w:color w:val="auto"/>
              </w:rPr>
            </w:pPr>
          </w:p>
        </w:tc>
        <w:tc>
          <w:tcPr>
            <w:tcW w:w="1180" w:type="dxa"/>
            <w:vAlign w:val="bottom"/>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4"/>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 thousands)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Same Property Portfolio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164,320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173,666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w:t>
            </w:r>
          </w:p>
        </w:tc>
      </w:tr>
      <w:tr>
        <w:trPr>
          <w:trHeight w:val="225"/>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Acquired Portfolio</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27"/>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Placed In-Service Portfolio</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r>
      <w:tr>
        <w:trPr>
          <w:trHeight w:val="225"/>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in Development or Redevelopment Portfolio (1)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11,631</w:t>
            </w:r>
          </w:p>
        </w:tc>
      </w:tr>
      <w:tr>
        <w:trPr>
          <w:trHeight w:val="226"/>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Sold Portfolio</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1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183,838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178,188</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240" w:hanging="314"/>
        <w:spacing w:after="0" w:line="253" w:lineRule="auto"/>
        <w:tabs>
          <w:tab w:leader="none" w:pos="5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 February 25, 2021, we commenced redevelopment of 880 Winter Street in Waltham, Massachusetts. As a result, during the three months ended June 30, 2021, we recorded approximately $10.5 million in accelerated depreciation expense for the demolition of a portion of the building.</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21" w:lineRule="exact"/>
        <w:rPr>
          <w:sz w:val="20"/>
          <w:szCs w:val="20"/>
          <w:color w:val="auto"/>
        </w:rPr>
      </w:pPr>
    </w:p>
    <w:p>
      <w:pPr>
        <w:ind w:right="160" w:firstLine="439"/>
        <w:spacing w:after="0" w:line="252" w:lineRule="auto"/>
        <w:rPr>
          <w:sz w:val="20"/>
          <w:szCs w:val="20"/>
          <w:color w:val="auto"/>
        </w:rPr>
      </w:pPr>
      <w:r>
        <w:rPr>
          <w:rFonts w:ascii="Arial" w:cs="Arial" w:eastAsia="Arial" w:hAnsi="Arial"/>
          <w:sz w:val="18"/>
          <w:szCs w:val="18"/>
          <w:color w:val="auto"/>
        </w:rPr>
        <w:t>Depreciation and amortization expense increased by approximately $5.7 million for the three months ended June 30, 2021 compared to 2020, as detailed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7"/>
          </w:tcPr>
          <w:p>
            <w:pPr>
              <w:jc w:val="center"/>
              <w:ind w:right="73"/>
              <w:spacing w:after="0"/>
              <w:rPr>
                <w:sz w:val="20"/>
                <w:szCs w:val="20"/>
                <w:color w:val="auto"/>
              </w:rPr>
            </w:pPr>
            <w:r>
              <w:rPr>
                <w:rFonts w:ascii="Arial" w:cs="Arial" w:eastAsia="Arial" w:hAnsi="Arial"/>
                <w:sz w:val="16"/>
                <w:szCs w:val="16"/>
                <w:b w:val="1"/>
                <w:bCs w:val="1"/>
                <w:color w:val="auto"/>
                <w:w w:val="99"/>
              </w:rPr>
              <w:t>Depreciation and Amortization for the three months</w:t>
            </w: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8"/>
              </w:rPr>
              <w:t>ended June 30,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6"/>
        </w:trPr>
        <w:tc>
          <w:tcPr>
            <w:tcW w:w="6920" w:type="dxa"/>
            <w:vAlign w:val="bottom"/>
            <w:gridSpan w:val="3"/>
          </w:tcPr>
          <w:p>
            <w:pPr>
              <w:ind w:left="20"/>
              <w:spacing w:after="0"/>
              <w:rPr>
                <w:sz w:val="20"/>
                <w:szCs w:val="20"/>
                <w:color w:val="auto"/>
              </w:rPr>
            </w:pPr>
            <w:r>
              <w:rPr>
                <w:rFonts w:ascii="Arial" w:cs="Arial" w:eastAsia="Arial" w:hAnsi="Arial"/>
                <w:sz w:val="16"/>
                <w:szCs w:val="16"/>
                <w:b w:val="1"/>
                <w:bCs w:val="1"/>
                <w:color w:val="auto"/>
              </w:rPr>
              <w:t>Portfolio</w:t>
            </w:r>
          </w:p>
        </w:tc>
        <w:tc>
          <w:tcPr>
            <w:tcW w:w="160" w:type="dxa"/>
            <w:vAlign w:val="bottom"/>
          </w:tcPr>
          <w:p>
            <w:pPr>
              <w:spacing w:after="0"/>
              <w:rPr>
                <w:sz w:val="17"/>
                <w:szCs w:val="17"/>
                <w:color w:val="auto"/>
              </w:rPr>
            </w:pPr>
          </w:p>
        </w:tc>
        <w:tc>
          <w:tcPr>
            <w:tcW w:w="1180" w:type="dxa"/>
            <w:vAlign w:val="bottom"/>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4"/>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 thousands)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Same Property Portfolio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162,560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171,887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r>
      <w:tr>
        <w:trPr>
          <w:trHeight w:val="225"/>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Acquired Portfolio</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27"/>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Placed In-Service Portfolio</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r>
      <w:tr>
        <w:trPr>
          <w:trHeight w:val="225"/>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in Development or Redevelopment Portfolio (1)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11,631</w:t>
            </w:r>
          </w:p>
        </w:tc>
      </w:tr>
      <w:tr>
        <w:trPr>
          <w:trHeight w:val="226"/>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Sold Portfolio</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1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182,078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176,409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240" w:hanging="314"/>
        <w:spacing w:after="0" w:line="253" w:lineRule="auto"/>
        <w:tabs>
          <w:tab w:leader="none" w:pos="5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On February 25, 2021, we commenced redevelopment of 880 Winter Street in Waltham, Massachusetts. As a result, during the three months ended June 30, 2021, we recorded approximately $10.5 million in accelerated depreciation expense for the demolition of a portion of the building.</w:t>
      </w:r>
    </w:p>
    <w:p>
      <w:pPr>
        <w:spacing w:after="0" w:line="199" w:lineRule="exact"/>
        <w:rPr>
          <w:sz w:val="20"/>
          <w:szCs w:val="20"/>
          <w:color w:val="auto"/>
        </w:rPr>
      </w:pPr>
    </w:p>
    <w:p>
      <w:pPr>
        <w:ind w:right="200" w:firstLine="199"/>
        <w:spacing w:after="0" w:line="278" w:lineRule="auto"/>
        <w:rPr>
          <w:sz w:val="20"/>
          <w:szCs w:val="20"/>
          <w:color w:val="auto"/>
        </w:rPr>
      </w:pPr>
      <w:r>
        <w:rPr>
          <w:rFonts w:ascii="Arial" w:cs="Arial" w:eastAsia="Arial" w:hAnsi="Arial"/>
          <w:sz w:val="18"/>
          <w:szCs w:val="18"/>
          <w:b w:val="1"/>
          <w:bCs w:val="1"/>
          <w:i w:val="1"/>
          <w:iCs w:val="1"/>
          <w:color w:val="auto"/>
        </w:rPr>
        <w:t>Direct Reimbursements of Payroll and Related Costs From Management Services Contracts and Payroll and Related Costs From Management Service Contracts</w:t>
      </w:r>
    </w:p>
    <w:p>
      <w:pPr>
        <w:spacing w:after="0" w:line="61" w:lineRule="exact"/>
        <w:rPr>
          <w:sz w:val="20"/>
          <w:szCs w:val="20"/>
          <w:color w:val="auto"/>
        </w:rPr>
      </w:pPr>
    </w:p>
    <w:p>
      <w:pPr>
        <w:ind w:right="140" w:firstLine="439"/>
        <w:spacing w:after="0" w:line="249" w:lineRule="auto"/>
        <w:rPr>
          <w:sz w:val="20"/>
          <w:szCs w:val="20"/>
          <w:color w:val="auto"/>
        </w:rPr>
      </w:pPr>
      <w:r>
        <w:rPr>
          <w:rFonts w:ascii="Arial" w:cs="Arial" w:eastAsia="Arial" w:hAnsi="Arial"/>
          <w:sz w:val="18"/>
          <w:szCs w:val="18"/>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 Income and Expense Items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(loss) from Unconsolidated Joint Ventures</w:t>
      </w:r>
    </w:p>
    <w:p>
      <w:pPr>
        <w:spacing w:after="0" w:line="121" w:lineRule="exact"/>
        <w:rPr>
          <w:sz w:val="20"/>
          <w:szCs w:val="20"/>
          <w:color w:val="auto"/>
        </w:rPr>
      </w:pPr>
    </w:p>
    <w:p>
      <w:pPr>
        <w:ind w:right="260" w:firstLine="439"/>
        <w:spacing w:after="0" w:line="248" w:lineRule="auto"/>
        <w:rPr>
          <w:sz w:val="20"/>
          <w:szCs w:val="20"/>
          <w:color w:val="auto"/>
        </w:rPr>
      </w:pPr>
      <w:r>
        <w:rPr>
          <w:rFonts w:ascii="Arial" w:cs="Arial" w:eastAsia="Arial" w:hAnsi="Arial"/>
          <w:sz w:val="18"/>
          <w:szCs w:val="18"/>
          <w:color w:val="auto"/>
        </w:rPr>
        <w:t>For the three months ended June 30, 2021 compared to 2020, income (loss) from unconsolidated joint ventures decreased by approximately $3.2 million due to a $5.8 million gain on sale of real estate from the sale of Annapolis Junction Building Eight and two undeveloped land parcels during the three months ended June 30, 2020. This decrease was partially offset by an approximately $1.0 million increase in net income from our Hub on Causeway - Podium joint venture, primarily related to termination income.</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on Sales of Real Estate</w:t>
      </w:r>
    </w:p>
    <w:p>
      <w:pPr>
        <w:spacing w:after="0" w:line="121" w:lineRule="exact"/>
        <w:rPr>
          <w:sz w:val="20"/>
          <w:szCs w:val="20"/>
          <w:color w:val="auto"/>
        </w:rPr>
      </w:pPr>
    </w:p>
    <w:p>
      <w:pPr>
        <w:ind w:right="180" w:firstLine="439"/>
        <w:spacing w:after="0" w:line="247" w:lineRule="auto"/>
        <w:rPr>
          <w:sz w:val="20"/>
          <w:szCs w:val="20"/>
          <w:color w:val="auto"/>
        </w:rPr>
      </w:pPr>
      <w:r>
        <w:rPr>
          <w:rFonts w:ascii="Arial" w:cs="Arial" w:eastAsia="Arial" w:hAnsi="Arial"/>
          <w:sz w:val="18"/>
          <w:szCs w:val="18"/>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follows the cover page of this Quarterly Report on Form 10-Q.</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08"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Gains on sales of real estate decreased by approximately $196.0 million for the three months ended June 30, 2021 compared to 2020, as detailed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Net Cash</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Gain (Loss) 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1"/>
                <w:szCs w:val="11"/>
                <w:color w:val="auto"/>
              </w:rPr>
            </w:pPr>
          </w:p>
        </w:tc>
        <w:tc>
          <w:tcPr>
            <w:tcW w:w="9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Sale Price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rPr>
              <w:t>Sale of Real</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Proceeds</w:t>
            </w:r>
          </w:p>
        </w:tc>
        <w:tc>
          <w:tcPr>
            <w:tcW w:w="120" w:type="dxa"/>
            <w:vAlign w:val="bottom"/>
          </w:tcPr>
          <w:p>
            <w:pPr>
              <w:spacing w:after="0"/>
              <w:rPr>
                <w:sz w:val="15"/>
                <w:szCs w:val="15"/>
                <w:color w:val="auto"/>
              </w:rPr>
            </w:pPr>
          </w:p>
        </w:tc>
        <w:tc>
          <w:tcPr>
            <w:tcW w:w="980" w:type="dxa"/>
            <w:vAlign w:val="bottom"/>
          </w:tcPr>
          <w:p>
            <w:pPr>
              <w:jc w:val="center"/>
              <w:ind w:right="49"/>
              <w:spacing w:after="0"/>
              <w:rPr>
                <w:sz w:val="20"/>
                <w:szCs w:val="20"/>
                <w:color w:val="auto"/>
              </w:rPr>
            </w:pPr>
            <w:r>
              <w:rPr>
                <w:rFonts w:ascii="Arial" w:cs="Arial" w:eastAsia="Arial" w:hAnsi="Arial"/>
                <w:sz w:val="14"/>
                <w:szCs w:val="14"/>
                <w:b w:val="1"/>
                <w:bCs w:val="1"/>
                <w:color w:val="auto"/>
                <w:w w:val="99"/>
              </w:rPr>
              <w:t>Estate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6"/>
              </w:rPr>
              <w:t>2021</w:t>
            </w:r>
          </w:p>
        </w:tc>
        <w:tc>
          <w:tcPr>
            <w:tcW w:w="2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6595 Springfield Center Drive</w:t>
            </w:r>
          </w:p>
        </w:tc>
        <w:tc>
          <w:tcPr>
            <w:tcW w:w="1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634,000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460" w:type="dxa"/>
            <w:vAlign w:val="bottom"/>
            <w:tcBorders>
              <w:bottom w:val="single" w:sz="8" w:color="CCEEFF"/>
            </w:tcBorders>
          </w:tcPr>
          <w:p>
            <w:pPr>
              <w:jc w:val="right"/>
              <w:ind w:right="18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146" w:lineRule="exact"/>
              <w:rPr>
                <w:sz w:val="20"/>
                <w:szCs w:val="20"/>
                <w:color w:val="auto"/>
              </w:rPr>
            </w:pPr>
            <w:r>
              <w:rPr>
                <w:rFonts w:ascii="Arial" w:cs="Arial" w:eastAsia="Arial" w:hAnsi="Arial"/>
                <w:sz w:val="14"/>
                <w:szCs w:val="14"/>
                <w:b w:val="1"/>
                <w:bCs w:val="1"/>
                <w:color w:val="auto"/>
                <w:w w:val="96"/>
              </w:rPr>
              <w:t>2020</w:t>
            </w:r>
          </w:p>
        </w:tc>
        <w:tc>
          <w:tcPr>
            <w:tcW w:w="22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vMerge w:val="continue"/>
          </w:tcPr>
          <w:p>
            <w:pPr>
              <w:spacing w:after="0"/>
              <w:rPr>
                <w:sz w:val="9"/>
                <w:szCs w:val="9"/>
                <w:color w:val="auto"/>
              </w:rPr>
            </w:pPr>
          </w:p>
        </w:tc>
        <w:tc>
          <w:tcPr>
            <w:tcW w:w="320" w:type="dxa"/>
            <w:vAlign w:val="bottom"/>
            <w:tcBorders>
              <w:bottom w:val="single" w:sz="8" w:color="auto"/>
            </w:tcBorders>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7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Capital Gallery</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25, 2020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455,000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253.7</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246.9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203.8</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8" w:lineRule="exact"/>
        <w:rPr>
          <w:sz w:val="20"/>
          <w:szCs w:val="20"/>
          <w:color w:val="auto"/>
        </w:rPr>
      </w:pPr>
    </w:p>
    <w:p>
      <w:pPr>
        <w:ind w:left="560" w:right="140" w:hanging="314"/>
        <w:spacing w:after="0" w:line="245" w:lineRule="auto"/>
        <w:tabs>
          <w:tab w:leader="none" w:pos="5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On December 13, 2018, we sold our 6595 Springfield Center Drive development project located in Springfield, Virginia. Concurrently with the sale, we agreed to act as development manager and guaranteed the completion of the project (See Note 9 to the Consolidated Financial Statements). The development project was completed during the second quarter of 2021 and, upon completion of the project, the total cost of development was determined to be below the estimated total investment at the time of sale. As a result, upon completion, we recognized a gain of approximately $7.8 million.</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21"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Gains on sales of real estate decreased by approximately $199.5 million for the three months ended June 30, 2021 compared to 2020, as detailed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Net Cash</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Gain (Loss) on</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1"/>
                <w:szCs w:val="11"/>
                <w:color w:val="auto"/>
              </w:rPr>
            </w:pPr>
          </w:p>
        </w:tc>
        <w:tc>
          <w:tcPr>
            <w:tcW w:w="9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Sale Price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rPr>
              <w:t>Sale of Real</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Proceeds</w:t>
            </w:r>
          </w:p>
        </w:tc>
        <w:tc>
          <w:tcPr>
            <w:tcW w:w="120" w:type="dxa"/>
            <w:vAlign w:val="bottom"/>
          </w:tcPr>
          <w:p>
            <w:pPr>
              <w:spacing w:after="0"/>
              <w:rPr>
                <w:sz w:val="15"/>
                <w:szCs w:val="15"/>
                <w:color w:val="auto"/>
              </w:rPr>
            </w:pPr>
          </w:p>
        </w:tc>
        <w:tc>
          <w:tcPr>
            <w:tcW w:w="980" w:type="dxa"/>
            <w:vAlign w:val="bottom"/>
          </w:tcPr>
          <w:p>
            <w:pPr>
              <w:jc w:val="center"/>
              <w:ind w:right="49"/>
              <w:spacing w:after="0"/>
              <w:rPr>
                <w:sz w:val="20"/>
                <w:szCs w:val="20"/>
                <w:color w:val="auto"/>
              </w:rPr>
            </w:pPr>
            <w:r>
              <w:rPr>
                <w:rFonts w:ascii="Arial" w:cs="Arial" w:eastAsia="Arial" w:hAnsi="Arial"/>
                <w:sz w:val="14"/>
                <w:szCs w:val="14"/>
                <w:b w:val="1"/>
                <w:bCs w:val="1"/>
                <w:color w:val="auto"/>
                <w:w w:val="99"/>
              </w:rPr>
              <w:t>Estate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6"/>
              </w:rPr>
              <w:t>2021</w:t>
            </w:r>
          </w:p>
        </w:tc>
        <w:tc>
          <w:tcPr>
            <w:tcW w:w="2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6595 Springfield Center Drive</w:t>
            </w:r>
          </w:p>
        </w:tc>
        <w:tc>
          <w:tcPr>
            <w:tcW w:w="1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634,000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460" w:type="dxa"/>
            <w:vAlign w:val="bottom"/>
            <w:tcBorders>
              <w:bottom w:val="single" w:sz="8" w:color="CCEEFF"/>
            </w:tcBorders>
          </w:tcPr>
          <w:p>
            <w:pPr>
              <w:jc w:val="right"/>
              <w:ind w:right="18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146" w:lineRule="exact"/>
              <w:rPr>
                <w:sz w:val="20"/>
                <w:szCs w:val="20"/>
                <w:color w:val="auto"/>
              </w:rPr>
            </w:pPr>
            <w:r>
              <w:rPr>
                <w:rFonts w:ascii="Arial" w:cs="Arial" w:eastAsia="Arial" w:hAnsi="Arial"/>
                <w:sz w:val="14"/>
                <w:szCs w:val="14"/>
                <w:b w:val="1"/>
                <w:bCs w:val="1"/>
                <w:color w:val="auto"/>
                <w:w w:val="96"/>
              </w:rPr>
              <w:t>2020</w:t>
            </w:r>
          </w:p>
        </w:tc>
        <w:tc>
          <w:tcPr>
            <w:tcW w:w="22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vMerge w:val="continue"/>
          </w:tcPr>
          <w:p>
            <w:pPr>
              <w:spacing w:after="0"/>
              <w:rPr>
                <w:sz w:val="9"/>
                <w:szCs w:val="9"/>
                <w:color w:val="auto"/>
              </w:rPr>
            </w:pPr>
          </w:p>
        </w:tc>
        <w:tc>
          <w:tcPr>
            <w:tcW w:w="320" w:type="dxa"/>
            <w:vAlign w:val="bottom"/>
            <w:tcBorders>
              <w:bottom w:val="single" w:sz="8" w:color="auto"/>
            </w:tcBorders>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7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Capital Gallery</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25, 2020</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455,000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253.7</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246.9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207.2</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8" w:lineRule="exact"/>
        <w:rPr>
          <w:sz w:val="20"/>
          <w:szCs w:val="20"/>
          <w:color w:val="auto"/>
        </w:rPr>
      </w:pPr>
    </w:p>
    <w:p>
      <w:pPr>
        <w:ind w:left="560" w:right="140" w:hanging="314"/>
        <w:spacing w:after="0" w:line="245" w:lineRule="auto"/>
        <w:tabs>
          <w:tab w:leader="none" w:pos="5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On December 13, 2018, we sold our 6595 Springfield Center Drive development project located in Springfield, Virginia. Concurrently with the sale, we agreed to act as development manager and guaranteed the completion of the project (See Note 9 to the Consolidated Financial Statements). The development project was completed during the second quarter of 2021 and, upon completion of the project, the total cost of development was determined to be below the estimated total investment at the time of sale. As a result, upon completion, we recognized a gain of approximately $7.8 million.</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and Other Income (Loss)</w:t>
      </w:r>
    </w:p>
    <w:p>
      <w:pPr>
        <w:spacing w:after="0" w:line="121" w:lineRule="exact"/>
        <w:rPr>
          <w:sz w:val="20"/>
          <w:szCs w:val="20"/>
          <w:color w:val="auto"/>
        </w:rPr>
      </w:pPr>
    </w:p>
    <w:p>
      <w:pPr>
        <w:ind w:right="220" w:firstLine="439"/>
        <w:spacing w:after="0" w:line="249" w:lineRule="auto"/>
        <w:rPr>
          <w:sz w:val="20"/>
          <w:szCs w:val="20"/>
          <w:color w:val="auto"/>
        </w:rPr>
      </w:pPr>
      <w:r>
        <w:rPr>
          <w:rFonts w:ascii="Arial" w:cs="Arial" w:eastAsia="Arial" w:hAnsi="Arial"/>
          <w:sz w:val="18"/>
          <w:szCs w:val="18"/>
          <w:color w:val="auto"/>
        </w:rPr>
        <w:t>Interest and other income (loss) decreased by approximately $0.1 million for the three months ended June 30, 2021 compared to 2020, due to a decrease of approximately $0.9 million in interest income as a result of lower interest earned on our deposits, partially offset by an approximately $0.8 million decrease in the allowance for current expected credit losses, which results in higher income.</w:t>
      </w:r>
    </w:p>
    <w:p>
      <w:pPr>
        <w:spacing w:after="0" w:line="154" w:lineRule="exact"/>
        <w:rPr>
          <w:sz w:val="20"/>
          <w:szCs w:val="20"/>
          <w:color w:val="auto"/>
        </w:rPr>
      </w:pPr>
    </w:p>
    <w:p>
      <w:pPr>
        <w:ind w:right="140" w:firstLine="439"/>
        <w:spacing w:after="0" w:line="249" w:lineRule="auto"/>
        <w:rPr>
          <w:sz w:val="20"/>
          <w:szCs w:val="20"/>
          <w:color w:val="auto"/>
        </w:rPr>
      </w:pPr>
      <w:r>
        <w:rPr>
          <w:rFonts w:ascii="Arial" w:cs="Arial" w:eastAsia="Arial" w:hAnsi="Arial"/>
          <w:sz w:val="18"/>
          <w:szCs w:val="18"/>
          <w:color w:val="auto"/>
        </w:rPr>
        <w:t>On January 1, 2020, we adopted ASU 2016-13, “Financial Instruments - Credit Losses (Topic 326): Measurement of Credit Losses on Financial Instruments” (“ASU 2016-13”) and, as a result, we were required to record an allowance for current expected credit losses related to our outstanding (1) related party note receivable, (2) notes receivable and (3) off-balance sheet credit exposures.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from Investments in Securities</w:t>
      </w:r>
    </w:p>
    <w:p>
      <w:pPr>
        <w:spacing w:after="0" w:line="108" w:lineRule="exact"/>
        <w:rPr>
          <w:sz w:val="20"/>
          <w:szCs w:val="20"/>
          <w:color w:val="auto"/>
        </w:rPr>
      </w:pPr>
    </w:p>
    <w:p>
      <w:pPr>
        <w:ind w:right="280" w:firstLine="439"/>
        <w:spacing w:after="0" w:line="252" w:lineRule="auto"/>
        <w:rPr>
          <w:sz w:val="20"/>
          <w:szCs w:val="20"/>
          <w:color w:val="auto"/>
        </w:rPr>
      </w:pPr>
      <w:r>
        <w:rPr>
          <w:rFonts w:ascii="Arial" w:cs="Arial" w:eastAsia="Arial" w:hAnsi="Arial"/>
          <w:sz w:val="18"/>
          <w:szCs w:val="18"/>
          <w:color w:val="auto"/>
        </w:rPr>
        <w:t>Gains from investments in securities for the three months ended June 30, 2021 and 2020 related to investments that we have made to reduce our market risk relating to deferred compensation plans that we maintain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from investments in securities. During the three months ended June 30, 2021 and 2020, we recognized gains of approximately $2.3 million and $4.6 million, respectively, on these investments. By comparison, our general and administrative expense increased by approximately $2.3 million and $4.6 million during the three months ended June 30, 2021 and 2020, respectively, as a result of increases in our liability under our deferred compensation plans that was associated with the performance of the specific investments selected by officers and former non-employee directors of BXP participating in the plans.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1" w:lineRule="exact"/>
        <w:rPr>
          <w:sz w:val="20"/>
          <w:szCs w:val="20"/>
          <w:color w:val="auto"/>
        </w:rPr>
      </w:pPr>
    </w:p>
    <w:p>
      <w:pPr>
        <w:ind w:right="500" w:firstLine="439"/>
        <w:spacing w:after="0" w:line="252" w:lineRule="auto"/>
        <w:rPr>
          <w:sz w:val="20"/>
          <w:szCs w:val="20"/>
          <w:color w:val="auto"/>
        </w:rPr>
      </w:pPr>
      <w:r>
        <w:rPr>
          <w:rFonts w:ascii="Arial" w:cs="Arial" w:eastAsia="Arial" w:hAnsi="Arial"/>
          <w:sz w:val="18"/>
          <w:szCs w:val="18"/>
          <w:color w:val="auto"/>
        </w:rPr>
        <w:t>Interest expense decreased by approximately $0.8 million for the three months ended June 30, 2021 compared to 2020, as detailed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jc w:val="center"/>
              <w:ind w:right="133"/>
              <w:spacing w:after="0"/>
              <w:rPr>
                <w:sz w:val="20"/>
                <w:szCs w:val="20"/>
                <w:color w:val="auto"/>
              </w:rPr>
            </w:pPr>
            <w:r>
              <w:rPr>
                <w:rFonts w:ascii="Arial" w:cs="Arial" w:eastAsia="Arial" w:hAnsi="Arial"/>
                <w:sz w:val="16"/>
                <w:szCs w:val="16"/>
                <w:b w:val="1"/>
                <w:bCs w:val="1"/>
                <w:color w:val="auto"/>
              </w:rPr>
              <w:t>Change in interest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jc w:val="center"/>
              <w:ind w:right="133"/>
              <w:spacing w:after="0" w:line="160" w:lineRule="exact"/>
              <w:rPr>
                <w:sz w:val="20"/>
                <w:szCs w:val="20"/>
                <w:color w:val="auto"/>
              </w:rPr>
            </w:pPr>
            <w:r>
              <w:rPr>
                <w:rFonts w:ascii="Arial" w:cs="Arial" w:eastAsia="Arial" w:hAnsi="Arial"/>
                <w:sz w:val="16"/>
                <w:szCs w:val="16"/>
                <w:b w:val="1"/>
                <w:bCs w:val="1"/>
                <w:color w:val="auto"/>
                <w:w w:val="98"/>
              </w:rPr>
              <w:t>expense for the three</w:t>
            </w:r>
          </w:p>
        </w:tc>
        <w:tc>
          <w:tcPr>
            <w:tcW w:w="0" w:type="dxa"/>
            <w:vAlign w:val="bottom"/>
          </w:tcPr>
          <w:p>
            <w:pPr>
              <w:spacing w:after="0"/>
              <w:rPr>
                <w:sz w:val="1"/>
                <w:szCs w:val="1"/>
                <w:color w:val="auto"/>
              </w:rPr>
            </w:pPr>
          </w:p>
        </w:tc>
      </w:tr>
      <w:tr>
        <w:trPr>
          <w:trHeight w:val="160"/>
        </w:trPr>
        <w:tc>
          <w:tcPr>
            <w:tcW w:w="90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Component</w:t>
            </w:r>
          </w:p>
        </w:tc>
        <w:tc>
          <w:tcPr>
            <w:tcW w:w="22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9"/>
              </w:rPr>
              <w:t>months ended June 30, 2021</w:t>
            </w:r>
          </w:p>
        </w:tc>
        <w:tc>
          <w:tcPr>
            <w:tcW w:w="0" w:type="dxa"/>
            <w:vAlign w:val="bottom"/>
          </w:tcPr>
          <w:p>
            <w:pPr>
              <w:spacing w:after="0"/>
              <w:rPr>
                <w:sz w:val="1"/>
                <w:szCs w:val="1"/>
                <w:color w:val="auto"/>
              </w:rPr>
            </w:pPr>
          </w:p>
        </w:tc>
      </w:tr>
      <w:tr>
        <w:trPr>
          <w:trHeight w:val="173"/>
        </w:trPr>
        <w:tc>
          <w:tcPr>
            <w:tcW w:w="9000" w:type="dxa"/>
            <w:vAlign w:val="bottom"/>
            <w:gridSpan w:val="3"/>
            <w:vMerge w:val="continue"/>
          </w:tcPr>
          <w:p>
            <w:pPr>
              <w:spacing w:after="0"/>
              <w:rPr>
                <w:sz w:val="15"/>
                <w:szCs w:val="15"/>
                <w:color w:val="auto"/>
              </w:rPr>
            </w:pPr>
          </w:p>
        </w:tc>
        <w:tc>
          <w:tcPr>
            <w:tcW w:w="2240" w:type="dxa"/>
            <w:vAlign w:val="bottom"/>
            <w:gridSpan w:val="2"/>
          </w:tcPr>
          <w:p>
            <w:pPr>
              <w:jc w:val="center"/>
              <w:spacing w:after="0" w:line="173" w:lineRule="exact"/>
              <w:rPr>
                <w:sz w:val="20"/>
                <w:szCs w:val="20"/>
                <w:color w:val="auto"/>
              </w:rPr>
            </w:pPr>
            <w:r>
              <w:rPr>
                <w:rFonts w:ascii="Arial" w:cs="Arial" w:eastAsia="Arial" w:hAnsi="Arial"/>
                <w:sz w:val="16"/>
                <w:szCs w:val="16"/>
                <w:b w:val="1"/>
                <w:bCs w:val="1"/>
                <w:color w:val="auto"/>
                <w:w w:val="99"/>
              </w:rPr>
              <w:t>compared to June 30,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jc w:val="center"/>
              <w:ind w:right="153"/>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26"/>
        </w:trPr>
        <w:tc>
          <w:tcPr>
            <w:tcW w:w="9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Increases to interest expense due to:</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980" w:type="dxa"/>
            <w:vAlign w:val="bottom"/>
            <w:gridSpan w:val="2"/>
          </w:tcPr>
          <w:p>
            <w:pPr>
              <w:ind w:left="320"/>
              <w:spacing w:after="0"/>
              <w:rPr>
                <w:sz w:val="20"/>
                <w:szCs w:val="20"/>
                <w:color w:val="auto"/>
              </w:rPr>
            </w:pPr>
            <w:r>
              <w:rPr>
                <w:rFonts w:ascii="Arial" w:cs="Arial" w:eastAsia="Arial" w:hAnsi="Arial"/>
                <w:sz w:val="18"/>
                <w:szCs w:val="18"/>
                <w:color w:val="auto"/>
              </w:rPr>
              <w:t>Issuance of $850 million in aggregate principal of 2.550% senior notes due 2032 on March 16, 2021</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Issuance of $1.25 billion in aggregate principal of 3.250% senior notes due 2031 on May 5, 2020</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980" w:type="dxa"/>
            <w:vAlign w:val="bottom"/>
            <w:gridSpan w:val="2"/>
          </w:tcPr>
          <w:p>
            <w:pPr>
              <w:ind w:left="320"/>
              <w:spacing w:after="0"/>
              <w:rPr>
                <w:sz w:val="20"/>
                <w:szCs w:val="20"/>
                <w:color w:val="auto"/>
              </w:rPr>
            </w:pPr>
            <w:r>
              <w:rPr>
                <w:rFonts w:ascii="Arial" w:cs="Arial" w:eastAsia="Arial" w:hAnsi="Arial"/>
                <w:sz w:val="18"/>
                <w:szCs w:val="18"/>
                <w:color w:val="auto"/>
              </w:rPr>
              <w:t>Increase in interest due to finance leases for two in-service properties</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Decrease in capitalized interest related to development projects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Increase in interest due to finance leases that are related to development properties</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0"/>
        </w:trPr>
        <w:tc>
          <w:tcPr>
            <w:tcW w:w="900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Total increases to interest expense</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25"/>
        </w:trPr>
        <w:tc>
          <w:tcPr>
            <w:tcW w:w="9000" w:type="dxa"/>
            <w:vAlign w:val="bottom"/>
            <w:gridSpan w:val="3"/>
          </w:tcPr>
          <w:p>
            <w:pPr>
              <w:ind w:left="20"/>
              <w:spacing w:after="0"/>
              <w:rPr>
                <w:sz w:val="20"/>
                <w:szCs w:val="20"/>
                <w:color w:val="auto"/>
              </w:rPr>
            </w:pPr>
            <w:r>
              <w:rPr>
                <w:rFonts w:ascii="Arial" w:cs="Arial" w:eastAsia="Arial" w:hAnsi="Arial"/>
                <w:sz w:val="18"/>
                <w:szCs w:val="18"/>
                <w:color w:val="auto"/>
              </w:rPr>
              <w:t>Decreases to interest expense due to:</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Redemption of $850 million in aggregate principal of 4.125% senior notes due 2021 on February 14, 2021</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980" w:type="dxa"/>
            <w:vAlign w:val="bottom"/>
            <w:gridSpan w:val="2"/>
          </w:tcPr>
          <w:p>
            <w:pPr>
              <w:ind w:left="320"/>
              <w:spacing w:after="0" w:line="185" w:lineRule="exact"/>
              <w:rPr>
                <w:sz w:val="20"/>
                <w:szCs w:val="20"/>
                <w:color w:val="auto"/>
              </w:rPr>
            </w:pPr>
            <w:r>
              <w:rPr>
                <w:rFonts w:ascii="Arial" w:cs="Arial" w:eastAsia="Arial" w:hAnsi="Arial"/>
                <w:sz w:val="18"/>
                <w:szCs w:val="18"/>
                <w:color w:val="auto"/>
              </w:rPr>
              <w:t>Decrease in interest rates for the 2017 and 2021 Credit Facilities and the repayment of the unsecured term</w:t>
            </w: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gridSpan w:val="2"/>
          </w:tcPr>
          <w:p>
            <w:pPr>
              <w:ind w:left="560"/>
              <w:spacing w:after="0"/>
              <w:rPr>
                <w:sz w:val="20"/>
                <w:szCs w:val="20"/>
                <w:color w:val="auto"/>
              </w:rPr>
            </w:pPr>
            <w:r>
              <w:rPr>
                <w:rFonts w:ascii="Arial" w:cs="Arial" w:eastAsia="Arial" w:hAnsi="Arial"/>
                <w:sz w:val="18"/>
                <w:szCs w:val="18"/>
                <w:color w:val="auto"/>
              </w:rPr>
              <w:t>loan on March 16, 2021 (1)</w:t>
            </w:r>
          </w:p>
        </w:tc>
        <w:tc>
          <w:tcPr>
            <w:tcW w:w="2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Increase in capitalized interest related to development projects that had finance leases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980" w:type="dxa"/>
            <w:vAlign w:val="bottom"/>
            <w:gridSpan w:val="2"/>
          </w:tcPr>
          <w:p>
            <w:pPr>
              <w:ind w:left="320"/>
              <w:spacing w:after="0"/>
              <w:rPr>
                <w:sz w:val="20"/>
                <w:szCs w:val="20"/>
                <w:color w:val="auto"/>
              </w:rPr>
            </w:pPr>
            <w:r>
              <w:rPr>
                <w:rFonts w:ascii="Arial" w:cs="Arial" w:eastAsia="Arial" w:hAnsi="Arial"/>
                <w:sz w:val="18"/>
                <w:szCs w:val="18"/>
                <w:color w:val="auto"/>
              </w:rPr>
              <w:t>Other interest expense (excluding senior notes)</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Decrease in interest related to the repayment of University Place mortgage loan</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9"/>
        </w:trPr>
        <w:tc>
          <w:tcPr>
            <w:tcW w:w="9000" w:type="dxa"/>
            <w:vAlign w:val="bottom"/>
            <w:tcBorders>
              <w:bottom w:val="single" w:sz="8" w:color="CCEEFF"/>
            </w:tcBorders>
            <w:gridSpan w:val="3"/>
          </w:tcPr>
          <w:p>
            <w:pPr>
              <w:ind w:left="20"/>
              <w:spacing w:after="0" w:line="205" w:lineRule="exact"/>
              <w:rPr>
                <w:sz w:val="20"/>
                <w:szCs w:val="20"/>
                <w:color w:val="auto"/>
              </w:rPr>
            </w:pPr>
            <w:r>
              <w:rPr>
                <w:rFonts w:ascii="Arial" w:cs="Arial" w:eastAsia="Arial" w:hAnsi="Arial"/>
                <w:sz w:val="18"/>
                <w:szCs w:val="18"/>
                <w:color w:val="auto"/>
              </w:rPr>
              <w:t>Total decreases to interest expense</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44"/>
        </w:trPr>
        <w:tc>
          <w:tcPr>
            <w:tcW w:w="9000" w:type="dxa"/>
            <w:vAlign w:val="bottom"/>
            <w:tcBorders>
              <w:bottom w:val="single" w:sz="8" w:color="CCEEFF"/>
            </w:tcBorders>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Total change in interest expense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620" w:hanging="314"/>
        <w:spacing w:after="0" w:line="253" w:lineRule="auto"/>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 June 15, 2021, BPLP entered into the 2021 Credit Facility, which replaced the 2017 Credit Facility (See Note 8 to the Consolidated Financial Statements).</w:t>
      </w:r>
    </w:p>
    <w:p>
      <w:pPr>
        <w:spacing w:after="0" w:line="248" w:lineRule="exact"/>
        <w:rPr>
          <w:sz w:val="20"/>
          <w:szCs w:val="20"/>
          <w:color w:val="auto"/>
        </w:rPr>
      </w:pPr>
    </w:p>
    <w:p>
      <w:pPr>
        <w:ind w:right="240" w:firstLine="439"/>
        <w:spacing w:after="0" w:line="248" w:lineRule="auto"/>
        <w:rPr>
          <w:sz w:val="20"/>
          <w:szCs w:val="20"/>
          <w:color w:val="auto"/>
        </w:rPr>
      </w:pPr>
      <w:r>
        <w:rPr>
          <w:rFonts w:ascii="Arial" w:cs="Arial" w:eastAsia="Arial" w:hAnsi="Arial"/>
          <w:sz w:val="18"/>
          <w:szCs w:val="18"/>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June 30, 2021 and 2020 was approximately $13.0 million and $13.7 million, respectively. These costs are not included in the interest expense referenced above.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firstLine="439"/>
        <w:spacing w:after="0" w:line="248" w:lineRule="auto"/>
        <w:rPr>
          <w:sz w:val="20"/>
          <w:szCs w:val="20"/>
          <w:color w:val="auto"/>
        </w:rPr>
      </w:pPr>
      <w:r>
        <w:rPr>
          <w:rFonts w:ascii="Arial" w:cs="Arial" w:eastAsia="Arial" w:hAnsi="Arial"/>
          <w:sz w:val="18"/>
          <w:szCs w:val="18"/>
          <w:color w:val="auto"/>
        </w:rPr>
        <w:t>At June 30, 2021, our outstanding variable rate debt consisted of BPLP’s $1.5 billion Revolving Facility. The Revolving Facility did not have an outstanding balance as of June 30, 2021. For a summary of our consolidated debt as of June 30, 2021 and June 30, 2020 refer to the heading “</w:t>
      </w:r>
      <w:r>
        <w:rPr>
          <w:rFonts w:ascii="Arial" w:cs="Arial" w:eastAsia="Arial" w:hAnsi="Arial"/>
          <w:sz w:val="18"/>
          <w:szCs w:val="18"/>
          <w:i w:val="1"/>
          <w:iCs w:val="1"/>
          <w:color w:val="auto"/>
        </w:rPr>
        <w:t>Liquidity and Capital Resources—Capitalization—Debt Financing”</w:t>
      </w:r>
      <w:r>
        <w:rPr>
          <w:rFonts w:ascii="Arial" w:cs="Arial" w:eastAsia="Arial" w:hAnsi="Arial"/>
          <w:sz w:val="18"/>
          <w:szCs w:val="18"/>
          <w:color w:val="auto"/>
        </w:rPr>
        <w:t xml:space="preserve"> within “</w:t>
      </w:r>
      <w:r>
        <w:rPr>
          <w:rFonts w:ascii="Arial" w:cs="Arial" w:eastAsia="Arial" w:hAnsi="Arial"/>
          <w:sz w:val="18"/>
          <w:szCs w:val="18"/>
          <w:i w:val="1"/>
          <w:iCs w:val="1"/>
          <w:color w:val="auto"/>
        </w:rPr>
        <w:t>Item 2—Management’s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Interests in Property Partnerships</w:t>
      </w:r>
    </w:p>
    <w:p>
      <w:pPr>
        <w:spacing w:after="0" w:line="108" w:lineRule="exact"/>
        <w:rPr>
          <w:sz w:val="20"/>
          <w:szCs w:val="20"/>
          <w:color w:val="auto"/>
        </w:rPr>
      </w:pPr>
    </w:p>
    <w:p>
      <w:pPr>
        <w:ind w:right="440" w:firstLine="439"/>
        <w:spacing w:after="0" w:line="252" w:lineRule="auto"/>
        <w:rPr>
          <w:sz w:val="20"/>
          <w:szCs w:val="20"/>
          <w:color w:val="auto"/>
        </w:rPr>
      </w:pPr>
      <w:r>
        <w:rPr>
          <w:rFonts w:ascii="Arial" w:cs="Arial" w:eastAsia="Arial" w:hAnsi="Arial"/>
          <w:sz w:val="18"/>
          <w:szCs w:val="18"/>
          <w:color w:val="auto"/>
        </w:rPr>
        <w:t>Noncontrolling interests in property partnerships increased by approximately $17.9 million for the three months ended June 30, 2021 compared to 2020, as detailed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40" w:type="dxa"/>
            <w:vAlign w:val="bottom"/>
            <w:gridSpan w:val="7"/>
          </w:tcPr>
          <w:p>
            <w:pPr>
              <w:jc w:val="center"/>
              <w:ind w:right="33"/>
              <w:spacing w:after="0"/>
              <w:rPr>
                <w:sz w:val="20"/>
                <w:szCs w:val="20"/>
                <w:color w:val="auto"/>
              </w:rPr>
            </w:pPr>
            <w:r>
              <w:rPr>
                <w:rFonts w:ascii="Arial" w:cs="Arial" w:eastAsia="Arial" w:hAnsi="Arial"/>
                <w:sz w:val="16"/>
                <w:szCs w:val="16"/>
                <w:b w:val="1"/>
                <w:bCs w:val="1"/>
                <w:color w:val="auto"/>
                <w:w w:val="99"/>
              </w:rPr>
              <w:t>Noncontrolling Interests in Property Partnerships for the three</w:t>
            </w:r>
          </w:p>
        </w:tc>
      </w:tr>
      <w:tr>
        <w:trPr>
          <w:trHeight w:val="213"/>
        </w:trPr>
        <w:tc>
          <w:tcPr>
            <w:tcW w:w="3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months ended June 30,</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30"/>
        </w:trPr>
        <w:tc>
          <w:tcPr>
            <w:tcW w:w="6280" w:type="dxa"/>
            <w:vAlign w:val="bottom"/>
            <w:gridSpan w:val="3"/>
          </w:tcPr>
          <w:p>
            <w:pPr>
              <w:ind w:left="20"/>
              <w:spacing w:after="0"/>
              <w:rPr>
                <w:sz w:val="20"/>
                <w:szCs w:val="20"/>
                <w:color w:val="auto"/>
              </w:rPr>
            </w:pPr>
            <w:r>
              <w:rPr>
                <w:rFonts w:ascii="Arial" w:cs="Arial" w:eastAsia="Arial" w:hAnsi="Arial"/>
                <w:sz w:val="16"/>
                <w:szCs w:val="16"/>
                <w:b w:val="1"/>
                <w:bCs w:val="1"/>
                <w:color w:val="auto"/>
              </w:rPr>
              <w:t>Property</w:t>
            </w:r>
          </w:p>
        </w:tc>
        <w:tc>
          <w:tcPr>
            <w:tcW w:w="120" w:type="dxa"/>
            <w:vAlign w:val="bottom"/>
          </w:tcPr>
          <w:p>
            <w:pPr>
              <w:spacing w:after="0"/>
              <w:rPr>
                <w:sz w:val="20"/>
                <w:szCs w:val="20"/>
                <w:color w:val="auto"/>
              </w:rPr>
            </w:pPr>
          </w:p>
        </w:tc>
        <w:tc>
          <w:tcPr>
            <w:tcW w:w="1380" w:type="dxa"/>
            <w:vAlign w:val="bottom"/>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74"/>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73"/>
              <w:spacing w:after="0"/>
              <w:rPr>
                <w:sz w:val="20"/>
                <w:szCs w:val="20"/>
                <w:color w:val="auto"/>
              </w:rPr>
            </w:pPr>
            <w:r>
              <w:rPr>
                <w:rFonts w:ascii="Arial" w:cs="Arial" w:eastAsia="Arial" w:hAnsi="Arial"/>
                <w:sz w:val="16"/>
                <w:szCs w:val="16"/>
                <w:b w:val="1"/>
                <w:bCs w:val="1"/>
                <w:color w:val="auto"/>
              </w:rPr>
              <w:t>Change</w:t>
            </w:r>
          </w:p>
        </w:tc>
      </w:tr>
      <w:tr>
        <w:trPr>
          <w:trHeight w:val="208"/>
        </w:trPr>
        <w:tc>
          <w:tcPr>
            <w:tcW w:w="340" w:type="dxa"/>
            <w:vAlign w:val="bottom"/>
            <w:tcBorders>
              <w:top w:val="single" w:sz="8" w:color="auto"/>
            </w:tcBorders>
          </w:tcPr>
          <w:p>
            <w:pPr>
              <w:spacing w:after="0"/>
              <w:rPr>
                <w:sz w:val="18"/>
                <w:szCs w:val="18"/>
                <w:color w:val="auto"/>
              </w:rPr>
            </w:pPr>
          </w:p>
        </w:tc>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(in thousands)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6"/>
        </w:trPr>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767</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Fifth Avenue (the General Motors Building)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r>
      <w:tr>
        <w:trPr>
          <w:trHeight w:val="225"/>
        </w:trPr>
        <w:tc>
          <w:tcPr>
            <w:tcW w:w="6280" w:type="dxa"/>
            <w:vAlign w:val="bottom"/>
            <w:gridSpan w:val="3"/>
          </w:tcPr>
          <w:p>
            <w:pPr>
              <w:ind w:left="20"/>
              <w:spacing w:after="0"/>
              <w:rPr>
                <w:sz w:val="20"/>
                <w:szCs w:val="20"/>
                <w:color w:val="auto"/>
              </w:rPr>
            </w:pPr>
            <w:r>
              <w:rPr>
                <w:rFonts w:ascii="Arial" w:cs="Arial" w:eastAsia="Arial" w:hAnsi="Arial"/>
                <w:sz w:val="18"/>
                <w:szCs w:val="18"/>
                <w:color w:val="auto"/>
              </w:rPr>
              <w:t>Times Square Tower (2)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(10,216)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15,236</w:t>
            </w:r>
          </w:p>
        </w:tc>
      </w:tr>
      <w:tr>
        <w:trPr>
          <w:trHeight w:val="227"/>
        </w:trPr>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601</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Lexington Avenue</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340" w:type="dxa"/>
            <w:vAlign w:val="bottom"/>
          </w:tcPr>
          <w:p>
            <w:pPr>
              <w:ind w:left="20"/>
              <w:spacing w:after="0"/>
              <w:rPr>
                <w:sz w:val="20"/>
                <w:szCs w:val="20"/>
                <w:color w:val="auto"/>
              </w:rPr>
            </w:pPr>
            <w:r>
              <w:rPr>
                <w:rFonts w:ascii="Arial" w:cs="Arial" w:eastAsia="Arial" w:hAnsi="Arial"/>
                <w:sz w:val="18"/>
                <w:szCs w:val="18"/>
                <w:color w:val="auto"/>
                <w:w w:val="99"/>
              </w:rPr>
              <w:t>100</w:t>
            </w: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Federal Street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26"/>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Atlantic Wharf Office Building</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19"/>
        </w:trPr>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17,164</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17,931</w:t>
            </w:r>
          </w:p>
        </w:tc>
      </w:tr>
      <w:tr>
        <w:trPr>
          <w:trHeight w:val="20"/>
        </w:trPr>
        <w:tc>
          <w:tcPr>
            <w:tcW w:w="3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560" w:right="40" w:hanging="314"/>
        <w:spacing w:after="0" w:line="242" w:lineRule="auto"/>
        <w:tabs>
          <w:tab w:leader="none" w:pos="55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increase was primarily attributable to an increase in lease revenue from our tenants. In addition, during the three months ended June 30, 2020, we accelerated amortization expense related to a below-market lease that terminated early.</w:t>
      </w:r>
    </w:p>
    <w:p>
      <w:pPr>
        <w:spacing w:after="0" w:line="1" w:lineRule="exact"/>
        <w:rPr>
          <w:rFonts w:ascii="Arial" w:cs="Arial" w:eastAsia="Arial" w:hAnsi="Arial"/>
          <w:sz w:val="16"/>
          <w:szCs w:val="16"/>
          <w:color w:val="auto"/>
        </w:rPr>
      </w:pPr>
    </w:p>
    <w:p>
      <w:pPr>
        <w:jc w:val="both"/>
        <w:ind w:left="560" w:right="120" w:hanging="314"/>
        <w:spacing w:after="0" w:line="248" w:lineRule="auto"/>
        <w:tabs>
          <w:tab w:leader="none" w:pos="555" w:val="left"/>
        </w:tabs>
        <w:numPr>
          <w:ilvl w:val="0"/>
          <w:numId w:val="64"/>
        </w:numPr>
        <w:rPr>
          <w:rFonts w:ascii="Arial" w:cs="Arial" w:eastAsia="Arial" w:hAnsi="Arial"/>
          <w:sz w:val="16"/>
          <w:szCs w:val="16"/>
          <w:color w:val="auto"/>
        </w:rPr>
      </w:pPr>
      <w:r>
        <w:rPr>
          <w:rFonts w:ascii="Arial" w:cs="Arial" w:eastAsia="Arial" w:hAnsi="Arial"/>
          <w:sz w:val="16"/>
          <w:szCs w:val="16"/>
          <w:color w:val="auto"/>
        </w:rPr>
        <w:t>During the three months ended June 30, 2020, we wrote off approximately $26.8 million of accrued rent and accounts receivable balances for tenants that either terminated their leases or for which we determined their accrued rent and/or accounts receivable balances, primarily retail tenants, were no longer probable of collection. Approximately $12.0 million represents our partners’ share of the write-offs.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Interest—Common Units of the Operating Partnership</w:t>
      </w:r>
    </w:p>
    <w:p>
      <w:pPr>
        <w:spacing w:after="0" w:line="121" w:lineRule="exact"/>
        <w:rPr>
          <w:sz w:val="20"/>
          <w:szCs w:val="20"/>
          <w:color w:val="auto"/>
        </w:rPr>
      </w:pPr>
    </w:p>
    <w:p>
      <w:pPr>
        <w:ind w:right="120" w:firstLine="439"/>
        <w:spacing w:after="0" w:line="248" w:lineRule="auto"/>
        <w:rPr>
          <w:sz w:val="20"/>
          <w:szCs w:val="20"/>
          <w:color w:val="auto"/>
        </w:rPr>
      </w:pPr>
      <w:r>
        <w:rPr>
          <w:rFonts w:ascii="Arial" w:cs="Arial" w:eastAsia="Arial" w:hAnsi="Arial"/>
          <w:sz w:val="18"/>
          <w:szCs w:val="18"/>
          <w:color w:val="auto"/>
        </w:rPr>
        <w:t>For BXP, noncontrolling interest—common units of the Operating Partnership decreased by approximately $17.8 million for the three months ended June 30, 2021 compared to 2020 due primarily to a decrease in allocable income, which was the result of recognizing a greater gain on sales of real estate amount during 2020. Due to our ownership structure, there is no corresponding line item on BPLP’s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liquidity needs for the next twelve months and beyond are to:</w:t>
      </w:r>
    </w:p>
    <w:p>
      <w:pPr>
        <w:spacing w:after="0" w:line="152" w:lineRule="exact"/>
        <w:rPr>
          <w:sz w:val="20"/>
          <w:szCs w:val="20"/>
          <w:color w:val="auto"/>
        </w:rPr>
      </w:pPr>
    </w:p>
    <w:p>
      <w:pPr>
        <w:ind w:left="720" w:hanging="315"/>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fund normal recurring expenses;</w:t>
      </w:r>
    </w:p>
    <w:p>
      <w:pPr>
        <w:spacing w:after="0" w:line="5" w:lineRule="exact"/>
        <w:rPr>
          <w:rFonts w:ascii="Arial" w:cs="Arial" w:eastAsia="Arial" w:hAnsi="Arial"/>
          <w:sz w:val="18"/>
          <w:szCs w:val="18"/>
          <w:color w:val="auto"/>
        </w:rPr>
      </w:pPr>
    </w:p>
    <w:p>
      <w:pPr>
        <w:ind w:left="720" w:hanging="315"/>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meet debt service and principal repayment obligations, including balloon payments on maturing debt;</w:t>
      </w:r>
    </w:p>
    <w:p>
      <w:pPr>
        <w:spacing w:after="0" w:line="5" w:lineRule="exact"/>
        <w:rPr>
          <w:rFonts w:ascii="Arial" w:cs="Arial" w:eastAsia="Arial" w:hAnsi="Arial"/>
          <w:sz w:val="18"/>
          <w:szCs w:val="18"/>
          <w:color w:val="auto"/>
        </w:rPr>
      </w:pPr>
    </w:p>
    <w:p>
      <w:pPr>
        <w:ind w:left="720" w:hanging="315"/>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fund development and redevelopment costs;</w:t>
      </w:r>
    </w:p>
    <w:p>
      <w:pPr>
        <w:spacing w:after="0" w:line="5" w:lineRule="exact"/>
        <w:rPr>
          <w:rFonts w:ascii="Arial" w:cs="Arial" w:eastAsia="Arial" w:hAnsi="Arial"/>
          <w:sz w:val="18"/>
          <w:szCs w:val="18"/>
          <w:color w:val="auto"/>
        </w:rPr>
      </w:pPr>
    </w:p>
    <w:p>
      <w:pPr>
        <w:ind w:left="720" w:hanging="315"/>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fund capital expenditures, including major renovations, tenant improvements and leasing costs;</w:t>
      </w:r>
    </w:p>
    <w:p>
      <w:pPr>
        <w:spacing w:after="0" w:line="5" w:lineRule="exact"/>
        <w:rPr>
          <w:rFonts w:ascii="Arial" w:cs="Arial" w:eastAsia="Arial" w:hAnsi="Arial"/>
          <w:sz w:val="18"/>
          <w:szCs w:val="18"/>
          <w:color w:val="auto"/>
        </w:rPr>
      </w:pPr>
    </w:p>
    <w:p>
      <w:pPr>
        <w:ind w:left="720" w:hanging="315"/>
        <w:spacing w:after="0"/>
        <w:tabs>
          <w:tab w:leader="none" w:pos="7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fund pending and possible acquisitions of properties, either directly or indirectly through the acquisition of equity interests therein; and</w:t>
      </w:r>
    </w:p>
    <w:p>
      <w:pPr>
        <w:spacing w:after="0" w:line="17" w:lineRule="exact"/>
        <w:rPr>
          <w:rFonts w:ascii="Arial" w:cs="Arial" w:eastAsia="Arial" w:hAnsi="Arial"/>
          <w:sz w:val="17"/>
          <w:szCs w:val="17"/>
          <w:color w:val="auto"/>
        </w:rPr>
      </w:pPr>
    </w:p>
    <w:p>
      <w:pPr>
        <w:ind w:left="720" w:right="60" w:hanging="315"/>
        <w:spacing w:after="0" w:line="252" w:lineRule="auto"/>
        <w:tabs>
          <w:tab w:leader="none" w:pos="7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make the minimum distribution required to enable BXP to maintain its REIT qualification under the Internal Revenue Code of 1986, as amended.</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to satisfy these needs using one or more of the following:</w:t>
      </w:r>
    </w:p>
    <w:p>
      <w:pPr>
        <w:spacing w:after="0" w:line="152" w:lineRule="exact"/>
        <w:rPr>
          <w:sz w:val="20"/>
          <w:szCs w:val="20"/>
          <w:color w:val="auto"/>
        </w:rPr>
      </w:pPr>
    </w:p>
    <w:p>
      <w:pPr>
        <w:ind w:left="720" w:hanging="315"/>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5" w:lineRule="exact"/>
        <w:rPr>
          <w:rFonts w:ascii="Arial" w:cs="Arial" w:eastAsia="Arial" w:hAnsi="Arial"/>
          <w:sz w:val="18"/>
          <w:szCs w:val="18"/>
          <w:color w:val="auto"/>
        </w:rPr>
      </w:pPr>
    </w:p>
    <w:p>
      <w:pPr>
        <w:ind w:left="720" w:hanging="315"/>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distribution of cash flows from joint ventures;</w:t>
      </w:r>
    </w:p>
    <w:p>
      <w:pPr>
        <w:spacing w:after="0" w:line="5" w:lineRule="exact"/>
        <w:rPr>
          <w:rFonts w:ascii="Arial" w:cs="Arial" w:eastAsia="Arial" w:hAnsi="Arial"/>
          <w:sz w:val="18"/>
          <w:szCs w:val="18"/>
          <w:color w:val="auto"/>
        </w:rPr>
      </w:pPr>
    </w:p>
    <w:p>
      <w:pPr>
        <w:ind w:left="720" w:hanging="315"/>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and cash equivalent balances;</w:t>
      </w:r>
    </w:p>
    <w:p>
      <w:pPr>
        <w:spacing w:after="0" w:line="5" w:lineRule="exact"/>
        <w:rPr>
          <w:rFonts w:ascii="Arial" w:cs="Arial" w:eastAsia="Arial" w:hAnsi="Arial"/>
          <w:sz w:val="18"/>
          <w:szCs w:val="18"/>
          <w:color w:val="auto"/>
        </w:rPr>
      </w:pPr>
    </w:p>
    <w:p>
      <w:pPr>
        <w:ind w:left="720" w:hanging="315"/>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borrowings under BPLP’s 2021 Credit Facility, short-term bridge facilities and construction loans;</w:t>
      </w:r>
    </w:p>
    <w:p>
      <w:pPr>
        <w:spacing w:after="0" w:line="5" w:lineRule="exact"/>
        <w:rPr>
          <w:rFonts w:ascii="Arial" w:cs="Arial" w:eastAsia="Arial" w:hAnsi="Arial"/>
          <w:sz w:val="18"/>
          <w:szCs w:val="18"/>
          <w:color w:val="auto"/>
        </w:rPr>
      </w:pPr>
    </w:p>
    <w:p>
      <w:pPr>
        <w:ind w:left="720" w:hanging="315"/>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long-term secured and unsecured indebtedness (including unsecured exchangeable indebtedness);</w:t>
      </w:r>
    </w:p>
    <w:p>
      <w:pPr>
        <w:sectPr>
          <w:pgSz w:w="11900" w:h="16838" w:orient="portrait"/>
          <w:cols w:equalWidth="0" w:num="1">
            <w:col w:w="11240"/>
          </w:cols>
          <w:pgMar w:left="320" w:top="298"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720" w:hanging="315"/>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sales of real estate; and</w:t>
      </w:r>
    </w:p>
    <w:p>
      <w:pPr>
        <w:spacing w:after="0" w:line="5" w:lineRule="exact"/>
        <w:rPr>
          <w:rFonts w:ascii="Arial" w:cs="Arial" w:eastAsia="Arial" w:hAnsi="Arial"/>
          <w:sz w:val="18"/>
          <w:szCs w:val="18"/>
          <w:color w:val="auto"/>
        </w:rPr>
      </w:pPr>
    </w:p>
    <w:p>
      <w:pPr>
        <w:ind w:left="720" w:hanging="315"/>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issuances of BXP equity securities and/or preferred or common units of partnership interest in BPLP.</w:t>
      </w:r>
    </w:p>
    <w:p>
      <w:pPr>
        <w:spacing w:after="0" w:line="165"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We draw on multiple financing sources to fund our long-term capital needs. We expect to fund our current development properties primarily with our available cash balances, construction loans and BPLP’s Revolving Facility. We use BPLP’s Revolving Facility primarily as a bridge facility to fund acquisition opportunities, refinance outstanding indebtedness and meet short-term development and working capital needs. Although we may seek to fund our development projects with construction loans, which may require guarantees by BPLP, the financing for each particular project ultimately depends on several factors, including, among others, the project’s size and duration, the extent of pre-leasing and our available cash and access to cost effective capital at the given time.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298" w:right="4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information on properties under construction and redevelopment as of June 30, 2021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5"/>
          </w:tcPr>
          <w:p>
            <w:pPr>
              <w:ind w:left="320"/>
              <w:spacing w:after="0"/>
              <w:rPr>
                <w:sz w:val="20"/>
                <w:szCs w:val="20"/>
                <w:color w:val="auto"/>
              </w:rPr>
            </w:pPr>
            <w:r>
              <w:rPr>
                <w:rFonts w:ascii="Arial" w:cs="Arial" w:eastAsia="Arial" w:hAnsi="Arial"/>
                <w:sz w:val="12"/>
                <w:szCs w:val="12"/>
                <w:b w:val="1"/>
                <w:bCs w:val="1"/>
                <w:color w:val="auto"/>
              </w:rPr>
              <w:t>Financings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rPr>
              <w:t>Estimated</w:t>
            </w: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Estimated</w:t>
            </w: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Estimated</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rPr>
              <w:t>Investment</w:t>
            </w:r>
          </w:p>
        </w:tc>
        <w:tc>
          <w:tcPr>
            <w:tcW w:w="8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7"/>
              </w:rPr>
              <w:t>Total</w:t>
            </w:r>
          </w:p>
        </w:tc>
        <w:tc>
          <w:tcPr>
            <w:tcW w:w="8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Outstanding</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rPr>
              <w:t>Future</w:t>
            </w: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Estimated</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 of</w:t>
            </w:r>
          </w:p>
        </w:tc>
        <w:tc>
          <w:tcPr>
            <w:tcW w:w="76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8"/>
              </w:rPr>
              <w:t>Equity</w:t>
            </w: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rPr>
              <w:t>Percentage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60" w:type="dxa"/>
            <w:vAlign w:val="bottom"/>
            <w:gridSpan w:val="5"/>
            <w:vMerge w:val="restart"/>
          </w:tcPr>
          <w:p>
            <w:pPr>
              <w:ind w:left="320"/>
              <w:spacing w:after="0"/>
              <w:rPr>
                <w:sz w:val="20"/>
                <w:szCs w:val="20"/>
                <w:color w:val="auto"/>
              </w:rPr>
            </w:pPr>
            <w:r>
              <w:rPr>
                <w:rFonts w:ascii="Arial" w:cs="Arial" w:eastAsia="Arial" w:hAnsi="Arial"/>
                <w:sz w:val="12"/>
                <w:szCs w:val="12"/>
                <w:b w:val="1"/>
                <w:bCs w:val="1"/>
                <w:color w:val="auto"/>
              </w:rPr>
              <w:t>Construction Properties</w:t>
            </w:r>
          </w:p>
        </w:tc>
        <w:tc>
          <w:tcPr>
            <w:tcW w:w="1260" w:type="dxa"/>
            <w:vAlign w:val="bottom"/>
            <w:gridSpan w:val="2"/>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Location</w:t>
            </w:r>
          </w:p>
        </w:tc>
        <w:tc>
          <w:tcPr>
            <w:tcW w:w="680" w:type="dxa"/>
            <w:vAlign w:val="bottom"/>
            <w:gridSpan w:val="2"/>
            <w:vMerge w:val="continue"/>
          </w:tcPr>
          <w:p>
            <w:pPr>
              <w:spacing w:after="0"/>
              <w:rPr>
                <w:sz w:val="10"/>
                <w:szCs w:val="10"/>
                <w:color w:val="auto"/>
              </w:rPr>
            </w:pPr>
          </w:p>
        </w:tc>
        <w:tc>
          <w:tcPr>
            <w:tcW w:w="760" w:type="dxa"/>
            <w:vAlign w:val="bottom"/>
            <w:gridSpan w:val="2"/>
          </w:tcPr>
          <w:p>
            <w:pPr>
              <w:jc w:val="center"/>
              <w:ind w:right="60"/>
              <w:spacing w:after="0" w:line="120" w:lineRule="exact"/>
              <w:rPr>
                <w:sz w:val="20"/>
                <w:szCs w:val="20"/>
                <w:color w:val="auto"/>
              </w:rPr>
            </w:pPr>
            <w:r>
              <w:rPr>
                <w:rFonts w:ascii="Arial" w:cs="Arial" w:eastAsia="Arial" w:hAnsi="Arial"/>
                <w:sz w:val="12"/>
                <w:szCs w:val="12"/>
                <w:b w:val="1"/>
                <w:bCs w:val="1"/>
                <w:color w:val="auto"/>
              </w:rPr>
              <w:t>Square</w:t>
            </w:r>
          </w:p>
        </w:tc>
        <w:tc>
          <w:tcPr>
            <w:tcW w:w="86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rPr>
              <w:t>to Date (1)</w:t>
            </w:r>
          </w:p>
        </w:tc>
        <w:tc>
          <w:tcPr>
            <w:tcW w:w="84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rPr>
              <w:t>Investment</w:t>
            </w:r>
          </w:p>
        </w:tc>
        <w:tc>
          <w:tcPr>
            <w:tcW w:w="78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rPr>
              <w:t>Available</w:t>
            </w:r>
          </w:p>
        </w:tc>
        <w:tc>
          <w:tcPr>
            <w:tcW w:w="860" w:type="dxa"/>
            <w:vAlign w:val="bottom"/>
            <w:gridSpan w:val="3"/>
          </w:tcPr>
          <w:p>
            <w:pPr>
              <w:ind w:left="40"/>
              <w:spacing w:after="0" w:line="120" w:lineRule="exact"/>
              <w:rPr>
                <w:sz w:val="20"/>
                <w:szCs w:val="20"/>
                <w:color w:val="auto"/>
              </w:rPr>
            </w:pPr>
            <w:r>
              <w:rPr>
                <w:rFonts w:ascii="Arial" w:cs="Arial" w:eastAsia="Arial" w:hAnsi="Arial"/>
                <w:sz w:val="12"/>
                <w:szCs w:val="12"/>
                <w:b w:val="1"/>
                <w:bCs w:val="1"/>
                <w:color w:val="auto"/>
              </w:rPr>
              <w:t>at 6/30/2021</w:t>
            </w:r>
          </w:p>
        </w:tc>
        <w:tc>
          <w:tcPr>
            <w:tcW w:w="88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rPr>
              <w:t>Requirement</w:t>
            </w: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Stabilization Date</w:t>
            </w:r>
          </w:p>
        </w:tc>
        <w:tc>
          <w:tcPr>
            <w:tcW w:w="1000" w:type="dxa"/>
            <w:vAlign w:val="bottom"/>
            <w:gridSpan w:val="2"/>
            <w:vMerge w:val="continue"/>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Buildings</w:t>
            </w:r>
          </w:p>
        </w:tc>
        <w:tc>
          <w:tcPr>
            <w:tcW w:w="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Feet</w:t>
            </w:r>
          </w:p>
        </w:tc>
        <w:tc>
          <w:tcPr>
            <w:tcW w:w="100" w:type="dxa"/>
            <w:vAlign w:val="bottom"/>
          </w:tcPr>
          <w:p>
            <w:pPr>
              <w:spacing w:after="0"/>
              <w:rPr>
                <w:sz w:val="14"/>
                <w:szCs w:val="14"/>
                <w:color w:val="auto"/>
              </w:rPr>
            </w:pPr>
          </w:p>
        </w:tc>
        <w:tc>
          <w:tcPr>
            <w:tcW w:w="680" w:type="dxa"/>
            <w:vAlign w:val="bottom"/>
          </w:tcPr>
          <w:p>
            <w:pPr>
              <w:jc w:val="center"/>
              <w:ind w:right="34"/>
              <w:spacing w:after="0"/>
              <w:rPr>
                <w:sz w:val="20"/>
                <w:szCs w:val="20"/>
                <w:color w:val="auto"/>
              </w:rPr>
            </w:pPr>
            <w:r>
              <w:rPr>
                <w:rFonts w:ascii="Arial" w:cs="Arial" w:eastAsia="Arial" w:hAnsi="Arial"/>
                <w:sz w:val="12"/>
                <w:szCs w:val="12"/>
                <w:b w:val="1"/>
                <w:bCs w:val="1"/>
                <w:color w:val="auto"/>
              </w:rPr>
              <w:t>(2)(3)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4"/>
              <w:spacing w:after="0"/>
              <w:rPr>
                <w:sz w:val="20"/>
                <w:szCs w:val="20"/>
                <w:color w:val="auto"/>
              </w:rPr>
            </w:pPr>
            <w:r>
              <w:rPr>
                <w:rFonts w:ascii="Arial" w:cs="Arial" w:eastAsia="Arial" w:hAnsi="Arial"/>
                <w:sz w:val="12"/>
                <w:szCs w:val="12"/>
                <w:b w:val="1"/>
                <w:bCs w:val="1"/>
                <w:color w:val="auto"/>
              </w:rPr>
              <w:t>(1)(2)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54"/>
              <w:spacing w:after="0"/>
              <w:rPr>
                <w:sz w:val="20"/>
                <w:szCs w:val="20"/>
                <w:color w:val="auto"/>
              </w:rPr>
            </w:pP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234"/>
              <w:spacing w:after="0"/>
              <w:rPr>
                <w:sz w:val="20"/>
                <w:szCs w:val="20"/>
                <w:color w:val="auto"/>
              </w:rPr>
            </w:pP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5"/>
              <w:spacing w:after="0"/>
              <w:rPr>
                <w:sz w:val="20"/>
                <w:szCs w:val="20"/>
                <w:color w:val="auto"/>
              </w:rPr>
            </w:pPr>
            <w:r>
              <w:rPr>
                <w:rFonts w:ascii="Arial" w:cs="Arial" w:eastAsia="Arial" w:hAnsi="Arial"/>
                <w:sz w:val="12"/>
                <w:szCs w:val="12"/>
                <w:b w:val="1"/>
                <w:bCs w:val="1"/>
                <w:color w:val="auto"/>
                <w:w w:val="99"/>
              </w:rPr>
              <w:t>(1)(2)(4)</w:t>
            </w:r>
          </w:p>
        </w:tc>
        <w:tc>
          <w:tcPr>
            <w:tcW w:w="8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Leased (5)</w:t>
            </w:r>
          </w:p>
        </w:tc>
        <w:tc>
          <w:tcPr>
            <w:tcW w:w="0" w:type="dxa"/>
            <w:vAlign w:val="bottom"/>
          </w:tcPr>
          <w:p>
            <w:pPr>
              <w:spacing w:after="0"/>
              <w:rPr>
                <w:sz w:val="1"/>
                <w:szCs w:val="1"/>
                <w:color w:val="auto"/>
              </w:rPr>
            </w:pPr>
          </w:p>
        </w:tc>
      </w:tr>
      <w:tr>
        <w:trPr>
          <w:trHeight w:val="155"/>
        </w:trPr>
        <w:tc>
          <w:tcPr>
            <w:tcW w:w="2100" w:type="dxa"/>
            <w:vAlign w:val="bottom"/>
            <w:tcBorders>
              <w:top w:val="single" w:sz="8" w:color="auto"/>
            </w:tcBorders>
            <w:gridSpan w:val="5"/>
          </w:tcPr>
          <w:p>
            <w:pPr>
              <w:ind w:left="20"/>
              <w:spacing w:after="0" w:line="145" w:lineRule="exact"/>
              <w:rPr>
                <w:sz w:val="20"/>
                <w:szCs w:val="20"/>
                <w:color w:val="auto"/>
              </w:rPr>
            </w:pPr>
            <w:r>
              <w:rPr>
                <w:rFonts w:ascii="Arial" w:cs="Arial" w:eastAsia="Arial" w:hAnsi="Arial"/>
                <w:sz w:val="13"/>
                <w:szCs w:val="13"/>
                <w:b w:val="1"/>
                <w:bCs w:val="1"/>
                <w:color w:val="auto"/>
              </w:rPr>
              <w:t>Office</w:t>
            </w:r>
          </w:p>
        </w:tc>
        <w:tc>
          <w:tcPr>
            <w:tcW w:w="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Cambridge,</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325 Main Street</w:t>
            </w:r>
          </w:p>
        </w:tc>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251,146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418,400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167,254</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180" w:type="dxa"/>
            <w:vAlign w:val="bottom"/>
            <w:gridSpan w:val="6"/>
          </w:tcPr>
          <w:p>
            <w:pPr>
              <w:ind w:left="20"/>
              <w:spacing w:after="0" w:line="146" w:lineRule="exact"/>
              <w:rPr>
                <w:sz w:val="20"/>
                <w:szCs w:val="20"/>
                <w:color w:val="auto"/>
              </w:rPr>
            </w:pPr>
            <w:r>
              <w:rPr>
                <w:rFonts w:ascii="Arial" w:cs="Arial" w:eastAsia="Arial" w:hAnsi="Arial"/>
                <w:sz w:val="13"/>
                <w:szCs w:val="13"/>
                <w:color w:val="auto"/>
              </w:rPr>
              <w:t>100 Causeway Street (50%</w:t>
            </w:r>
          </w:p>
        </w:tc>
        <w:tc>
          <w:tcPr>
            <w:tcW w:w="126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Third Quarter,</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gridSpan w:val="6"/>
          </w:tcPr>
          <w:p>
            <w:pPr>
              <w:ind w:left="20"/>
              <w:spacing w:after="0"/>
              <w:rPr>
                <w:sz w:val="20"/>
                <w:szCs w:val="20"/>
                <w:color w:val="auto"/>
              </w:rPr>
            </w:pPr>
            <w:r>
              <w:rPr>
                <w:rFonts w:ascii="Arial" w:cs="Arial" w:eastAsia="Arial" w:hAnsi="Arial"/>
                <w:sz w:val="13"/>
                <w:szCs w:val="13"/>
                <w:color w:val="auto"/>
              </w:rPr>
              <w:t>ownership)</w:t>
            </w:r>
          </w:p>
        </w:tc>
        <w:tc>
          <w:tcPr>
            <w:tcW w:w="1180" w:type="dxa"/>
            <w:vAlign w:val="bottom"/>
          </w:tcPr>
          <w:p>
            <w:pPr>
              <w:ind w:left="20"/>
              <w:spacing w:after="0"/>
              <w:rPr>
                <w:sz w:val="20"/>
                <w:szCs w:val="20"/>
                <w:color w:val="auto"/>
              </w:rPr>
            </w:pPr>
            <w:r>
              <w:rPr>
                <w:rFonts w:ascii="Arial" w:cs="Arial" w:eastAsia="Arial" w:hAnsi="Arial"/>
                <w:sz w:val="13"/>
                <w:szCs w:val="13"/>
                <w:color w:val="auto"/>
              </w:rPr>
              <w:t>2022</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Boston, MA</w:t>
            </w: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632,000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217,179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267,300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137,894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95 % (6)</w:t>
            </w:r>
          </w:p>
        </w:tc>
        <w:tc>
          <w:tcPr>
            <w:tcW w:w="0" w:type="dxa"/>
            <w:vAlign w:val="bottom"/>
          </w:tcPr>
          <w:p>
            <w:pPr>
              <w:spacing w:after="0"/>
              <w:rPr>
                <w:sz w:val="1"/>
                <w:szCs w:val="1"/>
                <w:color w:val="auto"/>
              </w:rPr>
            </w:pPr>
          </w:p>
        </w:tc>
      </w:tr>
      <w:tr>
        <w:trPr>
          <w:trHeight w:val="152"/>
        </w:trPr>
        <w:tc>
          <w:tcPr>
            <w:tcW w:w="2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7750 Wisconsin Avenue (Marriott</w:t>
            </w: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160" w:type="dxa"/>
            <w:vAlign w:val="bottom"/>
            <w:gridSpan w:val="5"/>
            <w:shd w:val="clear" w:color="auto" w:fill="CCEEFF"/>
          </w:tcPr>
          <w:p>
            <w:pPr>
              <w:ind w:left="160"/>
              <w:spacing w:after="0" w:line="133" w:lineRule="exact"/>
              <w:rPr>
                <w:sz w:val="20"/>
                <w:szCs w:val="20"/>
                <w:color w:val="auto"/>
              </w:rPr>
            </w:pPr>
            <w:r>
              <w:rPr>
                <w:rFonts w:ascii="Arial" w:cs="Arial" w:eastAsia="Arial" w:hAnsi="Arial"/>
                <w:sz w:val="13"/>
                <w:szCs w:val="13"/>
                <w:color w:val="auto"/>
              </w:rPr>
              <w:t>International Headquarters)</w:t>
            </w:r>
          </w:p>
        </w:tc>
        <w:tc>
          <w:tcPr>
            <w:tcW w:w="12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3"/>
                <w:szCs w:val="13"/>
                <w:color w:val="auto"/>
              </w:rPr>
              <w:t>Second Quarter,</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216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(50% ownership)</w:t>
            </w:r>
          </w:p>
        </w:tc>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Bethesda, MD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165,438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Fourth Quarter,</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gridSpan w:val="6"/>
          </w:tcPr>
          <w:p>
            <w:pPr>
              <w:ind w:left="20"/>
              <w:spacing w:after="0"/>
              <w:rPr>
                <w:sz w:val="20"/>
                <w:szCs w:val="20"/>
                <w:color w:val="auto"/>
              </w:rPr>
            </w:pPr>
            <w:r>
              <w:rPr>
                <w:rFonts w:ascii="Arial" w:cs="Arial" w:eastAsia="Arial" w:hAnsi="Arial"/>
                <w:sz w:val="13"/>
                <w:szCs w:val="13"/>
                <w:color w:val="auto"/>
              </w:rPr>
              <w:t>Reston Next</w:t>
            </w:r>
          </w:p>
        </w:tc>
        <w:tc>
          <w:tcPr>
            <w:tcW w:w="1180" w:type="dxa"/>
            <w:vAlign w:val="bottom"/>
          </w:tcPr>
          <w:p>
            <w:pPr>
              <w:ind w:left="20"/>
              <w:spacing w:after="0"/>
              <w:rPr>
                <w:sz w:val="20"/>
                <w:szCs w:val="20"/>
                <w:color w:val="auto"/>
              </w:rPr>
            </w:pPr>
            <w:r>
              <w:rPr>
                <w:rFonts w:ascii="Arial" w:cs="Arial" w:eastAsia="Arial" w:hAnsi="Arial"/>
                <w:sz w:val="13"/>
                <w:szCs w:val="13"/>
                <w:color w:val="auto"/>
              </w:rPr>
              <w:t>2023</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Reston, VA</w:t>
            </w: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1,062,000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461,282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715,300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254,018</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85 %</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2100 Pennsylvania Avenue</w:t>
            </w:r>
          </w:p>
        </w:tc>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DC</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184,957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356,100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171,143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56 %</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3420" w:type="dxa"/>
            <w:vAlign w:val="bottom"/>
            <w:tcBorders>
              <w:bottom w:val="single" w:sz="8" w:color="CCEEFF"/>
            </w:tcBorders>
            <w:gridSpan w:val="7"/>
          </w:tcPr>
          <w:p>
            <w:pPr>
              <w:ind w:left="160"/>
              <w:spacing w:after="0"/>
              <w:rPr>
                <w:sz w:val="20"/>
                <w:szCs w:val="20"/>
                <w:color w:val="auto"/>
              </w:rPr>
            </w:pPr>
            <w:r>
              <w:rPr>
                <w:rFonts w:ascii="Arial" w:cs="Arial" w:eastAsia="Arial" w:hAnsi="Arial"/>
                <w:sz w:val="13"/>
                <w:szCs w:val="13"/>
                <w:b w:val="1"/>
                <w:bCs w:val="1"/>
                <w:color w:val="auto"/>
              </w:rPr>
              <w:t>Total Office Properties under Construction</w:t>
            </w: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3,328,000</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1,280,002</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1,956,000</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327,500</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237,320</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597,803</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87 %</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180" w:type="dxa"/>
            <w:vAlign w:val="bottom"/>
            <w:gridSpan w:val="6"/>
          </w:tcPr>
          <w:p>
            <w:pPr>
              <w:ind w:left="20"/>
              <w:spacing w:after="0" w:line="146" w:lineRule="exact"/>
              <w:rPr>
                <w:sz w:val="20"/>
                <w:szCs w:val="20"/>
                <w:color w:val="auto"/>
              </w:rPr>
            </w:pPr>
            <w:r>
              <w:rPr>
                <w:rFonts w:ascii="Arial" w:cs="Arial" w:eastAsia="Arial" w:hAnsi="Arial"/>
                <w:sz w:val="13"/>
                <w:szCs w:val="13"/>
                <w:b w:val="1"/>
                <w:bCs w:val="1"/>
                <w:color w:val="auto"/>
              </w:rPr>
              <w:t>Lab/Life Sciences</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Fourth Quarter,</w:t>
            </w: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200 West Street (Redevelopment)</w:t>
            </w:r>
          </w:p>
        </w:tc>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Waltham, MA</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28,500</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100 % (7)</w:t>
            </w:r>
          </w:p>
        </w:tc>
        <w:tc>
          <w:tcPr>
            <w:tcW w:w="0" w:type="dxa"/>
            <w:vAlign w:val="bottom"/>
          </w:tcPr>
          <w:p>
            <w:pPr>
              <w:spacing w:after="0"/>
              <w:rPr>
                <w:sz w:val="1"/>
                <w:szCs w:val="1"/>
                <w:color w:val="auto"/>
              </w:rPr>
            </w:pPr>
          </w:p>
        </w:tc>
      </w:tr>
      <w:tr>
        <w:trPr>
          <w:trHeight w:val="146"/>
        </w:trPr>
        <w:tc>
          <w:tcPr>
            <w:tcW w:w="2180" w:type="dxa"/>
            <w:vAlign w:val="bottom"/>
            <w:gridSpan w:val="6"/>
          </w:tcPr>
          <w:p>
            <w:pPr>
              <w:ind w:left="20"/>
              <w:spacing w:after="0" w:line="146" w:lineRule="exact"/>
              <w:rPr>
                <w:sz w:val="20"/>
                <w:szCs w:val="20"/>
                <w:color w:val="auto"/>
              </w:rPr>
            </w:pPr>
            <w:r>
              <w:rPr>
                <w:rFonts w:ascii="Arial" w:cs="Arial" w:eastAsia="Arial" w:hAnsi="Arial"/>
                <w:sz w:val="13"/>
                <w:szCs w:val="13"/>
                <w:color w:val="auto"/>
              </w:rPr>
              <w:t>880 Winter Street</w:t>
            </w:r>
          </w:p>
        </w:tc>
        <w:tc>
          <w:tcPr>
            <w:tcW w:w="126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Second Quarter,</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gridSpan w:val="5"/>
          </w:tcPr>
          <w:p>
            <w:pPr>
              <w:ind w:left="160"/>
              <w:spacing w:after="0"/>
              <w:rPr>
                <w:sz w:val="20"/>
                <w:szCs w:val="20"/>
                <w:color w:val="auto"/>
              </w:rPr>
            </w:pPr>
            <w:r>
              <w:rPr>
                <w:rFonts w:ascii="Arial" w:cs="Arial" w:eastAsia="Arial" w:hAnsi="Arial"/>
                <w:sz w:val="13"/>
                <w:szCs w:val="13"/>
                <w:color w:val="auto"/>
              </w:rPr>
              <w:t>(Redevelopment)</w:t>
            </w:r>
          </w:p>
        </w:tc>
        <w:tc>
          <w:tcPr>
            <w:tcW w:w="1180" w:type="dxa"/>
            <w:vAlign w:val="bottom"/>
          </w:tcPr>
          <w:p>
            <w:pPr>
              <w:ind w:left="20"/>
              <w:spacing w:after="0"/>
              <w:rPr>
                <w:sz w:val="20"/>
                <w:szCs w:val="20"/>
                <w:color w:val="auto"/>
              </w:rPr>
            </w:pPr>
            <w:r>
              <w:rPr>
                <w:rFonts w:ascii="Arial" w:cs="Arial" w:eastAsia="Arial" w:hAnsi="Arial"/>
                <w:sz w:val="13"/>
                <w:szCs w:val="13"/>
                <w:color w:val="auto"/>
              </w:rPr>
              <w:t>2024</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Waltham, MA</w:t>
            </w: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224,000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108,000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105,921</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South San</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18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751 Gateway (49% ownership)</w:t>
            </w:r>
          </w:p>
        </w:tc>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Francisco, CA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104,748</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Fourth Quarter,</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gridSpan w:val="6"/>
          </w:tcPr>
          <w:p>
            <w:pPr>
              <w:ind w:left="20"/>
              <w:spacing w:after="0"/>
              <w:rPr>
                <w:sz w:val="20"/>
                <w:szCs w:val="20"/>
                <w:color w:val="auto"/>
              </w:rPr>
            </w:pPr>
            <w:r>
              <w:rPr>
                <w:rFonts w:ascii="Arial" w:cs="Arial" w:eastAsia="Arial" w:hAnsi="Arial"/>
                <w:sz w:val="13"/>
                <w:szCs w:val="13"/>
                <w:color w:val="auto"/>
              </w:rPr>
              <w:t>180 CityPoint</w:t>
            </w:r>
          </w:p>
        </w:tc>
        <w:tc>
          <w:tcPr>
            <w:tcW w:w="1180" w:type="dxa"/>
            <w:vAlign w:val="bottom"/>
          </w:tcPr>
          <w:p>
            <w:pPr>
              <w:ind w:left="20"/>
              <w:spacing w:after="0"/>
              <w:rPr>
                <w:sz w:val="20"/>
                <w:szCs w:val="20"/>
                <w:color w:val="auto"/>
              </w:rPr>
            </w:pPr>
            <w:r>
              <w:rPr>
                <w:rFonts w:ascii="Arial" w:cs="Arial" w:eastAsia="Arial" w:hAnsi="Arial"/>
                <w:sz w:val="13"/>
                <w:szCs w:val="13"/>
                <w:color w:val="auto"/>
              </w:rPr>
              <w:t>2024</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Waltham, MA</w:t>
            </w: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329,000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27,291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274,700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247,409</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20"/>
        </w:trPr>
        <w:tc>
          <w:tcPr>
            <w:tcW w:w="20" w:type="dxa"/>
            <w:vAlign w:val="bottom"/>
            <w:tcBorders>
              <w:top w:val="single" w:sz="8" w:color="CCEEFF"/>
            </w:tcBorders>
            <w:shd w:val="clear" w:color="auto" w:fill="CCEEFF"/>
          </w:tcPr>
          <w:p>
            <w:pPr>
              <w:spacing w:after="0"/>
              <w:rPr>
                <w:sz w:val="10"/>
                <w:szCs w:val="10"/>
                <w:color w:val="auto"/>
              </w:rPr>
            </w:pPr>
          </w:p>
        </w:tc>
        <w:tc>
          <w:tcPr>
            <w:tcW w:w="3420" w:type="dxa"/>
            <w:vAlign w:val="bottom"/>
            <w:tcBorders>
              <w:top w:val="single" w:sz="8" w:color="CCEEFF"/>
            </w:tcBorders>
            <w:gridSpan w:val="7"/>
            <w:shd w:val="clear" w:color="auto" w:fill="CCEEFF"/>
          </w:tcPr>
          <w:p>
            <w:pPr>
              <w:ind w:left="160"/>
              <w:spacing w:after="0" w:line="119" w:lineRule="exact"/>
              <w:rPr>
                <w:sz w:val="20"/>
                <w:szCs w:val="20"/>
                <w:color w:val="auto"/>
              </w:rPr>
            </w:pPr>
            <w:r>
              <w:rPr>
                <w:rFonts w:ascii="Arial" w:cs="Arial" w:eastAsia="Arial" w:hAnsi="Arial"/>
                <w:sz w:val="13"/>
                <w:szCs w:val="13"/>
                <w:b w:val="1"/>
                <w:bCs w:val="1"/>
                <w:color w:val="auto"/>
              </w:rPr>
              <w:t>Total Lab/Life Sciences Properties under</w:t>
            </w:r>
          </w:p>
        </w:tc>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160" w:type="dxa"/>
            <w:vAlign w:val="bottom"/>
            <w:gridSpan w:val="5"/>
            <w:shd w:val="clear" w:color="auto" w:fill="CCEEFF"/>
          </w:tcPr>
          <w:p>
            <w:pPr>
              <w:ind w:left="160"/>
              <w:spacing w:after="0"/>
              <w:rPr>
                <w:sz w:val="20"/>
                <w:szCs w:val="20"/>
                <w:color w:val="auto"/>
              </w:rPr>
            </w:pPr>
            <w:r>
              <w:rPr>
                <w:rFonts w:ascii="Arial" w:cs="Arial" w:eastAsia="Arial" w:hAnsi="Arial"/>
                <w:sz w:val="13"/>
                <w:szCs w:val="13"/>
                <w:b w:val="1"/>
                <w:bCs w:val="1"/>
                <w:color w:val="auto"/>
              </w:rPr>
              <w:t>Construction</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558,100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486,578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3"/>
                <w:szCs w:val="13"/>
                <w:b w:val="1"/>
                <w:bCs w:val="1"/>
                <w:color w:val="auto"/>
                <w:w w:val="97"/>
              </w:rPr>
              <w:t>Other</w:t>
            </w:r>
          </w:p>
        </w:tc>
        <w:tc>
          <w:tcPr>
            <w:tcW w:w="1800" w:type="dxa"/>
            <w:vAlign w:val="bottom"/>
            <w:tcBorders>
              <w:bottom w:val="single" w:sz="8" w:color="CCEEFF"/>
            </w:tcBorders>
            <w:gridSpan w:val="4"/>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gridSpan w:val="6"/>
          </w:tcPr>
          <w:p>
            <w:pPr>
              <w:ind w:left="20"/>
              <w:spacing w:after="0" w:line="146" w:lineRule="exact"/>
              <w:rPr>
                <w:sz w:val="20"/>
                <w:szCs w:val="20"/>
                <w:color w:val="auto"/>
              </w:rPr>
            </w:pPr>
            <w:r>
              <w:rPr>
                <w:rFonts w:ascii="Arial" w:cs="Arial" w:eastAsia="Arial" w:hAnsi="Arial"/>
                <w:sz w:val="13"/>
                <w:szCs w:val="13"/>
                <w:color w:val="auto"/>
              </w:rPr>
              <w:t>The Prudential Center Observatory</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gridSpan w:val="5"/>
          </w:tcPr>
          <w:p>
            <w:pPr>
              <w:ind w:left="160"/>
              <w:spacing w:after="0"/>
              <w:rPr>
                <w:sz w:val="20"/>
                <w:szCs w:val="20"/>
                <w:color w:val="auto"/>
              </w:rPr>
            </w:pPr>
            <w:r>
              <w:rPr>
                <w:rFonts w:ascii="Arial" w:cs="Arial" w:eastAsia="Arial" w:hAnsi="Arial"/>
                <w:sz w:val="13"/>
                <w:szCs w:val="13"/>
                <w:color w:val="auto"/>
              </w:rPr>
              <w:t>(Redevelopment)</w:t>
            </w: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N/A</w:t>
            </w: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Boston, MA</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31,409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182,300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150,891</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420" w:type="dxa"/>
            <w:vAlign w:val="bottom"/>
            <w:gridSpan w:val="7"/>
            <w:shd w:val="clear" w:color="auto" w:fill="CCEEFF"/>
          </w:tcPr>
          <w:p>
            <w:pPr>
              <w:ind w:left="160"/>
              <w:spacing w:after="0"/>
              <w:rPr>
                <w:sz w:val="20"/>
                <w:szCs w:val="20"/>
                <w:color w:val="auto"/>
              </w:rPr>
            </w:pPr>
            <w:r>
              <w:rPr>
                <w:rFonts w:ascii="Arial" w:cs="Arial" w:eastAsia="Arial" w:hAnsi="Arial"/>
                <w:sz w:val="13"/>
                <w:szCs w:val="13"/>
                <w:b w:val="1"/>
                <w:bCs w:val="1"/>
                <w:color w:val="auto"/>
              </w:rPr>
              <w:t>Total Properties under Construction</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4,307,000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1,382,933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2,696,400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327,500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237,320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1,235,272</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186" w:lineRule="exact"/>
              <w:rPr>
                <w:sz w:val="20"/>
                <w:szCs w:val="20"/>
                <w:color w:val="auto"/>
              </w:rPr>
            </w:pPr>
            <w:r>
              <w:rPr>
                <w:rFonts w:ascii="Arial" w:cs="Arial" w:eastAsia="Arial" w:hAnsi="Arial"/>
                <w:sz w:val="21"/>
                <w:szCs w:val="21"/>
                <w:color w:val="auto"/>
                <w:vertAlign w:val="superscript"/>
              </w:rPr>
              <w:t>71 %</w:t>
            </w:r>
            <w:r>
              <w:rPr>
                <w:rFonts w:ascii="Arial" w:cs="Arial" w:eastAsia="Arial" w:hAnsi="Arial"/>
                <w:sz w:val="11"/>
                <w:szCs w:val="11"/>
                <w:color w:val="auto"/>
              </w:rPr>
              <w:t xml:space="preserve"> (8)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3" w:lineRule="exact"/>
        <w:rPr>
          <w:sz w:val="20"/>
          <w:szCs w:val="20"/>
          <w:color w:val="auto"/>
        </w:rPr>
      </w:pPr>
    </w:p>
    <w:p>
      <w:pPr>
        <w:ind w:left="560" w:hanging="314"/>
        <w:spacing w:after="0"/>
        <w:tabs>
          <w:tab w:leader="none" w:pos="5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Represents our share.</w:t>
      </w:r>
    </w:p>
    <w:p>
      <w:pPr>
        <w:ind w:left="560" w:right="220" w:hanging="314"/>
        <w:spacing w:after="0"/>
        <w:tabs>
          <w:tab w:leader="none" w:pos="558"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Investment to Date, Estimated Total Investment and Estimated Future Equity Requirement all include our share of acquisition expenses, as applicable, and reflect our share of the estimated net revenue/expenses that we expect to incur prior to stabilization of the project, including any amounts actually received or paid through June 30, 2021.</w:t>
      </w:r>
    </w:p>
    <w:p>
      <w:pPr>
        <w:spacing w:after="0" w:line="1" w:lineRule="exact"/>
        <w:rPr>
          <w:rFonts w:ascii="Arial" w:cs="Arial" w:eastAsia="Arial" w:hAnsi="Arial"/>
          <w:sz w:val="15"/>
          <w:szCs w:val="15"/>
          <w:color w:val="auto"/>
        </w:rPr>
      </w:pPr>
    </w:p>
    <w:p>
      <w:pPr>
        <w:ind w:left="560" w:hanging="314"/>
        <w:spacing w:after="0"/>
        <w:tabs>
          <w:tab w:leader="none" w:pos="5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Includes approximately $73.3 million of unpaid but accrued construction costs and leasing commissions.</w:t>
      </w:r>
    </w:p>
    <w:p>
      <w:pPr>
        <w:ind w:left="560" w:hanging="314"/>
        <w:spacing w:after="0"/>
        <w:tabs>
          <w:tab w:leader="none" w:pos="5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Excludes approximately $73.3 million of unpaid but accrued construction costs and leasing commissions.</w:t>
      </w:r>
    </w:p>
    <w:p>
      <w:pPr>
        <w:ind w:left="560" w:hanging="314"/>
        <w:spacing w:after="0"/>
        <w:tabs>
          <w:tab w:leader="none" w:pos="5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Represents percentage leased as of August 2, 2021, including leases with future commencement dates.</w:t>
      </w:r>
    </w:p>
    <w:p>
      <w:pPr>
        <w:ind w:left="560" w:hanging="314"/>
        <w:spacing w:after="0"/>
        <w:tabs>
          <w:tab w:leader="none" w:pos="5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This property was 2% placed in-service as of June 30, 2021.</w:t>
      </w:r>
    </w:p>
    <w:p>
      <w:pPr>
        <w:ind w:left="560" w:hanging="314"/>
        <w:spacing w:after="0"/>
        <w:tabs>
          <w:tab w:leader="none" w:pos="5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Represents a portion of the property under redevelopment for conversion to laboratory space.</w:t>
      </w:r>
    </w:p>
    <w:p>
      <w:pPr>
        <w:ind w:left="560" w:hanging="314"/>
        <w:spacing w:after="0"/>
        <w:tabs>
          <w:tab w:leader="none" w:pos="5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Percentage leased excludes The Prudential Center Observatory redevelopment at 800 Boylston Street - The Prudential Center.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firstLine="439"/>
        <w:spacing w:after="0" w:line="263" w:lineRule="auto"/>
        <w:rPr>
          <w:sz w:val="20"/>
          <w:szCs w:val="20"/>
          <w:color w:val="auto"/>
        </w:rPr>
      </w:pPr>
      <w:r>
        <w:rPr>
          <w:rFonts w:ascii="Arial" w:cs="Arial" w:eastAsia="Arial" w:hAnsi="Arial"/>
          <w:sz w:val="17"/>
          <w:szCs w:val="17"/>
          <w:color w:val="auto"/>
        </w:rPr>
        <w:t>Lease revenue (which includes recoveries from tenants), other income from operations, available cash balances, mortgage financings, unsecured indebtedness and draws on BPLP’s Revolving Facility are the principal sources of capital that we use to fund operating expenses, debt service, maintenance and repositioning capital expenditures, tenant improvements and the minimum distribution required to enable BXP to maintain its REIT qualification. We seek to maximize income from our existing properties by maintaining quality standards for our properties that promote high occupancy rates and permit increases in rental rates while reducing tenant turnover and controlling operating expenses. Our sources of revenue also include third-party fees generated by our property management, leasing and development and construction businesses, as well as the sale of assets from time to time. We believe these sources of capital will continue to provide the funds necessary for our short-term liquidity needs, including our properties under development and redevelopment. Material adverse changes in one or more sources of capital, whether due to the impacts of the COVID-19 pandemic or otherwise, may adversely affect our net cash flows.</w:t>
      </w:r>
    </w:p>
    <w:p>
      <w:pPr>
        <w:spacing w:after="0" w:line="146"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Leasing activity and ancillary revenue from transient parking and our hotel improved during the second quarter of 2021. We signed approximately 1.2 million square feet of leases in the quarter, which represents more than double the leasing volume in the first quarter of 2021 and is approximately 90% of our pre-pandemic average for the second quarter. Our parking and hotel revenue also increased approximately 28% as compared to the first quarter 2021. As the return to in-person work accelerates, we expect these trends to continue to improve over time.</w:t>
      </w:r>
    </w:p>
    <w:p>
      <w:pPr>
        <w:spacing w:after="0" w:line="154" w:lineRule="exact"/>
        <w:rPr>
          <w:sz w:val="20"/>
          <w:szCs w:val="20"/>
          <w:color w:val="auto"/>
        </w:rPr>
      </w:pPr>
    </w:p>
    <w:p>
      <w:pPr>
        <w:ind w:right="80" w:firstLine="439"/>
        <w:spacing w:after="0" w:line="248" w:lineRule="auto"/>
        <w:rPr>
          <w:sz w:val="20"/>
          <w:szCs w:val="20"/>
          <w:color w:val="auto"/>
        </w:rPr>
      </w:pPr>
      <w:r>
        <w:rPr>
          <w:rFonts w:ascii="Arial" w:cs="Arial" w:eastAsia="Arial" w:hAnsi="Arial"/>
          <w:sz w:val="18"/>
          <w:szCs w:val="18"/>
          <w:color w:val="auto"/>
        </w:rPr>
        <w:t>Our primary uses of capital over the next twelve months will be the completion of our current and committed development and redevelopment projects, funding the capital required to close our pending acquisitions, servicing the principal and interest payments on our outstanding indebtedness and satisfying our REIT distribution requirements. During the second quarter of 2021 we amended and restated our 2017 Credit Facility, to among other things, extend the maturity through June 15, 2026. In addition, we fully redeemed 80,000 shares of Series B Preferred Stock at par utilizing $200.0 million of cash.</w:t>
      </w:r>
    </w:p>
    <w:p>
      <w:pPr>
        <w:spacing w:after="0" w:line="154" w:lineRule="exact"/>
        <w:rPr>
          <w:sz w:val="20"/>
          <w:szCs w:val="20"/>
          <w:color w:val="auto"/>
        </w:rPr>
      </w:pPr>
    </w:p>
    <w:p>
      <w:pPr>
        <w:ind w:right="680" w:firstLine="439"/>
        <w:spacing w:after="0" w:line="252" w:lineRule="auto"/>
        <w:rPr>
          <w:sz w:val="20"/>
          <w:szCs w:val="20"/>
          <w:color w:val="auto"/>
        </w:rPr>
      </w:pPr>
      <w:r>
        <w:rPr>
          <w:rFonts w:ascii="Arial" w:cs="Arial" w:eastAsia="Arial" w:hAnsi="Arial"/>
          <w:sz w:val="18"/>
          <w:szCs w:val="18"/>
          <w:color w:val="auto"/>
        </w:rPr>
        <w:t>As of June 30, 2021, we had nine properties under development or redevelopment. Our share of the remaining development and redevelopment costs that we expect to fund through 2024 was approximately $1.2 billion.</w:t>
      </w:r>
    </w:p>
    <w:p>
      <w:pPr>
        <w:spacing w:after="0" w:line="150" w:lineRule="exact"/>
        <w:rPr>
          <w:sz w:val="20"/>
          <w:szCs w:val="20"/>
          <w:color w:val="auto"/>
        </w:rPr>
      </w:pPr>
    </w:p>
    <w:p>
      <w:pPr>
        <w:ind w:right="100" w:firstLine="439"/>
        <w:spacing w:after="0" w:line="268" w:lineRule="auto"/>
        <w:rPr>
          <w:sz w:val="20"/>
          <w:szCs w:val="20"/>
          <w:color w:val="auto"/>
        </w:rPr>
      </w:pPr>
      <w:r>
        <w:rPr>
          <w:rFonts w:ascii="Arial" w:cs="Arial" w:eastAsia="Arial" w:hAnsi="Arial"/>
          <w:sz w:val="17"/>
          <w:szCs w:val="17"/>
          <w:color w:val="auto"/>
        </w:rPr>
        <w:t>During the second quarter of 2021, we enhanced our investment capacity through the creation of a co-investment program with two partners, which will target an aggregate equity investment of $1.0 billion. The program expects to employ leverage allowing for an initial investment capacity of approximately $2.0 billion. Under the two-year agreement, we will provide our partners first offers to form joint ventures with us to invest in acquisition opportunities that meet the program’s target investment criteria. Each investment opportunity is discretionary.</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Since the beginning of the second quarter of 2021, we announced the following planned investments:</w:t>
      </w:r>
    </w:p>
    <w:p>
      <w:pPr>
        <w:spacing w:after="0" w:line="165" w:lineRule="exact"/>
        <w:rPr>
          <w:sz w:val="20"/>
          <w:szCs w:val="20"/>
          <w:color w:val="auto"/>
        </w:rPr>
      </w:pPr>
    </w:p>
    <w:p>
      <w:pPr>
        <w:ind w:left="800" w:right="20" w:hanging="315"/>
        <w:spacing w:after="0" w:line="268" w:lineRule="auto"/>
        <w:tabs>
          <w:tab w:leader="none" w:pos="795" w:val="left"/>
        </w:tabs>
        <w:numPr>
          <w:ilvl w:val="0"/>
          <w:numId w:val="69"/>
        </w:numPr>
        <w:rPr>
          <w:rFonts w:ascii="Arial" w:cs="Arial" w:eastAsia="Arial" w:hAnsi="Arial"/>
          <w:sz w:val="17"/>
          <w:szCs w:val="17"/>
          <w:color w:val="auto"/>
        </w:rPr>
      </w:pPr>
      <w:r>
        <w:rPr>
          <w:rFonts w:ascii="Arial" w:cs="Arial" w:eastAsia="Arial" w:hAnsi="Arial"/>
          <w:sz w:val="17"/>
          <w:szCs w:val="17"/>
          <w:color w:val="auto"/>
        </w:rPr>
        <w:t>We entered into an agreement to acquire SafeCo Plaza, located in Seattle, Washington, for a purchase price of approximately $465 million. We expect to obtain mortgage debt secured by the property and partner with one or more partners investing up to 51% of the equity required. Assuming 50% debt and a 51% ownership by us in the joint venture that owns SafeCo Plaza, our share of equity at closing is estimated to be approximately $118.6 million. The transaction is expected to close in the third quarter of 2021.</w:t>
      </w:r>
    </w:p>
    <w:p>
      <w:pPr>
        <w:spacing w:after="0" w:line="137" w:lineRule="exact"/>
        <w:rPr>
          <w:rFonts w:ascii="Arial" w:cs="Arial" w:eastAsia="Arial" w:hAnsi="Arial"/>
          <w:sz w:val="17"/>
          <w:szCs w:val="17"/>
          <w:color w:val="auto"/>
        </w:rPr>
      </w:pPr>
    </w:p>
    <w:p>
      <w:pPr>
        <w:ind w:left="800" w:right="80" w:hanging="315"/>
        <w:spacing w:after="0" w:line="268" w:lineRule="auto"/>
        <w:tabs>
          <w:tab w:leader="none" w:pos="795" w:val="left"/>
        </w:tabs>
        <w:numPr>
          <w:ilvl w:val="0"/>
          <w:numId w:val="69"/>
        </w:numPr>
        <w:rPr>
          <w:rFonts w:ascii="Arial" w:cs="Arial" w:eastAsia="Arial" w:hAnsi="Arial"/>
          <w:sz w:val="17"/>
          <w:szCs w:val="17"/>
          <w:color w:val="auto"/>
        </w:rPr>
      </w:pPr>
      <w:r>
        <w:rPr>
          <w:rFonts w:ascii="Arial" w:cs="Arial" w:eastAsia="Arial" w:hAnsi="Arial"/>
          <w:sz w:val="17"/>
          <w:szCs w:val="17"/>
          <w:color w:val="auto"/>
        </w:rPr>
        <w:t>We entered into an agreement to acquire 360 Park Avenue South, located in New York, New York, for a purchase price of approximately $300 million. At closing, we will assume approximately $202 million of mortgage debt and issue approximately $98 million of OP Units, with a floor price of $111 per OP Unit. Other than customary closing costs, no cash is required to close the transaction. We expect to fund future investment in this asset through an approximate 50%/50% joint venture with an equity partner.</w:t>
      </w:r>
    </w:p>
    <w:p>
      <w:pPr>
        <w:spacing w:after="0" w:line="137" w:lineRule="exact"/>
        <w:rPr>
          <w:rFonts w:ascii="Arial" w:cs="Arial" w:eastAsia="Arial" w:hAnsi="Arial"/>
          <w:sz w:val="17"/>
          <w:szCs w:val="17"/>
          <w:color w:val="auto"/>
        </w:rPr>
      </w:pPr>
    </w:p>
    <w:p>
      <w:pPr>
        <w:ind w:left="800" w:right="980" w:hanging="315"/>
        <w:spacing w:after="0" w:line="252" w:lineRule="auto"/>
        <w:tabs>
          <w:tab w:leader="none" w:pos="7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August 2, 2021, we acquired Shady Grove Bio+Tech Campus, located in Rockville, Maryland, for a purchase price of approximately $116.5 million, funded through available cash and funds from BPLP’s 2021 Credit Facility.</w:t>
      </w:r>
    </w:p>
    <w:p>
      <w:pPr>
        <w:spacing w:after="0" w:line="150" w:lineRule="exact"/>
        <w:rPr>
          <w:rFonts w:ascii="Arial" w:cs="Arial" w:eastAsia="Arial" w:hAnsi="Arial"/>
          <w:sz w:val="18"/>
          <w:szCs w:val="18"/>
          <w:color w:val="auto"/>
        </w:rPr>
      </w:pPr>
    </w:p>
    <w:p>
      <w:pPr>
        <w:ind w:left="800" w:right="1080" w:hanging="315"/>
        <w:spacing w:after="0" w:line="252" w:lineRule="auto"/>
        <w:tabs>
          <w:tab w:leader="none" w:pos="7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entered into an agreement to acquire 11251 Roger Bacon Drive, located in Reston, Virginia, for a purchase price of approximately $5.6 million. The transaction is expected to close in the first quarter of 2022.</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firstLine="439"/>
        <w:spacing w:after="0" w:line="252" w:lineRule="auto"/>
        <w:rPr>
          <w:sz w:val="20"/>
          <w:szCs w:val="20"/>
          <w:color w:val="auto"/>
        </w:rPr>
      </w:pPr>
      <w:r>
        <w:rPr>
          <w:rFonts w:ascii="Arial" w:cs="Arial" w:eastAsia="Arial" w:hAnsi="Arial"/>
          <w:sz w:val="18"/>
          <w:szCs w:val="18"/>
          <w:color w:val="auto"/>
        </w:rPr>
        <w:t>In addition, we entered into an agreement to sell our 181, 191 and 201 Spring Street properties, located in Lexington, Massachusetts, for a gross sales price of $191.5 million. The transaction is expected to close in the third quarter of 2021.</w:t>
      </w:r>
    </w:p>
    <w:p>
      <w:pPr>
        <w:spacing w:after="0" w:line="150"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There can be no assurance that the acquisitions and disposition outlined above will be consummated on the terms currently contemplated or at all.</w:t>
      </w:r>
    </w:p>
    <w:p>
      <w:pPr>
        <w:spacing w:after="0" w:line="150" w:lineRule="exact"/>
        <w:rPr>
          <w:sz w:val="20"/>
          <w:szCs w:val="20"/>
          <w:color w:val="auto"/>
        </w:rPr>
      </w:pPr>
    </w:p>
    <w:p>
      <w:pPr>
        <w:ind w:right="160" w:firstLine="439"/>
        <w:spacing w:after="0" w:line="249" w:lineRule="auto"/>
        <w:rPr>
          <w:sz w:val="20"/>
          <w:szCs w:val="20"/>
          <w:color w:val="auto"/>
        </w:rPr>
      </w:pPr>
      <w:r>
        <w:rPr>
          <w:rFonts w:ascii="Arial" w:cs="Arial" w:eastAsia="Arial" w:hAnsi="Arial"/>
          <w:sz w:val="18"/>
          <w:szCs w:val="18"/>
          <w:color w:val="auto"/>
        </w:rPr>
        <w:t>We have no debt maturities during the remainder of 2021, other than one loan borrowed by an unconsolidated joint venture of which our share is approximately $87.1 million. We have one loan totaling approximately $622.7 million maturing in 2022 and our unconsolidated joint ventures have two loans maturing in 2022, of which our share is approximately $145.8 million.</w:t>
      </w:r>
    </w:p>
    <w:p>
      <w:pPr>
        <w:spacing w:after="0" w:line="154" w:lineRule="exact"/>
        <w:rPr>
          <w:sz w:val="20"/>
          <w:szCs w:val="20"/>
          <w:color w:val="auto"/>
        </w:rPr>
      </w:pPr>
    </w:p>
    <w:p>
      <w:pPr>
        <w:ind w:right="100" w:firstLine="439"/>
        <w:spacing w:after="0" w:line="247" w:lineRule="auto"/>
        <w:rPr>
          <w:sz w:val="20"/>
          <w:szCs w:val="20"/>
          <w:color w:val="auto"/>
        </w:rPr>
      </w:pPr>
      <w:r>
        <w:rPr>
          <w:rFonts w:ascii="Arial" w:cs="Arial" w:eastAsia="Arial" w:hAnsi="Arial"/>
          <w:sz w:val="18"/>
          <w:szCs w:val="18"/>
          <w:color w:val="auto"/>
        </w:rPr>
        <w:t>Although the current and future impact of COVID-19 on our liquidity and capital resources will depend on a wide range of factors, we believe that our access to capital and our strong liquidity, including the approximately $1.3 billion available under the 2021 Credit Facility and available cash of approximately $236.6 million (of which approximately $102.1 million is attributable to our consolidated joint venture partners), as of August 2, 2021, is sufficient to fund our remaining capital requirements on existing development and redevelopment projects, repay our maturing indebtedness when due, satisfy our REIT distribution requirements and still allow us to act opportunistically on attractive investment opportunities.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not sold any shares under BXP’s $600.0 million “at the market” equity offering program.</w:t>
      </w:r>
    </w:p>
    <w:p>
      <w:pPr>
        <w:spacing w:after="0" w:line="165" w:lineRule="exact"/>
        <w:rPr>
          <w:sz w:val="20"/>
          <w:szCs w:val="20"/>
          <w:color w:val="auto"/>
        </w:rPr>
      </w:pPr>
    </w:p>
    <w:p>
      <w:pPr>
        <w:ind w:right="120" w:firstLine="439"/>
        <w:spacing w:after="0" w:line="248" w:lineRule="auto"/>
        <w:rPr>
          <w:sz w:val="20"/>
          <w:szCs w:val="20"/>
          <w:color w:val="auto"/>
        </w:rPr>
      </w:pPr>
      <w:r>
        <w:rPr>
          <w:rFonts w:ascii="Arial" w:cs="Arial" w:eastAsia="Arial" w:hAnsi="Arial"/>
          <w:sz w:val="18"/>
          <w:szCs w:val="18"/>
          <w:color w:val="auto"/>
        </w:rPr>
        <w:t>We may seek to enhance our liquidity to fund our foreseeable potential development activity, pursue additional attractive investment opportunities and refinance or repay indebtedness. Depending on interest rates and overall conditions in the debt and equity markets, we may decide to access either or both of these markets in advance of the need for the funds. Doing so may result in us carrying additional cash and cash equivalents pending our use of the proceeds, which would increase our net interest expense and be dilutive to our earnings.</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REIT Tax Distribution Considerations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Dividend</w:t>
      </w:r>
    </w:p>
    <w:p>
      <w:pPr>
        <w:spacing w:after="0" w:line="117" w:lineRule="exact"/>
        <w:rPr>
          <w:sz w:val="20"/>
          <w:szCs w:val="20"/>
          <w:color w:val="auto"/>
        </w:rPr>
      </w:pPr>
    </w:p>
    <w:p>
      <w:pPr>
        <w:ind w:right="480" w:firstLine="439"/>
        <w:spacing w:after="0" w:line="248" w:lineRule="auto"/>
        <w:rPr>
          <w:sz w:val="20"/>
          <w:szCs w:val="20"/>
          <w:color w:val="auto"/>
        </w:rPr>
      </w:pPr>
      <w:r>
        <w:rPr>
          <w:rFonts w:ascii="Arial" w:cs="Arial" w:eastAsia="Arial" w:hAnsi="Arial"/>
          <w:sz w:val="18"/>
          <w:szCs w:val="18"/>
          <w:color w:val="auto"/>
        </w:rPr>
        <w:t>BXP as a REIT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Common and LTIP unitholders of limited partnership interest in BPLP, received the same total distribution per unit.</w:t>
      </w:r>
    </w:p>
    <w:p>
      <w:pPr>
        <w:spacing w:after="0" w:line="155" w:lineRule="exact"/>
        <w:rPr>
          <w:sz w:val="20"/>
          <w:szCs w:val="20"/>
          <w:color w:val="auto"/>
        </w:rPr>
      </w:pPr>
    </w:p>
    <w:p>
      <w:pPr>
        <w:ind w:right="80" w:firstLine="439"/>
        <w:spacing w:after="0" w:line="249" w:lineRule="auto"/>
        <w:rPr>
          <w:sz w:val="20"/>
          <w:szCs w:val="20"/>
          <w:color w:val="auto"/>
        </w:rPr>
      </w:pPr>
      <w:r>
        <w:rPr>
          <w:rFonts w:ascii="Arial" w:cs="Arial" w:eastAsia="Arial" w:hAnsi="Arial"/>
          <w:sz w:val="18"/>
          <w:szCs w:val="18"/>
          <w:color w:val="auto"/>
        </w:rPr>
        <w:t>BXP’s Board of Directors will continue to evaluate BXP’s dividend rate in light of our actual and projected taxable income (including gains on sales), liquidity requirements and other circumstances, including the impact of COVID-19, and there can be no assurance that the future dividends declared by BXP’s Board of Directors will not differ materially from the current quarterly dividend amount.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Sales</w:t>
      </w:r>
    </w:p>
    <w:p>
      <w:pPr>
        <w:spacing w:after="0" w:line="104" w:lineRule="exact"/>
        <w:rPr>
          <w:sz w:val="20"/>
          <w:szCs w:val="20"/>
          <w:color w:val="auto"/>
        </w:rPr>
      </w:pPr>
    </w:p>
    <w:p>
      <w:pPr>
        <w:ind w:right="160" w:firstLine="439"/>
        <w:spacing w:after="0" w:line="247" w:lineRule="auto"/>
        <w:rPr>
          <w:sz w:val="20"/>
          <w:szCs w:val="20"/>
          <w:color w:val="auto"/>
        </w:rPr>
      </w:pPr>
      <w:r>
        <w:rPr>
          <w:rFonts w:ascii="Arial" w:cs="Arial" w:eastAsia="Arial" w:hAnsi="Arial"/>
          <w:sz w:val="18"/>
          <w:szCs w:val="18"/>
          <w:color w:val="auto"/>
        </w:rPr>
        <w:t>To the extent that we sell assets at a gain and cannot efficiently use the proceeds in a tax deferred manner for either our development activities or attractive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w:t>
      </w:r>
    </w:p>
    <w:p>
      <w:pPr>
        <w:spacing w:after="0" w:line="158" w:lineRule="exact"/>
        <w:rPr>
          <w:sz w:val="20"/>
          <w:szCs w:val="20"/>
          <w:color w:val="auto"/>
        </w:rPr>
      </w:pPr>
    </w:p>
    <w:p>
      <w:pPr>
        <w:ind w:right="100" w:firstLine="439"/>
        <w:spacing w:after="0" w:line="249" w:lineRule="auto"/>
        <w:rPr>
          <w:sz w:val="20"/>
          <w:szCs w:val="20"/>
          <w:color w:val="auto"/>
        </w:rPr>
      </w:pPr>
      <w:r>
        <w:rPr>
          <w:rFonts w:ascii="Arial" w:cs="Arial" w:eastAsia="Arial" w:hAnsi="Arial"/>
          <w:sz w:val="18"/>
          <w:szCs w:val="18"/>
          <w:color w:val="auto"/>
        </w:rPr>
        <w:t>From time to time in select cases, whether due to a change in use, structuring issues to comply with applicable REIT regulations or other reasons, we may sell an asset that is held by a taxable REIT subsidiary (“TRS”). Such a sale by a TRS would be subject to federal and local taxes.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21" w:lineRule="exact"/>
        <w:rPr>
          <w:sz w:val="20"/>
          <w:szCs w:val="20"/>
          <w:color w:val="auto"/>
        </w:rPr>
      </w:pPr>
    </w:p>
    <w:p>
      <w:pPr>
        <w:ind w:right="220" w:firstLine="439"/>
        <w:spacing w:after="0" w:line="252" w:lineRule="auto"/>
        <w:rPr>
          <w:sz w:val="20"/>
          <w:szCs w:val="20"/>
          <w:color w:val="auto"/>
        </w:rPr>
      </w:pPr>
      <w:r>
        <w:rPr>
          <w:rFonts w:ascii="Arial" w:cs="Arial" w:eastAsia="Arial" w:hAnsi="Arial"/>
          <w:sz w:val="18"/>
          <w:szCs w:val="18"/>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firstLine="439"/>
        <w:spacing w:after="0" w:line="252" w:lineRule="auto"/>
        <w:rPr>
          <w:sz w:val="20"/>
          <w:szCs w:val="20"/>
          <w:color w:val="auto"/>
        </w:rPr>
      </w:pPr>
      <w:r>
        <w:rPr>
          <w:rFonts w:ascii="Arial" w:cs="Arial" w:eastAsia="Arial" w:hAnsi="Arial"/>
          <w:sz w:val="18"/>
          <w:szCs w:val="18"/>
          <w:color w:val="auto"/>
        </w:rPr>
        <w:t>Cash and cash equivalents and cash held in escrows aggregated approximately $0.6 billion and $2.0 billion at June 30, 2021 and 2020, respectively, representing a decrease of approximately $1.4 billion. The following table sets forth changes in cash flows: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center"/>
              <w:ind w:left="855"/>
              <w:spacing w:after="0"/>
              <w:rPr>
                <w:sz w:val="20"/>
                <w:szCs w:val="20"/>
                <w:color w:val="auto"/>
              </w:rPr>
            </w:pPr>
            <w:r>
              <w:rPr>
                <w:rFonts w:ascii="Arial" w:cs="Arial" w:eastAsia="Arial" w:hAnsi="Arial"/>
                <w:sz w:val="16"/>
                <w:szCs w:val="16"/>
                <w:b w:val="1"/>
                <w:bCs w:val="1"/>
                <w:color w:val="auto"/>
                <w:w w:val="99"/>
              </w:rPr>
              <w:t>Six months ended June 30,</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5"/>
                <w:szCs w:val="15"/>
                <w:color w:val="auto"/>
              </w:rPr>
            </w:pPr>
          </w:p>
        </w:tc>
        <w:tc>
          <w:tcPr>
            <w:tcW w:w="1380" w:type="dxa"/>
            <w:vAlign w:val="bottom"/>
            <w:vMerge w:val="restart"/>
          </w:tcPr>
          <w:p>
            <w:pPr>
              <w:jc w:val="center"/>
              <w:ind w:right="157"/>
              <w:spacing w:after="0"/>
              <w:rPr>
                <w:sz w:val="20"/>
                <w:szCs w:val="20"/>
                <w:color w:val="auto"/>
              </w:rPr>
            </w:pPr>
            <w:r>
              <w:rPr>
                <w:rFonts w:ascii="Arial" w:cs="Arial" w:eastAsia="Arial" w:hAnsi="Arial"/>
                <w:sz w:val="16"/>
                <w:szCs w:val="16"/>
                <w:b w:val="1"/>
                <w:bCs w:val="1"/>
                <w:color w:val="auto"/>
                <w:w w:val="95"/>
              </w:rPr>
              <w:t>2020</w:t>
            </w:r>
          </w:p>
        </w:tc>
        <w:tc>
          <w:tcPr>
            <w:tcW w:w="320" w:type="dxa"/>
            <w:vAlign w:val="bottom"/>
          </w:tcPr>
          <w:p>
            <w:pPr>
              <w:spacing w:after="0"/>
              <w:rPr>
                <w:sz w:val="15"/>
                <w:szCs w:val="15"/>
                <w:color w:val="auto"/>
              </w:rPr>
            </w:pPr>
          </w:p>
        </w:tc>
        <w:tc>
          <w:tcPr>
            <w:tcW w:w="1280" w:type="dxa"/>
            <w:vAlign w:val="bottom"/>
          </w:tcPr>
          <w:p>
            <w:pPr>
              <w:jc w:val="right"/>
              <w:ind w:right="355"/>
              <w:spacing w:after="0" w:line="182"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6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193"/>
        </w:trPr>
        <w:tc>
          <w:tcPr>
            <w:tcW w:w="6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560,476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w w:val="98"/>
              </w:rPr>
              <w:t>554,272</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(563,611)</w:t>
            </w:r>
          </w:p>
        </w:tc>
        <w:tc>
          <w:tcPr>
            <w:tcW w:w="260" w:type="dxa"/>
            <w:vAlign w:val="bottom"/>
          </w:tcPr>
          <w:p>
            <w:pPr>
              <w:spacing w:after="0"/>
              <w:rPr>
                <w:sz w:val="19"/>
                <w:szCs w:val="19"/>
                <w:color w:val="auto"/>
              </w:rPr>
            </w:pPr>
          </w:p>
        </w:tc>
        <w:tc>
          <w:tcPr>
            <w:tcW w:w="1380" w:type="dxa"/>
            <w:vAlign w:val="bottom"/>
          </w:tcPr>
          <w:p>
            <w:pPr>
              <w:jc w:val="center"/>
              <w:ind w:left="417"/>
              <w:spacing w:after="0"/>
              <w:rPr>
                <w:sz w:val="20"/>
                <w:szCs w:val="20"/>
                <w:color w:val="auto"/>
              </w:rPr>
            </w:pPr>
            <w:r>
              <w:rPr>
                <w:rFonts w:ascii="Arial" w:cs="Arial" w:eastAsia="Arial" w:hAnsi="Arial"/>
                <w:sz w:val="18"/>
                <w:szCs w:val="18"/>
                <w:color w:val="auto"/>
                <w:w w:val="98"/>
              </w:rPr>
              <w:t>(120,522)</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(443,089)</w:t>
            </w:r>
          </w:p>
        </w:tc>
        <w:tc>
          <w:tcPr>
            <w:tcW w:w="0" w:type="dxa"/>
            <w:vAlign w:val="bottom"/>
          </w:tcPr>
          <w:p>
            <w:pPr>
              <w:spacing w:after="0"/>
              <w:rPr>
                <w:sz w:val="1"/>
                <w:szCs w:val="1"/>
                <w:color w:val="auto"/>
              </w:rPr>
            </w:pPr>
          </w:p>
        </w:tc>
      </w:tr>
      <w:tr>
        <w:trPr>
          <w:trHeight w:val="22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(1,078,914)</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w w:val="98"/>
              </w:rPr>
              <w:t>866,019</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(1,944,933)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439"/>
        <w:spacing w:after="0" w:line="247" w:lineRule="auto"/>
        <w:rPr>
          <w:sz w:val="20"/>
          <w:szCs w:val="20"/>
          <w:color w:val="auto"/>
        </w:rPr>
      </w:pPr>
      <w:r>
        <w:rPr>
          <w:rFonts w:ascii="Arial" w:cs="Arial" w:eastAsia="Arial" w:hAnsi="Arial"/>
          <w:sz w:val="18"/>
          <w:szCs w:val="18"/>
          <w:color w:val="auto"/>
        </w:rPr>
        <w:t>Our principal source of cash flow is related to the operation of our properties. The weighted-average term of our in-place leases, excluding residential units, was approximately 7.6 years as of June 30, 2021, including leases signed by our unconsolidated joint ventures, with occupancy rates historically in the range of 88% to 94%. Generally, our properties generate a relatively consistent stream of cash flow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spacing w:after="0" w:line="158" w:lineRule="exact"/>
        <w:rPr>
          <w:sz w:val="20"/>
          <w:szCs w:val="20"/>
          <w:color w:val="auto"/>
        </w:rPr>
      </w:pPr>
    </w:p>
    <w:p>
      <w:pPr>
        <w:ind w:right="60" w:firstLine="439"/>
        <w:spacing w:after="0" w:line="248" w:lineRule="auto"/>
        <w:rPr>
          <w:sz w:val="20"/>
          <w:szCs w:val="20"/>
          <w:color w:val="auto"/>
        </w:rPr>
      </w:pPr>
      <w:r>
        <w:rPr>
          <w:rFonts w:ascii="Arial" w:cs="Arial" w:eastAsia="Arial" w:hAnsi="Arial"/>
          <w:sz w:val="18"/>
          <w:szCs w:val="18"/>
          <w:color w:val="auto"/>
        </w:rPr>
        <w:t>The full extent of the impact of COVID-19 on our business, operations and financial results will depend on numerous evolving factors that we may not be able to accurately predict. In addition, we cannot predict the impact that COVID-19 will have on our tenants, employees, contractors, lenders, suppliers, vendors and joint venture partners; any material adverse effect on these parties could also have a material adverse effect on us.</w:t>
      </w:r>
    </w:p>
    <w:p>
      <w:pPr>
        <w:spacing w:after="0" w:line="155" w:lineRule="exact"/>
        <w:rPr>
          <w:sz w:val="20"/>
          <w:szCs w:val="20"/>
          <w:color w:val="auto"/>
        </w:rPr>
      </w:pPr>
    </w:p>
    <w:p>
      <w:pPr>
        <w:ind w:right="60" w:firstLine="439"/>
        <w:spacing w:after="0" w:line="247" w:lineRule="auto"/>
        <w:rPr>
          <w:sz w:val="20"/>
          <w:szCs w:val="20"/>
          <w:color w:val="auto"/>
        </w:rPr>
      </w:pPr>
      <w:r>
        <w:rPr>
          <w:rFonts w:ascii="Arial" w:cs="Arial" w:eastAsia="Arial" w:hAnsi="Arial"/>
          <w:sz w:val="18"/>
          <w:szCs w:val="18"/>
          <w:color w:val="auto"/>
        </w:rPr>
        <w:t>Cash is used in investing activities to fund acquisitions, development, net investments in unconsolidated joint ventures and maintenance and repositioning capital expenditures. We selectively invest in new projects that enable us to take advantage of our development, leasing, financing and property management skills and invest in existing buildings to enhance or maintain their market position. Cash used in investing activities for the six months ended June 30, 2021 consisted primarily of development projects, building and tenant improvements and capital contributions to unconsolidated joint ventures, partially offset by proceeds from sale of investment in unconsolidated joint ventures. Cash used in investing activities for the six months ended June 30, 2020 consisted of development projects, building and tenant improvements and capital contributions to unconsolidated joint ventures, partially offset by the proceeds from the sale of real estate and capital distribution from unconsolidated joint ventures, as detailed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6"/>
                <w:szCs w:val="16"/>
                <w:b w:val="1"/>
                <w:bCs w:val="1"/>
                <w:color w:val="auto"/>
              </w:rPr>
              <w:t>Six months ended June 30,</w:t>
            </w:r>
          </w:p>
        </w:tc>
      </w:tr>
      <w:tr>
        <w:trPr>
          <w:trHeight w:val="208"/>
        </w:trPr>
        <w:tc>
          <w:tcPr>
            <w:tcW w:w="7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2020</w:t>
            </w:r>
          </w:p>
        </w:tc>
      </w:tr>
      <w:tr>
        <w:trPr>
          <w:trHeight w:val="206"/>
        </w:trPr>
        <w:tc>
          <w:tcPr>
            <w:tcW w:w="7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7"/>
                <w:szCs w:val="17"/>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of real estate (1)</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(100,176)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(133,406)</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Construction in progress (2)</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(235,577)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(247,615)</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and other capital improvements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(68,386)</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Tenant improvements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(161,619)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(118,903)</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real estate (3)</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506,337</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Capital contributions to unconsolidated joint ventures (4)</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(20,032)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(106,168)</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distributions from unconsolidated joint ventures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54,413</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Proceeds from sale of investment in unconsolidated joint venture (5)</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17,789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note receivable, net (6)</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r>
      <w:tr>
        <w:trPr>
          <w:trHeight w:val="21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securities, net</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1,915</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3,006</w:t>
            </w:r>
          </w:p>
        </w:tc>
      </w:tr>
      <w:tr>
        <w:trPr>
          <w:trHeight w:val="231"/>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(563,611)</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(120,522)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used in investing activities changed primarily due to the following:</w:t>
      </w:r>
    </w:p>
    <w:p>
      <w:pPr>
        <w:spacing w:after="0" w:line="165" w:lineRule="exact"/>
        <w:rPr>
          <w:sz w:val="20"/>
          <w:szCs w:val="20"/>
          <w:color w:val="auto"/>
        </w:rPr>
      </w:pPr>
    </w:p>
    <w:p>
      <w:pPr>
        <w:ind w:left="640" w:right="300" w:hanging="315"/>
        <w:spacing w:after="0" w:line="249" w:lineRule="auto"/>
        <w:tabs>
          <w:tab w:leader="none" w:pos="6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June 2, 2021, we acquired 153 &amp; 211 Second Avenue located in Waltham, Massachusetts for a purchase price of approximately $100.2 million in cash. 153 &amp; 211 Second Avenue consists of two life sciences lab buildings totaling approximately 137,000 net rentable square feet.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40" w:right="460"/>
        <w:spacing w:after="0" w:line="248" w:lineRule="auto"/>
        <w:rPr>
          <w:sz w:val="20"/>
          <w:szCs w:val="20"/>
          <w:color w:val="auto"/>
        </w:rPr>
      </w:pPr>
      <w:r>
        <w:rPr>
          <w:rFonts w:ascii="Arial" w:cs="Arial" w:eastAsia="Arial" w:hAnsi="Arial"/>
          <w:sz w:val="18"/>
          <w:szCs w:val="18"/>
          <w:color w:val="auto"/>
        </w:rPr>
        <w:t>On June 26, 2020, we completed the acquisition of real property at 777 Harrison Street (known as Fourth + Harrison and formerly known as 425 Fourth Street) located in San Francisco, California for a gross purchase price, including entitlements, totaling approximately $140.1 million. Fourth + Harrison is expected to support the development of approximately 804,000 square feet of primarily commercial office space.</w:t>
      </w:r>
    </w:p>
    <w:p>
      <w:pPr>
        <w:spacing w:after="0" w:line="155" w:lineRule="exact"/>
        <w:rPr>
          <w:sz w:val="20"/>
          <w:szCs w:val="20"/>
          <w:color w:val="auto"/>
        </w:rPr>
      </w:pPr>
    </w:p>
    <w:p>
      <w:pPr>
        <w:ind w:left="640" w:hanging="315"/>
        <w:spacing w:after="0" w:line="248" w:lineRule="auto"/>
        <w:tabs>
          <w:tab w:leader="none" w:pos="6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Construction in progress for the six months ended June 30, 2021 includes ongoing expenditures associated with One Five Nine East 53rd Street, which was completed and fully placed in-service during the six months ended June 30, 2021. In addition, we incurred costs associated with our continued development/redevelopment of 200 West Street, 325 Main Street, 2100 Pennsylvania Avenue, Reston Next, 180 CityPoint, The Prudential Center Observatory and 880 Winter Street.</w:t>
      </w:r>
    </w:p>
    <w:p>
      <w:pPr>
        <w:spacing w:after="0" w:line="154" w:lineRule="exact"/>
        <w:rPr>
          <w:rFonts w:ascii="Arial" w:cs="Arial" w:eastAsia="Arial" w:hAnsi="Arial"/>
          <w:sz w:val="18"/>
          <w:szCs w:val="18"/>
          <w:color w:val="auto"/>
        </w:rPr>
      </w:pPr>
    </w:p>
    <w:p>
      <w:pPr>
        <w:ind w:left="640" w:right="340"/>
        <w:spacing w:after="0" w:line="248" w:lineRule="auto"/>
        <w:rPr>
          <w:rFonts w:ascii="Arial" w:cs="Arial" w:eastAsia="Arial" w:hAnsi="Arial"/>
          <w:sz w:val="18"/>
          <w:szCs w:val="18"/>
          <w:color w:val="auto"/>
        </w:rPr>
      </w:pPr>
      <w:r>
        <w:rPr>
          <w:rFonts w:ascii="Arial" w:cs="Arial" w:eastAsia="Arial" w:hAnsi="Arial"/>
          <w:sz w:val="18"/>
          <w:szCs w:val="18"/>
          <w:color w:val="auto"/>
        </w:rPr>
        <w:t>Construction in progress for the six months ended June 30, 2020 includes ongoing expenditures associated with 17Fifty Presidents Street and 20 CityPoint, which were completed and placed in-service during the six months ended June 30, 2020. In addition, we incurred costs associated with our continued development/redevelopment of One Five Nine East 53rd Street, Reston Next, 2100 Pennsylvania Avenue, 200 West Street, The Skylyne and 325 Main Street.</w:t>
      </w:r>
    </w:p>
    <w:p>
      <w:pPr>
        <w:spacing w:after="0" w:line="154" w:lineRule="exact"/>
        <w:rPr>
          <w:rFonts w:ascii="Arial" w:cs="Arial" w:eastAsia="Arial" w:hAnsi="Arial"/>
          <w:sz w:val="18"/>
          <w:szCs w:val="18"/>
          <w:color w:val="auto"/>
        </w:rPr>
      </w:pPr>
    </w:p>
    <w:p>
      <w:pPr>
        <w:ind w:left="640" w:right="140" w:hanging="315"/>
        <w:spacing w:after="0" w:line="247" w:lineRule="auto"/>
        <w:tabs>
          <w:tab w:leader="none" w:pos="6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June 25, 2020, we completed the sale of a portion of our Capital Gallery property located in Washington, DC for a gross sale price of approximately $253.7 million. Net cash proceeds totaled approximately $246.9 million, resulting in a gain on sale of real estate totaling approximately $203.8 million for BXP and approximately $207.2 million for BPLP. Capital Gallery is an approximately 631,000 net rentable square foot Class A office property. The portion sold is comprised of approximately 455,000 net rentable square feet of commercial office space. We continue to own the land, underground parking garage and remaining commercial office and retail space containing approximately 176,000 net rentable square feet at the property.</w:t>
      </w:r>
    </w:p>
    <w:p>
      <w:pPr>
        <w:spacing w:after="0" w:line="157" w:lineRule="exact"/>
        <w:rPr>
          <w:rFonts w:ascii="Arial" w:cs="Arial" w:eastAsia="Arial" w:hAnsi="Arial"/>
          <w:sz w:val="18"/>
          <w:szCs w:val="18"/>
          <w:color w:val="auto"/>
        </w:rPr>
      </w:pPr>
    </w:p>
    <w:p>
      <w:pPr>
        <w:ind w:left="640" w:right="100"/>
        <w:spacing w:after="0" w:line="248" w:lineRule="auto"/>
        <w:rPr>
          <w:rFonts w:ascii="Arial" w:cs="Arial" w:eastAsia="Arial" w:hAnsi="Arial"/>
          <w:sz w:val="18"/>
          <w:szCs w:val="18"/>
          <w:color w:val="auto"/>
        </w:rPr>
      </w:pPr>
      <w:r>
        <w:rPr>
          <w:rFonts w:ascii="Arial" w:cs="Arial" w:eastAsia="Arial" w:hAnsi="Arial"/>
          <w:sz w:val="18"/>
          <w:szCs w:val="18"/>
          <w:color w:val="auto"/>
        </w:rPr>
        <w:t>On February 20, 2020, we completed the sale of New Dominion Technology Park located in Herndon, Virginia for a gross sale price of $256.0 million. Net cash proceeds totaled approximately $254.0 million, resulting in a gain on sale of real estate totaling approximately $192.3 million for BXP and approximately $197.1 million for BPLP. New Dominion Technology Park is comprised of two Class A office properties aggregating approximately 493,000 net rentable square feet.</w:t>
      </w:r>
    </w:p>
    <w:p>
      <w:pPr>
        <w:spacing w:after="0" w:line="154" w:lineRule="exact"/>
        <w:rPr>
          <w:rFonts w:ascii="Arial" w:cs="Arial" w:eastAsia="Arial" w:hAnsi="Arial"/>
          <w:sz w:val="18"/>
          <w:szCs w:val="18"/>
          <w:color w:val="auto"/>
        </w:rPr>
      </w:pPr>
    </w:p>
    <w:p>
      <w:pPr>
        <w:ind w:left="640" w:right="100" w:hanging="315"/>
        <w:spacing w:after="0" w:line="252" w:lineRule="auto"/>
        <w:tabs>
          <w:tab w:leader="none" w:pos="6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Capital contributions to unconsolidated joint ventures for the six months ended June 30, 2021 consisted primarily of cash contributions of approximately $11.4 million to our Santa Monica Business Park joint venture.</w:t>
      </w:r>
    </w:p>
    <w:p>
      <w:pPr>
        <w:spacing w:after="0" w:line="150" w:lineRule="exact"/>
        <w:rPr>
          <w:rFonts w:ascii="Arial" w:cs="Arial" w:eastAsia="Arial" w:hAnsi="Arial"/>
          <w:sz w:val="18"/>
          <w:szCs w:val="18"/>
          <w:color w:val="auto"/>
        </w:rPr>
      </w:pPr>
    </w:p>
    <w:p>
      <w:pPr>
        <w:ind w:left="640" w:right="100"/>
        <w:spacing w:after="0" w:line="249" w:lineRule="auto"/>
        <w:rPr>
          <w:rFonts w:ascii="Arial" w:cs="Arial" w:eastAsia="Arial" w:hAnsi="Arial"/>
          <w:sz w:val="18"/>
          <w:szCs w:val="18"/>
          <w:color w:val="auto"/>
        </w:rPr>
      </w:pPr>
      <w:r>
        <w:rPr>
          <w:rFonts w:ascii="Arial" w:cs="Arial" w:eastAsia="Arial" w:hAnsi="Arial"/>
          <w:sz w:val="18"/>
          <w:szCs w:val="18"/>
          <w:color w:val="auto"/>
        </w:rPr>
        <w:t>Capital contributions to unconsolidated joint ventures for the six months ended June 30, 2020 consisted primarily of cash contributions of approximately $70.2 million, $23.9 million and $6.5 million to our Platform 16, 3 Hudson Boulevard and Metropolitan Square joint ventures, respectively.</w:t>
      </w:r>
    </w:p>
    <w:p>
      <w:pPr>
        <w:spacing w:after="0" w:line="153" w:lineRule="exact"/>
        <w:rPr>
          <w:rFonts w:ascii="Arial" w:cs="Arial" w:eastAsia="Arial" w:hAnsi="Arial"/>
          <w:sz w:val="18"/>
          <w:szCs w:val="18"/>
          <w:color w:val="auto"/>
        </w:rPr>
      </w:pPr>
    </w:p>
    <w:p>
      <w:pPr>
        <w:ind w:left="640" w:right="60" w:hanging="315"/>
        <w:spacing w:after="0" w:line="249" w:lineRule="auto"/>
        <w:tabs>
          <w:tab w:leader="none" w:pos="6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March 30, 2021, we completed the sale of our 50% ownership interest in Annapolis Junction NFM LLC (the “Annapolis Junction Joint Venture”) to the joint venture partner for a gross sales price of $65.9 million. Net cash proceeds to us totaled approximately $17.8 million after repayment of our share of debt totaling approximately $15.1 million.</w:t>
      </w:r>
    </w:p>
    <w:p>
      <w:pPr>
        <w:spacing w:after="0" w:line="153" w:lineRule="exact"/>
        <w:rPr>
          <w:rFonts w:ascii="Arial" w:cs="Arial" w:eastAsia="Arial" w:hAnsi="Arial"/>
          <w:sz w:val="18"/>
          <w:szCs w:val="18"/>
          <w:color w:val="auto"/>
        </w:rPr>
      </w:pPr>
    </w:p>
    <w:p>
      <w:pPr>
        <w:ind w:left="640" w:right="340" w:hanging="315"/>
        <w:spacing w:after="0" w:line="261" w:lineRule="auto"/>
        <w:tabs>
          <w:tab w:leader="none" w:pos="63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Issuance of notes receivable, net consisted of the $10.0 million of financing provided to an affiliate of our partner in the joint venture that owns and is developing 7750 Wisconsin Avenue located in Bethesda, Maryland. The financing bears interest at a fixed rate of</w:t>
      </w:r>
    </w:p>
    <w:p>
      <w:pPr>
        <w:jc w:val="both"/>
        <w:ind w:left="640" w:right="120"/>
        <w:spacing w:after="0" w:line="249" w:lineRule="auto"/>
        <w:rPr>
          <w:rFonts w:ascii="Arial" w:cs="Arial" w:eastAsia="Arial" w:hAnsi="Arial"/>
          <w:sz w:val="17"/>
          <w:szCs w:val="17"/>
          <w:color w:val="auto"/>
        </w:rPr>
      </w:pPr>
      <w:r>
        <w:rPr>
          <w:rFonts w:ascii="Arial" w:cs="Arial" w:eastAsia="Arial" w:hAnsi="Arial"/>
          <w:sz w:val="18"/>
          <w:szCs w:val="18"/>
          <w:color w:val="auto"/>
        </w:rPr>
        <w:t>8.00% per annum, compounded monthly, and matures on the fifth anniversary of the date on which the base building of the affiliate of our partner’s hotel property is substantially completed. The loan is collateralized by a pledge of the partner’s equity interest in our joint venture that owns and is developing 7750 Wisconsin Avenue.</w:t>
      </w:r>
    </w:p>
    <w:p>
      <w:pPr>
        <w:spacing w:after="0" w:line="247" w:lineRule="exact"/>
        <w:rPr>
          <w:sz w:val="20"/>
          <w:szCs w:val="20"/>
          <w:color w:val="auto"/>
        </w:rPr>
      </w:pPr>
    </w:p>
    <w:p>
      <w:pPr>
        <w:ind w:firstLine="399"/>
        <w:spacing w:after="0" w:line="265" w:lineRule="auto"/>
        <w:rPr>
          <w:sz w:val="20"/>
          <w:szCs w:val="20"/>
          <w:color w:val="auto"/>
        </w:rPr>
      </w:pPr>
      <w:r>
        <w:rPr>
          <w:rFonts w:ascii="Arial" w:cs="Arial" w:eastAsia="Arial" w:hAnsi="Arial"/>
          <w:sz w:val="17"/>
          <w:szCs w:val="17"/>
          <w:color w:val="auto"/>
        </w:rPr>
        <w:t xml:space="preserve">Cash used in financing activities for the six months ended June 30, 2021 totaled approximately $1.1 billion. This amount consisted primarily of (1) the redemption of BPLP’s $850.0 million in aggregate principal amount of its 4.125% senior notes due 2021, (2) the repayment of the Delayed Draw Facility under the 2017 Credit Facility, (3) redemption of the Series B Preferred Stock, (4) payment of our regular dividends and distributions to our shareholders and unitholders and (5) distributions to noncontrolling interest holders in property partnership. These decreases were partially offset by the proceeds from the issuance by BPLP of $850.0 million in aggregate principal amount of its 2.550% senior unsecured notes due 2032. Future debt payments are discussed below under the heading </w:t>
      </w:r>
      <w:r>
        <w:rPr>
          <w:rFonts w:ascii="Arial" w:cs="Arial" w:eastAsia="Arial" w:hAnsi="Arial"/>
          <w:sz w:val="17"/>
          <w:szCs w:val="17"/>
          <w:i w:val="1"/>
          <w:iCs w:val="1"/>
          <w:color w:val="auto"/>
        </w:rPr>
        <w:t>“Capitalization—Debt Financing</w:t>
      </w:r>
      <w:r>
        <w:rPr>
          <w:rFonts w:ascii="Arial" w:cs="Arial" w:eastAsia="Arial" w:hAnsi="Arial"/>
          <w:sz w:val="17"/>
          <w:szCs w:val="17"/>
          <w:color w:val="auto"/>
        </w:rPr>
        <w: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Capitalization</w:t>
      </w:r>
    </w:p>
    <w:p>
      <w:pPr>
        <w:spacing w:after="0" w:line="108" w:lineRule="exact"/>
        <w:rPr>
          <w:sz w:val="20"/>
          <w:szCs w:val="20"/>
          <w:color w:val="auto"/>
        </w:rPr>
      </w:pPr>
    </w:p>
    <w:p>
      <w:pPr>
        <w:ind w:right="120" w:firstLine="439"/>
        <w:spacing w:after="0" w:line="249" w:lineRule="auto"/>
        <w:rPr>
          <w:sz w:val="20"/>
          <w:szCs w:val="20"/>
          <w:color w:val="auto"/>
        </w:rPr>
      </w:pPr>
      <w:r>
        <w:rPr>
          <w:rFonts w:ascii="Arial" w:cs="Arial" w:eastAsia="Arial" w:hAnsi="Arial"/>
          <w:sz w:val="18"/>
          <w:szCs w:val="18"/>
          <w:color w:val="auto"/>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June 30, 2021</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4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Shares / Units</w:t>
            </w:r>
          </w:p>
        </w:tc>
        <w:tc>
          <w:tcPr>
            <w:tcW w:w="1660" w:type="dxa"/>
            <w:vAlign w:val="bottom"/>
            <w:gridSpan w:val="2"/>
          </w:tcPr>
          <w:p>
            <w:pPr>
              <w:jc w:val="right"/>
              <w:ind w:right="340"/>
              <w:spacing w:after="0" w:line="155" w:lineRule="exact"/>
              <w:rPr>
                <w:sz w:val="20"/>
                <w:szCs w:val="20"/>
                <w:color w:val="auto"/>
              </w:rPr>
            </w:pPr>
            <w:r>
              <w:rPr>
                <w:rFonts w:ascii="Arial" w:cs="Arial" w:eastAsia="Arial" w:hAnsi="Arial"/>
                <w:sz w:val="16"/>
                <w:szCs w:val="16"/>
                <w:b w:val="1"/>
                <w:bCs w:val="1"/>
                <w:color w:val="auto"/>
              </w:rPr>
              <w:t>Common Stock</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9"/>
              </w:rPr>
              <w:t>Equivalent Value (1)</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Outstanding</w:t>
            </w:r>
          </w:p>
        </w:tc>
        <w:tc>
          <w:tcPr>
            <w:tcW w:w="1660" w:type="dxa"/>
            <w:vAlign w:val="bottom"/>
            <w:gridSpan w:val="2"/>
          </w:tcPr>
          <w:p>
            <w:pPr>
              <w:ind w:left="320"/>
              <w:spacing w:after="0"/>
              <w:rPr>
                <w:sz w:val="20"/>
                <w:szCs w:val="20"/>
                <w:color w:val="auto"/>
              </w:rPr>
            </w:pPr>
            <w:r>
              <w:rPr>
                <w:rFonts w:ascii="Arial" w:cs="Arial" w:eastAsia="Arial" w:hAnsi="Arial"/>
                <w:sz w:val="16"/>
                <w:szCs w:val="16"/>
                <w:b w:val="1"/>
                <w:bCs w:val="1"/>
                <w:color w:val="auto"/>
              </w:rPr>
              <w:t>Equivalent</w:t>
            </w:r>
          </w:p>
        </w:tc>
        <w:tc>
          <w:tcPr>
            <w:tcW w:w="15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00" w:type="dxa"/>
            <w:vAlign w:val="bottom"/>
            <w:tcBorders>
              <w:top w:val="single" w:sz="8" w:color="CCEEFF"/>
            </w:tcBorders>
            <w:gridSpan w:val="8"/>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156,136</w:t>
            </w:r>
          </w:p>
        </w:tc>
        <w:tc>
          <w:tcPr>
            <w:tcW w:w="2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156,136</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17,891,624</w:t>
            </w: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gridSpan w:val="8"/>
          </w:tcPr>
          <w:p>
            <w:pPr>
              <w:ind w:left="20"/>
              <w:spacing w:after="0"/>
              <w:rPr>
                <w:sz w:val="20"/>
                <w:szCs w:val="20"/>
                <w:color w:val="auto"/>
              </w:rPr>
            </w:pPr>
            <w:r>
              <w:rPr>
                <w:rFonts w:ascii="Arial" w:cs="Arial" w:eastAsia="Arial" w:hAnsi="Arial"/>
                <w:sz w:val="16"/>
                <w:szCs w:val="16"/>
                <w:color w:val="auto"/>
              </w:rPr>
              <w:t>Common Operating Partnership Units</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17,528</w:t>
            </w: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2,008,534</w:t>
            </w:r>
          </w:p>
        </w:tc>
        <w:tc>
          <w:tcPr>
            <w:tcW w:w="42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880" w:type="dxa"/>
            <w:vAlign w:val="bottom"/>
            <w:tcBorders>
              <w:bottom w:val="single" w:sz="8" w:color="CCEEFF"/>
            </w:tcBorders>
            <w:gridSpan w:val="7"/>
            <w:shd w:val="clear" w:color="auto" w:fill="CCEEFF"/>
          </w:tcPr>
          <w:p>
            <w:pPr>
              <w:ind w:left="160"/>
              <w:spacing w:after="0"/>
              <w:rPr>
                <w:sz w:val="20"/>
                <w:szCs w:val="20"/>
                <w:color w:val="auto"/>
              </w:rPr>
            </w:pPr>
            <w:r>
              <w:rPr>
                <w:rFonts w:ascii="Arial" w:cs="Arial" w:eastAsia="Arial" w:hAnsi="Arial"/>
                <w:sz w:val="16"/>
                <w:szCs w:val="16"/>
                <w:color w:val="auto"/>
              </w:rPr>
              <w:t>Total Equity</w:t>
            </w:r>
          </w:p>
        </w:tc>
        <w:tc>
          <w:tcPr>
            <w:tcW w:w="14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173,664</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19,900,158</w:t>
            </w:r>
          </w:p>
        </w:tc>
        <w:tc>
          <w:tcPr>
            <w:tcW w:w="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6"/>
                <w:szCs w:val="16"/>
                <w:b w:val="1"/>
                <w:bCs w:val="1"/>
                <w:color w:val="auto"/>
                <w:w w:val="99"/>
              </w:rPr>
              <w:t>Consolidated Debt</w:t>
            </w:r>
          </w:p>
        </w:tc>
        <w:tc>
          <w:tcPr>
            <w:tcW w:w="4460" w:type="dxa"/>
            <w:vAlign w:val="bottom"/>
            <w:tcBorders>
              <w:bottom w:val="single" w:sz="8" w:color="CCEEFF"/>
            </w:tcBorders>
            <w:gridSpan w:val="6"/>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0"/>
              <w:spacing w:after="0" w:line="17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20"/>
              <w:spacing w:after="0" w:line="173" w:lineRule="exact"/>
              <w:rPr>
                <w:sz w:val="20"/>
                <w:szCs w:val="20"/>
                <w:color w:val="auto"/>
              </w:rPr>
            </w:pPr>
            <w:r>
              <w:rPr>
                <w:rFonts w:ascii="Arial" w:cs="Arial" w:eastAsia="Arial" w:hAnsi="Arial"/>
                <w:sz w:val="16"/>
                <w:szCs w:val="16"/>
                <w:color w:val="auto"/>
              </w:rPr>
              <w:t>12,536,065</w:t>
            </w:r>
          </w:p>
        </w:tc>
        <w:tc>
          <w:tcPr>
            <w:tcW w:w="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00" w:type="dxa"/>
            <w:vAlign w:val="bottom"/>
            <w:gridSpan w:val="8"/>
          </w:tcPr>
          <w:p>
            <w:pPr>
              <w:ind w:left="20"/>
              <w:spacing w:after="0"/>
              <w:rPr>
                <w:sz w:val="20"/>
                <w:szCs w:val="20"/>
                <w:color w:val="auto"/>
              </w:rPr>
            </w:pPr>
            <w:r>
              <w:rPr>
                <w:rFonts w:ascii="Arial" w:cs="Arial" w:eastAsia="Arial" w:hAnsi="Arial"/>
                <w:sz w:val="16"/>
                <w:szCs w:val="16"/>
                <w:color w:val="auto"/>
              </w:rPr>
              <w:t>Add:</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880" w:type="dxa"/>
            <w:vAlign w:val="bottom"/>
            <w:gridSpan w:val="7"/>
            <w:shd w:val="clear" w:color="auto" w:fill="CCEEFF"/>
          </w:tcPr>
          <w:p>
            <w:pPr>
              <w:ind w:left="320"/>
              <w:spacing w:after="0"/>
              <w:rPr>
                <w:sz w:val="20"/>
                <w:szCs w:val="20"/>
                <w:color w:val="auto"/>
              </w:rPr>
            </w:pPr>
            <w:r>
              <w:rPr>
                <w:rFonts w:ascii="Arial" w:cs="Arial" w:eastAsia="Arial" w:hAnsi="Arial"/>
                <w:sz w:val="16"/>
                <w:szCs w:val="16"/>
                <w:color w:val="auto"/>
              </w:rPr>
              <w:t>BXP’s share of unconsolidated joint venture debt (3)</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1,190,473</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gridSpan w:val="8"/>
          </w:tcPr>
          <w:p>
            <w:pPr>
              <w:ind w:left="20"/>
              <w:spacing w:after="0"/>
              <w:rPr>
                <w:sz w:val="20"/>
                <w:szCs w:val="20"/>
                <w:color w:val="auto"/>
              </w:rPr>
            </w:pPr>
            <w:r>
              <w:rPr>
                <w:rFonts w:ascii="Arial" w:cs="Arial" w:eastAsia="Arial" w:hAnsi="Arial"/>
                <w:sz w:val="16"/>
                <w:szCs w:val="16"/>
                <w:color w:val="auto"/>
              </w:rPr>
              <w:t>Subtract: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7"/>
            <w:shd w:val="clear" w:color="auto" w:fill="CCEEFF"/>
          </w:tcPr>
          <w:p>
            <w:pPr>
              <w:ind w:left="320"/>
              <w:spacing w:after="0"/>
              <w:rPr>
                <w:sz w:val="20"/>
                <w:szCs w:val="20"/>
                <w:color w:val="auto"/>
              </w:rPr>
            </w:pPr>
            <w:r>
              <w:rPr>
                <w:rFonts w:ascii="Arial" w:cs="Arial" w:eastAsia="Arial" w:hAnsi="Arial"/>
                <w:sz w:val="16"/>
                <w:szCs w:val="16"/>
                <w:color w:val="auto"/>
              </w:rPr>
              <w:t>Partners’ share of Consolidated Debt (4)</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(1,191,879)</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gridSpan w:val="8"/>
          </w:tcPr>
          <w:p>
            <w:pPr>
              <w:ind w:left="20"/>
              <w:spacing w:after="0"/>
              <w:rPr>
                <w:sz w:val="20"/>
                <w:szCs w:val="20"/>
                <w:color w:val="auto"/>
              </w:rPr>
            </w:pPr>
            <w:r>
              <w:rPr>
                <w:rFonts w:ascii="Arial" w:cs="Arial" w:eastAsia="Arial" w:hAnsi="Arial"/>
                <w:sz w:val="16"/>
                <w:szCs w:val="16"/>
                <w:b w:val="1"/>
                <w:bCs w:val="1"/>
                <w:color w:val="auto"/>
              </w:rPr>
              <w:t>BXP’s Share of Debt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12,534,659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900" w:type="dxa"/>
            <w:vAlign w:val="bottom"/>
            <w:gridSpan w:val="8"/>
          </w:tcPr>
          <w:p>
            <w:pPr>
              <w:ind w:left="20"/>
              <w:spacing w:after="0" w:line="173" w:lineRule="exact"/>
              <w:rPr>
                <w:sz w:val="20"/>
                <w:szCs w:val="20"/>
                <w:color w:val="auto"/>
              </w:rPr>
            </w:pPr>
            <w:r>
              <w:rPr>
                <w:rFonts w:ascii="Arial" w:cs="Arial" w:eastAsia="Arial" w:hAnsi="Arial"/>
                <w:sz w:val="16"/>
                <w:szCs w:val="16"/>
                <w:b w:val="1"/>
                <w:bCs w:val="1"/>
                <w:color w:val="auto"/>
              </w:rPr>
              <w:t>Consolidated Market Capitalization</w:t>
            </w: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ind w:right="160"/>
              <w:spacing w:after="0" w:line="173" w:lineRule="exact"/>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0"/>
              <w:spacing w:after="0" w:line="173" w:lineRule="exact"/>
              <w:rPr>
                <w:sz w:val="20"/>
                <w:szCs w:val="20"/>
                <w:color w:val="auto"/>
              </w:rPr>
            </w:pPr>
            <w:r>
              <w:rPr>
                <w:rFonts w:ascii="Arial" w:cs="Arial" w:eastAsia="Arial" w:hAnsi="Arial"/>
                <w:sz w:val="16"/>
                <w:szCs w:val="16"/>
                <w:color w:val="auto"/>
              </w:rPr>
              <w:t>32,436,223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5880" w:type="dxa"/>
            <w:vAlign w:val="bottom"/>
            <w:gridSpan w:val="7"/>
            <w:shd w:val="clear" w:color="auto" w:fill="CCEEFF"/>
          </w:tcPr>
          <w:p>
            <w:pPr>
              <w:spacing w:after="0" w:line="166" w:lineRule="exact"/>
              <w:rPr>
                <w:sz w:val="20"/>
                <w:szCs w:val="20"/>
                <w:color w:val="auto"/>
              </w:rPr>
            </w:pPr>
            <w:r>
              <w:rPr>
                <w:rFonts w:ascii="Arial" w:cs="Arial" w:eastAsia="Arial" w:hAnsi="Arial"/>
                <w:sz w:val="16"/>
                <w:szCs w:val="16"/>
                <w:b w:val="1"/>
                <w:bCs w:val="1"/>
                <w:color w:val="auto"/>
              </w:rPr>
              <w:t>BXP’s Share of Market Capitalization</w:t>
            </w: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0"/>
              <w:spacing w:after="0" w:line="166" w:lineRule="exact"/>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line="166" w:lineRule="exact"/>
              <w:rPr>
                <w:sz w:val="20"/>
                <w:szCs w:val="20"/>
                <w:color w:val="auto"/>
              </w:rPr>
            </w:pPr>
            <w:r>
              <w:rPr>
                <w:rFonts w:ascii="Arial" w:cs="Arial" w:eastAsia="Arial" w:hAnsi="Arial"/>
                <w:sz w:val="16"/>
                <w:szCs w:val="16"/>
                <w:color w:val="auto"/>
              </w:rPr>
              <w:t>32,434,817</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880" w:type="dxa"/>
            <w:vAlign w:val="bottom"/>
            <w:gridSpan w:val="7"/>
          </w:tcPr>
          <w:p>
            <w:pPr>
              <w:spacing w:after="0" w:line="166" w:lineRule="exact"/>
              <w:rPr>
                <w:sz w:val="20"/>
                <w:szCs w:val="20"/>
                <w:color w:val="auto"/>
              </w:rPr>
            </w:pPr>
            <w:r>
              <w:rPr>
                <w:rFonts w:ascii="Arial" w:cs="Arial" w:eastAsia="Arial" w:hAnsi="Arial"/>
                <w:sz w:val="16"/>
                <w:szCs w:val="16"/>
                <w:b w:val="1"/>
                <w:bCs w:val="1"/>
                <w:color w:val="auto"/>
              </w:rPr>
              <w:t>Consolidated Debt/Consolidated Market Capitalization</w:t>
            </w: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spacing w:after="0" w:line="166" w:lineRule="exact"/>
              <w:rPr>
                <w:sz w:val="20"/>
                <w:szCs w:val="20"/>
                <w:color w:val="auto"/>
              </w:rPr>
            </w:pPr>
            <w:r>
              <w:rPr>
                <w:rFonts w:ascii="Arial" w:cs="Arial" w:eastAsia="Arial" w:hAnsi="Arial"/>
                <w:sz w:val="16"/>
                <w:szCs w:val="16"/>
                <w:color w:val="auto"/>
              </w:rPr>
              <w:t>38.65 %</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880" w:type="dxa"/>
            <w:vAlign w:val="bottom"/>
            <w:gridSpan w:val="7"/>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BXP’s Share of Debt/BXP’s Share of Market Capitalization</w:t>
            </w: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38.65 %</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142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12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640" w:hanging="315"/>
        <w:spacing w:after="0"/>
        <w:tabs>
          <w:tab w:leader="none" w:pos="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Values are based on the closing price per share of BXP’s Common Stock on the New York Stock Exchange on June 30, 2021 of $114.59.</w:t>
      </w:r>
    </w:p>
    <w:p>
      <w:pPr>
        <w:spacing w:after="0" w:line="2" w:lineRule="exact"/>
        <w:rPr>
          <w:rFonts w:ascii="Arial" w:cs="Arial" w:eastAsia="Arial" w:hAnsi="Arial"/>
          <w:sz w:val="16"/>
          <w:szCs w:val="16"/>
          <w:color w:val="auto"/>
        </w:rPr>
      </w:pPr>
    </w:p>
    <w:p>
      <w:pPr>
        <w:ind w:left="640" w:right="60" w:hanging="315"/>
        <w:spacing w:after="0" w:line="242" w:lineRule="auto"/>
        <w:tabs>
          <w:tab w:leader="none" w:pos="6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Includes long-term incentive plan units (including 2012 OPP Units and 2013 - 2018 MYLTIP Units) but excludes MYLTIP Units granted between 2019 and 2021 because the three-year performance period has not ended.</w:t>
      </w:r>
    </w:p>
    <w:p>
      <w:pPr>
        <w:spacing w:after="0" w:line="1" w:lineRule="exact"/>
        <w:rPr>
          <w:rFonts w:ascii="Arial" w:cs="Arial" w:eastAsia="Arial" w:hAnsi="Arial"/>
          <w:sz w:val="16"/>
          <w:szCs w:val="16"/>
          <w:color w:val="auto"/>
        </w:rPr>
      </w:pPr>
    </w:p>
    <w:p>
      <w:pPr>
        <w:ind w:left="640" w:hanging="315"/>
        <w:spacing w:after="0"/>
        <w:tabs>
          <w:tab w:leader="none" w:pos="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See page 93 for additional information.</w:t>
      </w:r>
    </w:p>
    <w:p>
      <w:pPr>
        <w:spacing w:after="0" w:line="2" w:lineRule="exact"/>
        <w:rPr>
          <w:rFonts w:ascii="Arial" w:cs="Arial" w:eastAsia="Arial" w:hAnsi="Arial"/>
          <w:sz w:val="16"/>
          <w:szCs w:val="16"/>
          <w:color w:val="auto"/>
        </w:rPr>
      </w:pPr>
    </w:p>
    <w:p>
      <w:pPr>
        <w:ind w:left="640" w:hanging="315"/>
        <w:spacing w:after="0"/>
        <w:tabs>
          <w:tab w:leader="none" w:pos="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See page 92 for additional information.</w:t>
      </w:r>
    </w:p>
    <w:p>
      <w:pPr>
        <w:spacing w:after="0" w:line="332" w:lineRule="exact"/>
        <w:rPr>
          <w:sz w:val="20"/>
          <w:szCs w:val="20"/>
          <w:color w:val="auto"/>
        </w:rPr>
      </w:pPr>
    </w:p>
    <w:p>
      <w:pPr>
        <w:ind w:right="160" w:firstLine="399"/>
        <w:spacing w:after="0" w:line="248" w:lineRule="auto"/>
        <w:rPr>
          <w:sz w:val="20"/>
          <w:szCs w:val="20"/>
          <w:color w:val="auto"/>
        </w:rPr>
      </w:pPr>
      <w:r>
        <w:rPr>
          <w:rFonts w:ascii="Arial" w:cs="Arial" w:eastAsia="Arial" w:hAnsi="Arial"/>
          <w:sz w:val="18"/>
          <w:szCs w:val="18"/>
          <w:color w:val="auto"/>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spacing w:after="0" w:line="168" w:lineRule="exact"/>
        <w:rPr>
          <w:sz w:val="20"/>
          <w:szCs w:val="20"/>
          <w:color w:val="auto"/>
        </w:rPr>
      </w:pPr>
    </w:p>
    <w:p>
      <w:pPr>
        <w:ind w:left="1100" w:hanging="455"/>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consolidated debt; plus</w:t>
      </w:r>
    </w:p>
    <w:p>
      <w:pPr>
        <w:spacing w:after="0" w:line="191" w:lineRule="exact"/>
        <w:rPr>
          <w:rFonts w:ascii="Arial" w:cs="Arial" w:eastAsia="Arial" w:hAnsi="Arial"/>
          <w:sz w:val="18"/>
          <w:szCs w:val="18"/>
          <w:color w:val="auto"/>
        </w:rPr>
      </w:pPr>
    </w:p>
    <w:p>
      <w:pPr>
        <w:ind w:right="600" w:firstLine="645"/>
        <w:spacing w:after="0" w:line="252" w:lineRule="auto"/>
        <w:tabs>
          <w:tab w:leader="none" w:pos="11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product of (x) the closing price per share of BXP common stock on June 30, 2021, as reported by the New York Stock Exchange, multiplied by (y) the sum of:</w:t>
      </w:r>
    </w:p>
    <w:p>
      <w:pPr>
        <w:spacing w:after="0" w:line="163" w:lineRule="exact"/>
        <w:rPr>
          <w:rFonts w:ascii="Arial" w:cs="Arial" w:eastAsia="Arial" w:hAnsi="Arial"/>
          <w:sz w:val="18"/>
          <w:szCs w:val="18"/>
          <w:color w:val="auto"/>
        </w:rPr>
      </w:pPr>
    </w:p>
    <w:p>
      <w:pPr>
        <w:ind w:left="1680" w:hanging="397"/>
        <w:spacing w:after="0"/>
        <w:tabs>
          <w:tab w:leader="none" w:pos="1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number of outstanding shares of common stock of BXP,</w:t>
      </w:r>
    </w:p>
    <w:p>
      <w:pPr>
        <w:spacing w:after="0" w:line="178" w:lineRule="exact"/>
        <w:rPr>
          <w:rFonts w:ascii="Arial" w:cs="Arial" w:eastAsia="Arial" w:hAnsi="Arial"/>
          <w:sz w:val="18"/>
          <w:szCs w:val="18"/>
          <w:color w:val="auto"/>
        </w:rPr>
      </w:pPr>
    </w:p>
    <w:p>
      <w:pPr>
        <w:ind w:left="1720" w:hanging="437"/>
        <w:spacing w:after="0"/>
        <w:tabs>
          <w:tab w:leader="none" w:pos="17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number of outstanding OP Units in BPLP (excluding OP Units held by BXP),</w:t>
      </w:r>
    </w:p>
    <w:p>
      <w:pPr>
        <w:spacing w:after="0" w:line="191" w:lineRule="exact"/>
        <w:rPr>
          <w:rFonts w:ascii="Arial" w:cs="Arial" w:eastAsia="Arial" w:hAnsi="Arial"/>
          <w:sz w:val="18"/>
          <w:szCs w:val="18"/>
          <w:color w:val="auto"/>
        </w:rPr>
      </w:pPr>
    </w:p>
    <w:p>
      <w:pPr>
        <w:ind w:left="1920" w:right="120" w:hanging="637"/>
        <w:spacing w:after="0" w:line="252" w:lineRule="auto"/>
        <w:tabs>
          <w:tab w:leader="none" w:pos="1764"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all outstanding LTIP Units, assuming all conditions have been met for the conversion of the LTIP Units, and</w:t>
      </w:r>
    </w:p>
    <w:p>
      <w:pPr>
        <w:spacing w:after="0" w:line="163" w:lineRule="exact"/>
        <w:rPr>
          <w:rFonts w:ascii="Arial" w:cs="Arial" w:eastAsia="Arial" w:hAnsi="Arial"/>
          <w:sz w:val="18"/>
          <w:szCs w:val="18"/>
          <w:color w:val="auto"/>
        </w:rPr>
      </w:pPr>
    </w:p>
    <w:p>
      <w:pPr>
        <w:ind w:left="1920" w:right="20" w:hanging="637"/>
        <w:spacing w:after="0" w:line="252" w:lineRule="auto"/>
        <w:tabs>
          <w:tab w:leader="none" w:pos="1774"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2012 OPP Units, 2013 - 2018 MYLTIP Units that were issued in the form of LTIP Units.</w:t>
      </w:r>
    </w:p>
    <w:p>
      <w:pPr>
        <w:spacing w:after="0" w:line="164" w:lineRule="exact"/>
        <w:rPr>
          <w:sz w:val="20"/>
          <w:szCs w:val="20"/>
          <w:color w:val="auto"/>
        </w:rPr>
      </w:pPr>
    </w:p>
    <w:p>
      <w:pPr>
        <w:jc w:val="both"/>
        <w:ind w:right="180" w:firstLine="399"/>
        <w:spacing w:after="0" w:line="249" w:lineRule="auto"/>
        <w:rPr>
          <w:sz w:val="20"/>
          <w:szCs w:val="20"/>
          <w:color w:val="auto"/>
        </w:rPr>
      </w:pPr>
      <w:r>
        <w:rPr>
          <w:rFonts w:ascii="Arial" w:cs="Arial" w:eastAsia="Arial" w:hAnsi="Arial"/>
          <w:sz w:val="18"/>
          <w:szCs w:val="18"/>
          <w:color w:val="auto"/>
        </w:rPr>
        <w:t>The calculation of consolidated market capitalization does not include LTIP Units issued in the form of MYLTIP Awards unless and until certain performance thresholds are achieved and they are earned. Because their three-year performance periods have not yet ended, 2019 - 2021 MYLTIP Units are not included in this calculation as of June 30, 2021.</w:t>
      </w:r>
    </w:p>
    <w:p>
      <w:pPr>
        <w:sectPr>
          <w:pgSz w:w="11900" w:h="16838" w:orient="portrait"/>
          <w:cols w:equalWidth="0" w:num="1">
            <w:col w:w="11200"/>
          </w:cols>
          <w:pgMar w:left="320" w:top="29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298" w:right="37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firstLine="399"/>
        <w:spacing w:after="0" w:line="247" w:lineRule="auto"/>
        <w:rPr>
          <w:sz w:val="20"/>
          <w:szCs w:val="20"/>
          <w:color w:val="auto"/>
        </w:rPr>
      </w:pPr>
      <w:r>
        <w:rPr>
          <w:rFonts w:ascii="Arial" w:cs="Arial" w:eastAsia="Arial" w:hAnsi="Arial"/>
          <w:sz w:val="18"/>
          <w:szCs w:val="18"/>
          <w:color w:val="auto"/>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spacing w:after="0" w:line="154" w:lineRule="exact"/>
        <w:rPr>
          <w:sz w:val="20"/>
          <w:szCs w:val="20"/>
          <w:color w:val="auto"/>
        </w:rPr>
      </w:pPr>
    </w:p>
    <w:p>
      <w:pPr>
        <w:ind w:right="200" w:firstLine="399"/>
        <w:spacing w:after="0" w:line="247" w:lineRule="auto"/>
        <w:rPr>
          <w:sz w:val="20"/>
          <w:szCs w:val="20"/>
          <w:color w:val="auto"/>
        </w:rPr>
      </w:pPr>
      <w:r>
        <w:rPr>
          <w:rFonts w:ascii="Arial" w:cs="Arial" w:eastAsia="Arial" w:hAnsi="Arial"/>
          <w:sz w:val="18"/>
          <w:szCs w:val="18"/>
          <w:color w:val="auto"/>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spacing w:after="0" w:line="139" w:lineRule="exact"/>
        <w:rPr>
          <w:sz w:val="20"/>
          <w:szCs w:val="20"/>
          <w:color w:val="auto"/>
        </w:rPr>
      </w:pPr>
    </w:p>
    <w:p>
      <w:pPr>
        <w:ind w:right="80" w:firstLine="399"/>
        <w:spacing w:after="0" w:line="275" w:lineRule="auto"/>
        <w:rPr>
          <w:sz w:val="20"/>
          <w:szCs w:val="20"/>
          <w:color w:val="auto"/>
        </w:rPr>
      </w:pPr>
      <w:r>
        <w:rPr>
          <w:rFonts w:ascii="Arial" w:cs="Arial" w:eastAsia="Arial" w:hAnsi="Arial"/>
          <w:sz w:val="17"/>
          <w:szCs w:val="17"/>
          <w:color w:val="auto"/>
        </w:rPr>
        <w:t>For a discussion of our unconsolidated joint venture indebtedness, see “</w:t>
      </w:r>
      <w:r>
        <w:rPr>
          <w:rFonts w:ascii="Arial" w:cs="Arial" w:eastAsia="Arial" w:hAnsi="Arial"/>
          <w:sz w:val="17"/>
          <w:szCs w:val="17"/>
          <w:i w:val="1"/>
          <w:iCs w:val="1"/>
          <w:color w:val="auto"/>
        </w:rPr>
        <w:t>Liquidity and Capital Resources—Capitalization—Off-Balance</w:t>
      </w:r>
      <w:r>
        <w:rPr>
          <w:rFonts w:ascii="Arial" w:cs="Arial" w:eastAsia="Arial" w:hAnsi="Arial"/>
          <w:sz w:val="17"/>
          <w:szCs w:val="17"/>
          <w:color w:val="auto"/>
        </w:rPr>
        <w:t xml:space="preserve"> </w:t>
      </w:r>
      <w:r>
        <w:rPr>
          <w:rFonts w:ascii="Arial" w:cs="Arial" w:eastAsia="Arial" w:hAnsi="Arial"/>
          <w:sz w:val="17"/>
          <w:szCs w:val="17"/>
          <w:i w:val="1"/>
          <w:iCs w:val="1"/>
          <w:color w:val="auto"/>
        </w:rPr>
        <w:t>Sheet Arrangements—Joint Venture Indebtedness</w:t>
      </w:r>
      <w:r>
        <w:rPr>
          <w:rFonts w:ascii="Arial" w:cs="Arial" w:eastAsia="Arial" w:hAnsi="Arial"/>
          <w:sz w:val="17"/>
          <w:szCs w:val="17"/>
          <w:color w:val="auto"/>
        </w:rPr>
        <w:t>” within “</w:t>
      </w:r>
      <w:r>
        <w:rPr>
          <w:rFonts w:ascii="Arial" w:cs="Arial" w:eastAsia="Arial" w:hAnsi="Arial"/>
          <w:sz w:val="17"/>
          <w:szCs w:val="17"/>
          <w:i w:val="1"/>
          <w:iCs w:val="1"/>
          <w:color w:val="auto"/>
        </w:rPr>
        <w:t>Item 2—Management’s Discussion and Analysis of Financial Condition and Results of Operations</w:t>
      </w:r>
      <w:r>
        <w:rPr>
          <w:rFonts w:ascii="Arial" w:cs="Arial" w:eastAsia="Arial" w:hAnsi="Arial"/>
          <w:sz w:val="17"/>
          <w:szCs w:val="17"/>
          <w:color w:val="auto"/>
        </w:rPr>
        <w:t>” and for a discussion of our consolidated joint venture indebtedness see</w:t>
      </w:r>
      <w:r>
        <w:rPr>
          <w:rFonts w:ascii="Arial" w:cs="Arial" w:eastAsia="Arial" w:hAnsi="Arial"/>
          <w:sz w:val="17"/>
          <w:szCs w:val="17"/>
          <w:i w:val="1"/>
          <w:iCs w:val="1"/>
          <w:color w:val="auto"/>
        </w:rPr>
        <w:t xml:space="preserve"> “Liquidity and Capital Resources—Capitalization— Mortgage Notes Payable, Net</w:t>
      </w:r>
      <w:r>
        <w:rPr>
          <w:rFonts w:ascii="Arial" w:cs="Arial" w:eastAsia="Arial" w:hAnsi="Arial"/>
          <w:sz w:val="17"/>
          <w:szCs w:val="17"/>
          <w:color w:val="auto"/>
        </w:rPr>
        <w:t>” within “</w:t>
      </w:r>
      <w:r>
        <w:rPr>
          <w:rFonts w:ascii="Arial" w:cs="Arial" w:eastAsia="Arial" w:hAnsi="Arial"/>
          <w:sz w:val="17"/>
          <w:szCs w:val="17"/>
          <w:i w:val="1"/>
          <w:iCs w:val="1"/>
          <w:color w:val="auto"/>
        </w:rPr>
        <w:t>Item 2—Management’s Discussion and Analysis of Financial Condition and Results of Operations</w:t>
      </w:r>
      <w:r>
        <w:rPr>
          <w:rFonts w:ascii="Arial" w:cs="Arial" w:eastAsia="Arial" w:hAnsi="Arial"/>
          <w:sz w:val="17"/>
          <w:szCs w:val="17"/>
          <w:color w:val="auto"/>
        </w:rPr>
        <w:t>.”</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Debt Financing</w:t>
      </w:r>
    </w:p>
    <w:p>
      <w:pPr>
        <w:spacing w:after="0" w:line="108"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As of June 30, 2021, we had approximately $12.5 billion of outstanding consolidated indebtedness, representing approximately 38.65% of our Consolidated Market Capitalization as calculated above consisting of approximately (1) $9.6 billion (net of discount and deferred financing fees) in publicly traded unsecured senior notes having a GAAP weighted-average interest rate of 3.57% per annum and maturities in 2023 through 2032 and (2) $2.9 billion (net of deferred financing fees) of property-specific mortgage debt having a GAAP weighted-average interest rate of 3.89% per annum and a weighted-average term of 4.8 years.</w:t>
      </w:r>
    </w:p>
    <w:p>
      <w:pPr>
        <w:spacing w:after="0" w:line="154" w:lineRule="exact"/>
        <w:rPr>
          <w:sz w:val="20"/>
          <w:szCs w:val="20"/>
          <w:color w:val="auto"/>
        </w:rPr>
      </w:pPr>
    </w:p>
    <w:p>
      <w:pPr>
        <w:ind w:right="400" w:firstLine="399"/>
        <w:spacing w:after="0" w:line="252" w:lineRule="auto"/>
        <w:rPr>
          <w:sz w:val="20"/>
          <w:szCs w:val="20"/>
          <w:color w:val="auto"/>
        </w:rPr>
      </w:pPr>
      <w:r>
        <w:rPr>
          <w:rFonts w:ascii="Arial" w:cs="Arial" w:eastAsia="Arial" w:hAnsi="Arial"/>
          <w:sz w:val="18"/>
          <w:szCs w:val="18"/>
          <w:color w:val="auto"/>
        </w:rPr>
        <w:t>The table below summarizes the aggregate carrying value of our mortgage notes payable and BPLP’s unsecured senior notes, line of credit and term loan, as well as Consolidated Debt Financing Statistics at June 30, 2021 and June 30, 2020.</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rFonts w:ascii="Arial" w:cs="Arial" w:eastAsia="Arial" w:hAnsi="Arial"/>
                <w:sz w:val="18"/>
                <w:szCs w:val="18"/>
                <w:color w:val="0000FF"/>
              </w:rPr>
            </w:pPr>
            <w:r>
              <w:rPr>
                <w:rFonts w:ascii="Arial" w:cs="Arial" w:eastAsia="Arial" w:hAnsi="Arial"/>
                <w:sz w:val="18"/>
                <w:szCs w:val="18"/>
                <w:color w:val="0000FF"/>
              </w:rPr>
              <w:t xml:space="preserve">Table </w:t>
            </w:r>
            <w:hyperlink w:anchor="page4">
              <w:r>
                <w:rPr>
                  <w:rFonts w:ascii="Arial" w:cs="Arial" w:eastAsia="Arial" w:hAnsi="Arial"/>
                  <w:sz w:val="18"/>
                  <w:szCs w:val="18"/>
                  <w:color w:val="0000FF"/>
                </w:rPr>
                <w:t>of Contents</w:t>
              </w:r>
            </w:hyperlink>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0"/>
        </w:trPr>
        <w:tc>
          <w:tcPr>
            <w:tcW w:w="1380" w:type="dxa"/>
            <w:vAlign w:val="bottom"/>
            <w:tcBorders>
              <w:top w:val="single" w:sz="8" w:color="0000FF"/>
            </w:tcBorders>
          </w:tcPr>
          <w:p>
            <w:pPr>
              <w:spacing w:after="0"/>
              <w:rPr>
                <w:sz w:val="24"/>
                <w:szCs w:val="24"/>
                <w:color w:val="auto"/>
              </w:rPr>
            </w:pPr>
          </w:p>
        </w:tc>
        <w:tc>
          <w:tcPr>
            <w:tcW w:w="6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831"/>
              <w:spacing w:after="0"/>
              <w:rPr>
                <w:sz w:val="20"/>
                <w:szCs w:val="20"/>
                <w:color w:val="auto"/>
              </w:rPr>
            </w:pPr>
            <w:r>
              <w:rPr>
                <w:rFonts w:ascii="Arial" w:cs="Arial" w:eastAsia="Arial" w:hAnsi="Arial"/>
                <w:sz w:val="18"/>
                <w:szCs w:val="18"/>
                <w:b w:val="1"/>
                <w:bCs w:val="1"/>
                <w:color w:val="auto"/>
                <w:w w:val="99"/>
              </w:rPr>
              <w:t>June 30,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8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9"/>
        </w:trPr>
        <w:tc>
          <w:tcPr>
            <w:tcW w:w="138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40" w:type="dxa"/>
            <w:vAlign w:val="bottom"/>
            <w:gridSpan w:val="4"/>
          </w:tcPr>
          <w:p>
            <w:pPr>
              <w:jc w:val="center"/>
              <w:ind w:right="251"/>
              <w:spacing w:after="0"/>
              <w:rPr>
                <w:sz w:val="20"/>
                <w:szCs w:val="20"/>
                <w:color w:val="auto"/>
              </w:rPr>
            </w:pPr>
            <w:r>
              <w:rPr>
                <w:rFonts w:ascii="Arial" w:cs="Arial" w:eastAsia="Arial" w:hAnsi="Arial"/>
                <w:sz w:val="18"/>
                <w:szCs w:val="18"/>
                <w:b w:val="1"/>
                <w:bCs w:val="1"/>
                <w:color w:val="auto"/>
                <w:w w:val="97"/>
              </w:rPr>
              <w:t>(dollars in thousands)</w:t>
            </w:r>
          </w:p>
        </w:tc>
        <w:tc>
          <w:tcPr>
            <w:tcW w:w="0" w:type="dxa"/>
            <w:vAlign w:val="bottom"/>
          </w:tcPr>
          <w:p>
            <w:pPr>
              <w:spacing w:after="0"/>
              <w:rPr>
                <w:sz w:val="1"/>
                <w:szCs w:val="1"/>
                <w:color w:val="auto"/>
              </w:rPr>
            </w:pPr>
          </w:p>
        </w:tc>
      </w:tr>
      <w:tr>
        <w:trPr>
          <w:trHeight w:val="22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Debt Summary:</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Balance</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 mortgage notes payable, net</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2,901,709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2,915,852</w:t>
            </w:r>
          </w:p>
        </w:tc>
        <w:tc>
          <w:tcPr>
            <w:tcW w:w="0" w:type="dxa"/>
            <w:vAlign w:val="bottom"/>
          </w:tcPr>
          <w:p>
            <w:pPr>
              <w:spacing w:after="0"/>
              <w:rPr>
                <w:sz w:val="1"/>
                <w:szCs w:val="1"/>
                <w:color w:val="auto"/>
              </w:rPr>
            </w:pPr>
          </w:p>
        </w:tc>
      </w:tr>
      <w:tr>
        <w:trPr>
          <w:trHeight w:val="225"/>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Unsecured senior notes, net</w:t>
            </w:r>
          </w:p>
        </w:tc>
        <w:tc>
          <w:tcPr>
            <w:tcW w:w="34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9,634,356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9,633,577</w:t>
            </w:r>
          </w:p>
        </w:tc>
        <w:tc>
          <w:tcPr>
            <w:tcW w:w="0" w:type="dxa"/>
            <w:vAlign w:val="bottom"/>
          </w:tcPr>
          <w:p>
            <w:pPr>
              <w:spacing w:after="0"/>
              <w:rPr>
                <w:sz w:val="1"/>
                <w:szCs w:val="1"/>
                <w:color w:val="auto"/>
              </w:rPr>
            </w:pPr>
          </w:p>
        </w:tc>
      </w:tr>
      <w:tr>
        <w:trPr>
          <w:trHeight w:val="227"/>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Unsecured line of credit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Unsecured term loan, net</w:t>
            </w:r>
          </w:p>
        </w:tc>
        <w:tc>
          <w:tcPr>
            <w:tcW w:w="34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499,150</w:t>
            </w:r>
          </w:p>
        </w:tc>
        <w:tc>
          <w:tcPr>
            <w:tcW w:w="0" w:type="dxa"/>
            <w:vAlign w:val="bottom"/>
          </w:tcPr>
          <w:p>
            <w:pPr>
              <w:spacing w:after="0"/>
              <w:rPr>
                <w:sz w:val="1"/>
                <w:szCs w:val="1"/>
                <w:color w:val="auto"/>
              </w:rPr>
            </w:pPr>
          </w:p>
        </w:tc>
      </w:tr>
      <w:tr>
        <w:trPr>
          <w:trHeight w:val="220"/>
        </w:trPr>
        <w:tc>
          <w:tcPr>
            <w:tcW w:w="772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Consolidated Debt</w:t>
            </w:r>
          </w:p>
        </w:tc>
        <w:tc>
          <w:tcPr>
            <w:tcW w:w="3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12,536,065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13,048,579</w:t>
            </w:r>
          </w:p>
        </w:tc>
        <w:tc>
          <w:tcPr>
            <w:tcW w:w="0" w:type="dxa"/>
            <w:vAlign w:val="bottom"/>
          </w:tcPr>
          <w:p>
            <w:pPr>
              <w:spacing w:after="0"/>
              <w:rPr>
                <w:sz w:val="1"/>
                <w:szCs w:val="1"/>
                <w:color w:val="auto"/>
              </w:rPr>
            </w:pPr>
          </w:p>
        </w:tc>
      </w:tr>
      <w:tr>
        <w:trPr>
          <w:trHeight w:val="225"/>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BXP’s share of unconsolidated joint venture debt, net (1)</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1,190,473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1,067,400</w:t>
            </w:r>
          </w:p>
        </w:tc>
        <w:tc>
          <w:tcPr>
            <w:tcW w:w="0" w:type="dxa"/>
            <w:vAlign w:val="bottom"/>
          </w:tcPr>
          <w:p>
            <w:pPr>
              <w:spacing w:after="0"/>
              <w:rPr>
                <w:sz w:val="1"/>
                <w:szCs w:val="1"/>
                <w:color w:val="auto"/>
              </w:rPr>
            </w:pPr>
          </w:p>
        </w:tc>
      </w:tr>
      <w:tr>
        <w:trPr>
          <w:trHeight w:val="225"/>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Subtract:</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Partners’ share of consolidated mortgage notes payable, net (2)</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(1,191,879)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(1,197,276)</w:t>
            </w:r>
          </w:p>
        </w:tc>
        <w:tc>
          <w:tcPr>
            <w:tcW w:w="0" w:type="dxa"/>
            <w:vAlign w:val="bottom"/>
          </w:tcPr>
          <w:p>
            <w:pPr>
              <w:spacing w:after="0"/>
              <w:rPr>
                <w:sz w:val="1"/>
                <w:szCs w:val="1"/>
                <w:color w:val="auto"/>
              </w:rPr>
            </w:pPr>
          </w:p>
        </w:tc>
      </w:tr>
      <w:tr>
        <w:trPr>
          <w:trHeight w:val="219"/>
        </w:trPr>
        <w:tc>
          <w:tcPr>
            <w:tcW w:w="772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BXP’s Share of Debt</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12,534,659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12,918,703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5"/>
        </w:trPr>
        <w:tc>
          <w:tcPr>
            <w:tcW w:w="13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831"/>
              <w:spacing w:after="0"/>
              <w:rPr>
                <w:sz w:val="20"/>
                <w:szCs w:val="20"/>
                <w:color w:val="auto"/>
              </w:rPr>
            </w:pPr>
            <w:r>
              <w:rPr>
                <w:rFonts w:ascii="Arial" w:cs="Arial" w:eastAsia="Arial" w:hAnsi="Arial"/>
                <w:sz w:val="18"/>
                <w:szCs w:val="18"/>
                <w:b w:val="1"/>
                <w:bCs w:val="1"/>
                <w:color w:val="auto"/>
                <w:w w:val="99"/>
              </w:rPr>
              <w:t>June 30,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80" w:type="dxa"/>
            <w:vAlign w:val="bottom"/>
            <w:tcBorders>
              <w:bottom w:val="single" w:sz="8" w:color="CCEEFF"/>
            </w:tcBorders>
          </w:tcPr>
          <w:p>
            <w:pPr>
              <w:spacing w:after="0"/>
              <w:rPr>
                <w:sz w:val="19"/>
                <w:szCs w:val="19"/>
                <w:color w:val="auto"/>
              </w:rPr>
            </w:pPr>
          </w:p>
        </w:tc>
        <w:tc>
          <w:tcPr>
            <w:tcW w:w="6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Debt Financing Statistics:</w:t>
            </w: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Percent of total debt:</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96.17 %</w:t>
            </w:r>
          </w:p>
        </w:tc>
        <w:tc>
          <w:tcPr>
            <w:tcW w:w="0" w:type="dxa"/>
            <w:vAlign w:val="bottom"/>
          </w:tcPr>
          <w:p>
            <w:pPr>
              <w:spacing w:after="0"/>
              <w:rPr>
                <w:sz w:val="1"/>
                <w:szCs w:val="1"/>
                <w:color w:val="auto"/>
              </w:rPr>
            </w:pPr>
          </w:p>
        </w:tc>
      </w:tr>
      <w:tr>
        <w:trPr>
          <w:trHeight w:val="225"/>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Variable rate</w:t>
            </w:r>
          </w:p>
        </w:tc>
        <w:tc>
          <w:tcPr>
            <w:tcW w:w="340" w:type="dxa"/>
            <w:vAlign w:val="bottom"/>
          </w:tcPr>
          <w:p>
            <w:pPr>
              <w:spacing w:after="0"/>
              <w:rPr>
                <w:sz w:val="19"/>
                <w:szCs w:val="19"/>
                <w:color w:val="auto"/>
              </w:rPr>
            </w:pPr>
          </w:p>
        </w:tc>
        <w:tc>
          <w:tcPr>
            <w:tcW w:w="146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44"/>
        </w:trPr>
        <w:tc>
          <w:tcPr>
            <w:tcW w:w="7720" w:type="dxa"/>
            <w:vAlign w:val="bottom"/>
            <w:tcBorders>
              <w:top w:val="single" w:sz="8" w:color="CCEEFF"/>
              <w:bottom w:val="single" w:sz="8" w:color="CCEEFF"/>
            </w:tcBorders>
            <w:gridSpan w:val="2"/>
            <w:shd w:val="clear" w:color="auto" w:fill="CCEEFF"/>
          </w:tcPr>
          <w:p>
            <w:pPr>
              <w:ind w:left="660"/>
              <w:spacing w:after="0" w:line="206" w:lineRule="exact"/>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GAAP Weighted-average interest rate at end of period: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r>
        <w:trPr>
          <w:trHeight w:val="225"/>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Variable rate</w:t>
            </w:r>
          </w:p>
        </w:tc>
        <w:tc>
          <w:tcPr>
            <w:tcW w:w="340" w:type="dxa"/>
            <w:vAlign w:val="bottom"/>
          </w:tcPr>
          <w:p>
            <w:pPr>
              <w:spacing w:after="0"/>
              <w:rPr>
                <w:sz w:val="19"/>
                <w:szCs w:val="19"/>
                <w:color w:val="auto"/>
              </w:rPr>
            </w:pPr>
          </w:p>
        </w:tc>
        <w:tc>
          <w:tcPr>
            <w:tcW w:w="146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20"/>
        </w:trPr>
        <w:tc>
          <w:tcPr>
            <w:tcW w:w="7720" w:type="dxa"/>
            <w:vAlign w:val="bottom"/>
            <w:tcBorders>
              <w:top w:val="single" w:sz="8" w:color="CCEEFF"/>
            </w:tcBorders>
            <w:gridSpan w:val="2"/>
            <w:shd w:val="clear" w:color="auto" w:fill="CCEEFF"/>
          </w:tcPr>
          <w:p>
            <w:pPr>
              <w:ind w:left="660"/>
              <w:spacing w:after="0" w:line="206" w:lineRule="exact"/>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3.66 %</w:t>
            </w:r>
          </w:p>
        </w:tc>
        <w:tc>
          <w:tcPr>
            <w:tcW w:w="0" w:type="dxa"/>
            <w:vAlign w:val="bottom"/>
          </w:tcPr>
          <w:p>
            <w:pPr>
              <w:spacing w:after="0"/>
              <w:rPr>
                <w:sz w:val="1"/>
                <w:szCs w:val="1"/>
                <w:color w:val="auto"/>
              </w:rPr>
            </w:pPr>
          </w:p>
        </w:tc>
      </w:tr>
      <w:tr>
        <w:trPr>
          <w:trHeight w:val="205"/>
        </w:trPr>
        <w:tc>
          <w:tcPr>
            <w:tcW w:w="772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Coupon/Stated Weighted-average interest rate at end of period:</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25"/>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Variable rate</w:t>
            </w:r>
          </w:p>
        </w:tc>
        <w:tc>
          <w:tcPr>
            <w:tcW w:w="340" w:type="dxa"/>
            <w:vAlign w:val="bottom"/>
          </w:tcPr>
          <w:p>
            <w:pPr>
              <w:spacing w:after="0"/>
              <w:rPr>
                <w:sz w:val="19"/>
                <w:szCs w:val="19"/>
                <w:color w:val="auto"/>
              </w:rPr>
            </w:pPr>
          </w:p>
        </w:tc>
        <w:tc>
          <w:tcPr>
            <w:tcW w:w="146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20"/>
        </w:trPr>
        <w:tc>
          <w:tcPr>
            <w:tcW w:w="7720" w:type="dxa"/>
            <w:vAlign w:val="bottom"/>
            <w:tcBorders>
              <w:top w:val="single" w:sz="8" w:color="CCEEFF"/>
            </w:tcBorders>
            <w:gridSpan w:val="2"/>
            <w:shd w:val="clear" w:color="auto" w:fill="CCEEFF"/>
          </w:tcPr>
          <w:p>
            <w:pPr>
              <w:ind w:left="660"/>
              <w:spacing w:after="0" w:line="206" w:lineRule="exact"/>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05"/>
        </w:trPr>
        <w:tc>
          <w:tcPr>
            <w:tcW w:w="772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Weighted-average maturity at end of period (in years):</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5"/>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Variable rate</w:t>
            </w:r>
          </w:p>
        </w:tc>
        <w:tc>
          <w:tcPr>
            <w:tcW w:w="34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9"/>
        </w:trPr>
        <w:tc>
          <w:tcPr>
            <w:tcW w:w="7720" w:type="dxa"/>
            <w:vAlign w:val="bottom"/>
            <w:tcBorders>
              <w:top w:val="single" w:sz="8" w:color="CCEEFF"/>
            </w:tcBorders>
            <w:gridSpan w:val="2"/>
            <w:shd w:val="clear" w:color="auto" w:fill="CCEEFF"/>
          </w:tcPr>
          <w:p>
            <w:pPr>
              <w:ind w:left="660"/>
              <w:spacing w:after="0" w:line="206" w:lineRule="exact"/>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640" w:hanging="315"/>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See page 93 for additional information.</w:t>
      </w:r>
    </w:p>
    <w:p>
      <w:pPr>
        <w:spacing w:after="0" w:line="2" w:lineRule="exact"/>
        <w:rPr>
          <w:rFonts w:ascii="Arial" w:cs="Arial" w:eastAsia="Arial" w:hAnsi="Arial"/>
          <w:sz w:val="16"/>
          <w:szCs w:val="16"/>
          <w:color w:val="auto"/>
        </w:rPr>
      </w:pPr>
    </w:p>
    <w:p>
      <w:pPr>
        <w:ind w:left="640" w:hanging="315"/>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See page 92 for additional information.</w:t>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121" w:lineRule="exact"/>
        <w:rPr>
          <w:sz w:val="20"/>
          <w:szCs w:val="20"/>
          <w:color w:val="auto"/>
        </w:rPr>
      </w:pPr>
    </w:p>
    <w:p>
      <w:pPr>
        <w:jc w:val="both"/>
        <w:ind w:right="340" w:firstLine="439"/>
        <w:spacing w:after="0" w:line="249" w:lineRule="auto"/>
        <w:rPr>
          <w:sz w:val="20"/>
          <w:szCs w:val="20"/>
          <w:color w:val="auto"/>
        </w:rPr>
      </w:pPr>
      <w:r>
        <w:rPr>
          <w:rFonts w:ascii="Arial" w:cs="Arial" w:eastAsia="Arial" w:hAnsi="Arial"/>
          <w:sz w:val="18"/>
          <w:szCs w:val="18"/>
          <w:color w:val="auto"/>
        </w:rPr>
        <w:t>On March 16, 2021, BPLP repaid $500.0 million, representing all amounts outstanding, on the Delayed Draw Facility under the 2017 Credit Facility. We recognized a loss from early extinguishment of debt totaling approximately $0.5 million, related to unamortized financing costs.</w:t>
      </w:r>
    </w:p>
    <w:p>
      <w:pPr>
        <w:spacing w:after="0" w:line="167" w:lineRule="exact"/>
        <w:rPr>
          <w:sz w:val="20"/>
          <w:szCs w:val="20"/>
          <w:color w:val="auto"/>
        </w:rPr>
      </w:pPr>
    </w:p>
    <w:p>
      <w:pPr>
        <w:ind w:right="40" w:firstLine="439"/>
        <w:spacing w:after="0" w:line="248" w:lineRule="auto"/>
        <w:rPr>
          <w:sz w:val="20"/>
          <w:szCs w:val="20"/>
          <w:color w:val="auto"/>
        </w:rPr>
      </w:pPr>
      <w:r>
        <w:rPr>
          <w:rFonts w:ascii="Arial" w:cs="Arial" w:eastAsia="Arial" w:hAnsi="Arial"/>
          <w:sz w:val="18"/>
          <w:szCs w:val="18"/>
          <w:color w:val="auto"/>
        </w:rPr>
        <w:t>On June 15, 2021, BPLP amended and restated the 2017 Credit Facility and entered into the 2021 Credit Facility. The 2021 Credit Facility provides for borrowings of up to $1.5 billion through the Revolving Facility, subject to customary conditions. Among other things, the amendment and restatement (1) extended the maturity date to June 15, 2026, (2) eliminated the $500.0 million Delayed Draw Facility provided under the 2017 Credit Facility, (3) reduced the per annum variable interest rates on borrowings and (4) added a sustainability-linked pricing component. Under the 2021 Credit Facility, BPLP may increase the total commitment by up to $500.0 million by</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increasing the amount of the Revolving Facility and/or by incurring one or more term loans, in each case, subject to syndication of the increase and other conditions (See Note 8 to the Consolidated Financial Statements).</w:t>
      </w:r>
    </w:p>
    <w:p>
      <w:pPr>
        <w:spacing w:after="0" w:line="150" w:lineRule="exact"/>
        <w:rPr>
          <w:sz w:val="20"/>
          <w:szCs w:val="20"/>
          <w:color w:val="auto"/>
        </w:rPr>
      </w:pPr>
    </w:p>
    <w:p>
      <w:pPr>
        <w:ind w:right="40" w:firstLine="439"/>
        <w:spacing w:after="0" w:line="252" w:lineRule="auto"/>
        <w:rPr>
          <w:sz w:val="20"/>
          <w:szCs w:val="20"/>
          <w:color w:val="auto"/>
        </w:rPr>
      </w:pPr>
      <w:r>
        <w:rPr>
          <w:rFonts w:ascii="Arial" w:cs="Arial" w:eastAsia="Arial" w:hAnsi="Arial"/>
          <w:sz w:val="18"/>
          <w:szCs w:val="18"/>
          <w:color w:val="auto"/>
        </w:rPr>
        <w:t>The 2021 Credit Facility replaces the 2017 Credit Facility, which consisted of a $1.5 billion unsecured revolving line of credit and a $500.0 million Delayed Draw Facility, and was scheduled to expire on April 24, 2022.</w:t>
      </w:r>
    </w:p>
    <w:p>
      <w:pPr>
        <w:spacing w:after="0" w:line="137" w:lineRule="exact"/>
        <w:rPr>
          <w:sz w:val="20"/>
          <w:szCs w:val="20"/>
          <w:color w:val="auto"/>
        </w:rPr>
      </w:pPr>
    </w:p>
    <w:p>
      <w:pPr>
        <w:jc w:val="both"/>
        <w:ind w:right="180" w:firstLine="439"/>
        <w:spacing w:after="0" w:line="225" w:lineRule="auto"/>
        <w:rPr>
          <w:sz w:val="20"/>
          <w:szCs w:val="20"/>
          <w:color w:val="auto"/>
        </w:rPr>
      </w:pPr>
      <w:r>
        <w:rPr>
          <w:rFonts w:ascii="Arial" w:cs="Arial" w:eastAsia="Arial" w:hAnsi="Arial"/>
          <w:sz w:val="18"/>
          <w:szCs w:val="18"/>
          <w:color w:val="auto"/>
        </w:rPr>
        <w:t>As of June 30, 2021, BPLP had no borrowings under its 2021 Credit Facility and outstanding letters of credit totaling approximately $6.3 million, with the ability to borrow approximately $1.5 billion. As of August 2, 2021, BPLP had $205 million of borrowings under its 2021 Credit Facility and outstanding letters of credit totaling approximately $6.3 million, with the ability to borrow approximately $1.3 billion.</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108" w:lineRule="exact"/>
        <w:rPr>
          <w:sz w:val="20"/>
          <w:szCs w:val="20"/>
          <w:color w:val="auto"/>
        </w:rPr>
      </w:pPr>
    </w:p>
    <w:p>
      <w:pPr>
        <w:ind w:right="900" w:firstLine="439"/>
        <w:spacing w:after="0" w:line="252" w:lineRule="auto"/>
        <w:rPr>
          <w:sz w:val="20"/>
          <w:szCs w:val="20"/>
          <w:color w:val="auto"/>
        </w:rPr>
      </w:pPr>
      <w:r>
        <w:rPr>
          <w:rFonts w:ascii="Arial" w:cs="Arial" w:eastAsia="Arial" w:hAnsi="Arial"/>
          <w:sz w:val="18"/>
          <w:szCs w:val="18"/>
          <w:color w:val="auto"/>
        </w:rPr>
        <w:t>For a description of BPLP’s outstanding unsecured senior notes as of June 30, 2021, see Note 7 to the Consolidated Financial Statements.</w:t>
      </w:r>
    </w:p>
    <w:p>
      <w:pPr>
        <w:spacing w:after="0" w:line="150" w:lineRule="exact"/>
        <w:rPr>
          <w:sz w:val="20"/>
          <w:szCs w:val="20"/>
          <w:color w:val="auto"/>
        </w:rPr>
      </w:pPr>
    </w:p>
    <w:p>
      <w:pPr>
        <w:ind w:right="120" w:firstLine="439"/>
        <w:spacing w:after="0" w:line="248" w:lineRule="auto"/>
        <w:rPr>
          <w:sz w:val="20"/>
          <w:szCs w:val="20"/>
          <w:color w:val="auto"/>
        </w:rPr>
      </w:pPr>
      <w:r>
        <w:rPr>
          <w:rFonts w:ascii="Arial" w:cs="Arial" w:eastAsia="Arial" w:hAnsi="Arial"/>
          <w:sz w:val="18"/>
          <w:szCs w:val="18"/>
          <w:color w:val="auto"/>
        </w:rPr>
        <w:t>On February 14, 2021, BPLP completed the redemption of $850.0 million in aggregate principal amount of its 4.125% senior notes due May 15, 2021. The redemption price was approximately $858.7 million, which was equal to the stated principal plus approximately $8.7 million of accrued and unpaid interest to, but not including, the redemption date. Excluding the accrued and unpaid interest, the redemption price was equal to the principal amount being redeemed. We recognized a loss from early extinguishment of debt totaling approximately $0.4 million, related to unamortized origination costs.</w:t>
      </w:r>
    </w:p>
    <w:p>
      <w:pPr>
        <w:spacing w:after="0" w:line="154" w:lineRule="exact"/>
        <w:rPr>
          <w:sz w:val="20"/>
          <w:szCs w:val="20"/>
          <w:color w:val="auto"/>
        </w:rPr>
      </w:pPr>
    </w:p>
    <w:p>
      <w:pPr>
        <w:ind w:right="100" w:firstLine="439"/>
        <w:spacing w:after="0" w:line="248" w:lineRule="auto"/>
        <w:rPr>
          <w:sz w:val="20"/>
          <w:szCs w:val="20"/>
          <w:color w:val="auto"/>
        </w:rPr>
      </w:pPr>
      <w:r>
        <w:rPr>
          <w:rFonts w:ascii="Arial" w:cs="Arial" w:eastAsia="Arial" w:hAnsi="Arial"/>
          <w:sz w:val="18"/>
          <w:szCs w:val="18"/>
          <w:color w:val="auto"/>
        </w:rPr>
        <w:t>On March 16, 2021, BPLP completed a public offering of $850.0 million in aggregate principal amount of its 2.550% unsecured senior notes due 2032. The notes were priced at 99.570% of the principal amount to yield an effective rate (including financing fees) of approximately 2.671% per annum to maturity. The notes will mature on April 1, 2032, unless earlier redeemed. The aggregate net proceeds from the offering were approximately $839.2 million after deducting underwriting discounts and transaction expenses.</w:t>
      </w:r>
    </w:p>
    <w:p>
      <w:pPr>
        <w:spacing w:after="0" w:line="155" w:lineRule="exact"/>
        <w:rPr>
          <w:sz w:val="20"/>
          <w:szCs w:val="20"/>
          <w:color w:val="auto"/>
        </w:rPr>
      </w:pPr>
    </w:p>
    <w:p>
      <w:pPr>
        <w:ind w:right="20" w:firstLine="439"/>
        <w:spacing w:after="0" w:line="248" w:lineRule="auto"/>
        <w:rPr>
          <w:sz w:val="20"/>
          <w:szCs w:val="20"/>
          <w:color w:val="auto"/>
        </w:rPr>
      </w:pPr>
      <w:r>
        <w:rPr>
          <w:rFonts w:ascii="Arial" w:cs="Arial" w:eastAsia="Arial" w:hAnsi="Arial"/>
          <w:sz w:val="18"/>
          <w:szCs w:val="18"/>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June 30, 2021, BPLP was in compliance with each of these financial restrictions and requirements.</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Mortgage Notes Payable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represents the outstanding principal balances due under the mortgage notes payable at June 30,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rPr>
              <w:t>GAAP</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Deferred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4"/>
              <w:spacing w:after="0"/>
              <w:rPr>
                <w:sz w:val="20"/>
                <w:szCs w:val="20"/>
                <w:color w:val="auto"/>
              </w:rPr>
            </w:pPr>
            <w:r>
              <w:rPr>
                <w:rFonts w:ascii="Arial" w:cs="Arial" w:eastAsia="Arial" w:hAnsi="Arial"/>
                <w:sz w:val="12"/>
                <w:szCs w:val="12"/>
                <w:b w:val="1"/>
                <w:bCs w:val="1"/>
                <w:color w:val="auto"/>
              </w:rPr>
              <w:t>Carrying</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274"/>
              <w:spacing w:after="0"/>
              <w:rPr>
                <w:sz w:val="20"/>
                <w:szCs w:val="20"/>
                <w:color w:val="auto"/>
              </w:rPr>
            </w:pPr>
            <w:r>
              <w:rPr>
                <w:rFonts w:ascii="Arial" w:cs="Arial" w:eastAsia="Arial" w:hAnsi="Arial"/>
                <w:sz w:val="12"/>
                <w:szCs w:val="12"/>
                <w:b w:val="1"/>
                <w:bCs w:val="1"/>
                <w:color w:val="auto"/>
              </w:rPr>
              <w:t>Stated</w:t>
            </w:r>
          </w:p>
        </w:tc>
        <w:tc>
          <w:tcPr>
            <w:tcW w:w="1060" w:type="dxa"/>
            <w:vAlign w:val="bottom"/>
            <w:vMerge w:val="continue"/>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Stated Principal</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2"/>
                <w:szCs w:val="12"/>
                <w:b w:val="1"/>
                <w:bCs w:val="1"/>
                <w:color w:val="auto"/>
              </w:rPr>
              <w:t>Carrying</w:t>
            </w:r>
          </w:p>
        </w:tc>
        <w:tc>
          <w:tcPr>
            <w:tcW w:w="140" w:type="dxa"/>
            <w:vAlign w:val="bottom"/>
          </w:tcPr>
          <w:p>
            <w:pPr>
              <w:spacing w:after="0"/>
              <w:rPr>
                <w:sz w:val="10"/>
                <w:szCs w:val="10"/>
                <w:color w:val="auto"/>
              </w:rPr>
            </w:pPr>
          </w:p>
        </w:tc>
        <w:tc>
          <w:tcPr>
            <w:tcW w:w="840" w:type="dxa"/>
            <w:vAlign w:val="bottom"/>
          </w:tcPr>
          <w:p>
            <w:pPr>
              <w:jc w:val="center"/>
              <w:ind w:right="94"/>
              <w:spacing w:after="0" w:line="120" w:lineRule="exact"/>
              <w:rPr>
                <w:sz w:val="20"/>
                <w:szCs w:val="20"/>
                <w:color w:val="auto"/>
              </w:rPr>
            </w:pPr>
            <w:r>
              <w:rPr>
                <w:rFonts w:ascii="Arial" w:cs="Arial" w:eastAsia="Arial" w:hAnsi="Arial"/>
                <w:sz w:val="12"/>
                <w:szCs w:val="12"/>
                <w:b w:val="1"/>
                <w:bCs w:val="1"/>
                <w:color w:val="auto"/>
              </w:rPr>
              <w:t>Amount</w:t>
            </w:r>
          </w:p>
        </w:tc>
        <w:tc>
          <w:tcPr>
            <w:tcW w:w="8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8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Properties</w:t>
            </w:r>
          </w:p>
        </w:tc>
        <w:tc>
          <w:tcPr>
            <w:tcW w:w="1000" w:type="dxa"/>
            <w:vAlign w:val="bottom"/>
            <w:vMerge w:val="continue"/>
          </w:tcPr>
          <w:p>
            <w:pPr>
              <w:spacing w:after="0"/>
              <w:rPr>
                <w:sz w:val="10"/>
                <w:szCs w:val="10"/>
                <w:color w:val="auto"/>
              </w:rPr>
            </w:pPr>
          </w:p>
        </w:tc>
        <w:tc>
          <w:tcPr>
            <w:tcW w:w="1060" w:type="dxa"/>
            <w:vAlign w:val="bottom"/>
          </w:tcPr>
          <w:p>
            <w:pPr>
              <w:jc w:val="center"/>
              <w:ind w:right="14"/>
              <w:spacing w:after="0" w:line="120" w:lineRule="exact"/>
              <w:rPr>
                <w:sz w:val="20"/>
                <w:szCs w:val="20"/>
                <w:color w:val="auto"/>
              </w:rPr>
            </w:pPr>
            <w:r>
              <w:rPr>
                <w:rFonts w:ascii="Arial" w:cs="Arial" w:eastAsia="Arial" w:hAnsi="Arial"/>
                <w:sz w:val="12"/>
                <w:szCs w:val="12"/>
                <w:b w:val="1"/>
                <w:bCs w:val="1"/>
                <w:color w:val="auto"/>
              </w:rPr>
              <w:t>Interest Rate</w:t>
            </w:r>
          </w:p>
        </w:tc>
        <w:tc>
          <w:tcPr>
            <w:tcW w:w="10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rPr>
              <w:t>Financing</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94"/>
              <w:spacing w:after="0" w:line="120" w:lineRule="exact"/>
              <w:rPr>
                <w:sz w:val="20"/>
                <w:szCs w:val="20"/>
                <w:color w:val="auto"/>
              </w:rPr>
            </w:pPr>
            <w:r>
              <w:rPr>
                <w:rFonts w:ascii="Arial" w:cs="Arial" w:eastAsia="Arial" w:hAnsi="Arial"/>
                <w:sz w:val="12"/>
                <w:szCs w:val="12"/>
                <w:b w:val="1"/>
                <w:bCs w:val="1"/>
                <w:color w:val="auto"/>
              </w:rPr>
              <w:t>(Partners</w:t>
            </w:r>
            <w:r>
              <w:rPr>
                <w:rFonts w:ascii="Arial" w:cs="Arial" w:eastAsia="Arial" w:hAnsi="Arial"/>
                <w:sz w:val="12"/>
                <w:szCs w:val="12"/>
                <w:color w:val="auto"/>
              </w:rPr>
              <w:t>’</w:t>
            </w:r>
          </w:p>
        </w:tc>
        <w:tc>
          <w:tcPr>
            <w:tcW w:w="840" w:type="dxa"/>
            <w:vAlign w:val="bottom"/>
          </w:tcPr>
          <w:p>
            <w:pPr>
              <w:spacing w:after="0"/>
              <w:rPr>
                <w:sz w:val="10"/>
                <w:szCs w:val="10"/>
                <w:color w:val="auto"/>
              </w:rPr>
            </w:pPr>
          </w:p>
        </w:tc>
        <w:tc>
          <w:tcPr>
            <w:tcW w:w="13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Maturity Date</w:t>
            </w:r>
          </w:p>
        </w:tc>
        <w:tc>
          <w:tcPr>
            <w:tcW w:w="0" w:type="dxa"/>
            <w:vAlign w:val="bottom"/>
          </w:tcPr>
          <w:p>
            <w:pPr>
              <w:spacing w:after="0"/>
              <w:rPr>
                <w:sz w:val="1"/>
                <w:szCs w:val="1"/>
                <w:color w:val="auto"/>
              </w:rPr>
            </w:pPr>
          </w:p>
        </w:tc>
      </w:tr>
      <w:tr>
        <w:trPr>
          <w:trHeight w:val="168"/>
        </w:trPr>
        <w:tc>
          <w:tcPr>
            <w:tcW w:w="2780" w:type="dxa"/>
            <w:vAlign w:val="bottom"/>
            <w:gridSpan w:val="4"/>
            <w:vMerge w:val="continue"/>
          </w:tcPr>
          <w:p>
            <w:pPr>
              <w:spacing w:after="0"/>
              <w:rPr>
                <w:sz w:val="14"/>
                <w:szCs w:val="14"/>
                <w:color w:val="auto"/>
              </w:rPr>
            </w:pPr>
          </w:p>
        </w:tc>
        <w:tc>
          <w:tcPr>
            <w:tcW w:w="1000" w:type="dxa"/>
            <w:vAlign w:val="bottom"/>
          </w:tcPr>
          <w:p>
            <w:pPr>
              <w:jc w:val="right"/>
              <w:ind w:right="94"/>
              <w:spacing w:after="0"/>
              <w:rPr>
                <w:sz w:val="20"/>
                <w:szCs w:val="20"/>
                <w:color w:val="auto"/>
              </w:rPr>
            </w:pPr>
            <w:r>
              <w:rPr>
                <w:rFonts w:ascii="Arial" w:cs="Arial" w:eastAsia="Arial" w:hAnsi="Arial"/>
                <w:sz w:val="12"/>
                <w:szCs w:val="12"/>
                <w:b w:val="1"/>
                <w:bCs w:val="1"/>
                <w:color w:val="auto"/>
              </w:rPr>
              <w:t>Interest Rate</w:t>
            </w:r>
          </w:p>
        </w:tc>
        <w:tc>
          <w:tcPr>
            <w:tcW w:w="1060" w:type="dxa"/>
            <w:vAlign w:val="bottom"/>
          </w:tcPr>
          <w:p>
            <w:pPr>
              <w:jc w:val="center"/>
              <w:ind w:right="14"/>
              <w:spacing w:after="0"/>
              <w:rPr>
                <w:sz w:val="20"/>
                <w:szCs w:val="20"/>
                <w:color w:val="auto"/>
              </w:rPr>
            </w:pPr>
            <w:r>
              <w:rPr>
                <w:rFonts w:ascii="Arial" w:cs="Arial" w:eastAsia="Arial" w:hAnsi="Arial"/>
                <w:sz w:val="12"/>
                <w:szCs w:val="12"/>
                <w:b w:val="1"/>
                <w:bCs w:val="1"/>
                <w:color w:val="auto"/>
                <w:w w:val="95"/>
              </w:rPr>
              <w:t>(1)</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Costs, Net</w:t>
            </w:r>
          </w:p>
        </w:tc>
        <w:tc>
          <w:tcPr>
            <w:tcW w:w="1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840" w:type="dxa"/>
            <w:vAlign w:val="bottom"/>
          </w:tcPr>
          <w:p>
            <w:pPr>
              <w:jc w:val="center"/>
              <w:ind w:right="94"/>
              <w:spacing w:after="0"/>
              <w:rPr>
                <w:sz w:val="20"/>
                <w:szCs w:val="20"/>
                <w:color w:val="auto"/>
              </w:rPr>
            </w:pPr>
            <w:r>
              <w:rPr>
                <w:rFonts w:ascii="Arial" w:cs="Arial" w:eastAsia="Arial" w:hAnsi="Arial"/>
                <w:sz w:val="12"/>
                <w:szCs w:val="12"/>
                <w:b w:val="1"/>
                <w:bCs w:val="1"/>
                <w:color w:val="auto"/>
              </w:rPr>
              <w:t>Share)</w:t>
            </w:r>
          </w:p>
        </w:tc>
        <w:tc>
          <w:tcPr>
            <w:tcW w:w="8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Consolidated Joint Ventures</w:t>
            </w:r>
          </w:p>
        </w:tc>
        <w:tc>
          <w:tcPr>
            <w:tcW w:w="840" w:type="dxa"/>
            <w:vAlign w:val="bottom"/>
            <w:tcBorders>
              <w:bottom w:val="single" w:sz="8" w:color="CCEEFF"/>
            </w:tcBorders>
            <w:gridSpan w:val="2"/>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80" w:type="dxa"/>
            <w:vAlign w:val="bottom"/>
            <w:gridSpan w:val="4"/>
          </w:tcPr>
          <w:p>
            <w:pPr>
              <w:ind w:left="20"/>
              <w:spacing w:after="0" w:line="151" w:lineRule="exact"/>
              <w:rPr>
                <w:sz w:val="20"/>
                <w:szCs w:val="20"/>
                <w:color w:val="auto"/>
              </w:rPr>
            </w:pPr>
            <w:r>
              <w:rPr>
                <w:rFonts w:ascii="Arial" w:cs="Arial" w:eastAsia="Arial" w:hAnsi="Arial"/>
                <w:sz w:val="14"/>
                <w:szCs w:val="14"/>
                <w:color w:val="auto"/>
              </w:rPr>
              <w:t>767 Fifth Avenue (the General Motors</w:t>
            </w:r>
          </w:p>
        </w:tc>
        <w:tc>
          <w:tcPr>
            <w:tcW w:w="1000" w:type="dxa"/>
            <w:vAlign w:val="bottom"/>
            <w:vMerge w:val="restart"/>
          </w:tcPr>
          <w:p>
            <w:pPr>
              <w:jc w:val="right"/>
              <w:ind w:right="34"/>
              <w:spacing w:after="0"/>
              <w:rPr>
                <w:sz w:val="20"/>
                <w:szCs w:val="20"/>
                <w:color w:val="auto"/>
              </w:rPr>
            </w:pPr>
            <w:r>
              <w:rPr>
                <w:rFonts w:ascii="Arial" w:cs="Arial" w:eastAsia="Arial" w:hAnsi="Arial"/>
                <w:sz w:val="14"/>
                <w:szCs w:val="14"/>
                <w:color w:val="auto"/>
              </w:rPr>
              <w:t>3.43 %</w:t>
            </w:r>
          </w:p>
        </w:tc>
        <w:tc>
          <w:tcPr>
            <w:tcW w:w="1060" w:type="dxa"/>
            <w:vAlign w:val="bottom"/>
            <w:vMerge w:val="restart"/>
          </w:tcPr>
          <w:p>
            <w:pPr>
              <w:jc w:val="right"/>
              <w:ind w:right="74"/>
              <w:spacing w:after="0"/>
              <w:rPr>
                <w:sz w:val="20"/>
                <w:szCs w:val="20"/>
                <w:color w:val="auto"/>
              </w:rPr>
            </w:pPr>
            <w:r>
              <w:rPr>
                <w:rFonts w:ascii="Arial" w:cs="Arial" w:eastAsia="Arial" w:hAnsi="Arial"/>
                <w:sz w:val="14"/>
                <w:szCs w:val="14"/>
                <w:color w:val="auto"/>
              </w:rPr>
              <w:t>3.64 %</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2,300,000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(20,731)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2,279,269</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14"/>
              <w:spacing w:after="0"/>
              <w:rPr>
                <w:sz w:val="20"/>
                <w:szCs w:val="20"/>
                <w:color w:val="auto"/>
              </w:rPr>
            </w:pPr>
            <w:r>
              <w:rPr>
                <w:rFonts w:ascii="Arial" w:cs="Arial" w:eastAsia="Arial" w:hAnsi="Arial"/>
                <w:sz w:val="14"/>
                <w:szCs w:val="14"/>
                <w:color w:val="auto"/>
              </w:rPr>
              <w:t>911,781</w:t>
            </w:r>
          </w:p>
        </w:tc>
        <w:tc>
          <w:tcPr>
            <w:tcW w:w="840" w:type="dxa"/>
            <w:vAlign w:val="bottom"/>
            <w:vMerge w:val="restart"/>
          </w:tcPr>
          <w:p>
            <w:pPr>
              <w:ind w:left="140"/>
              <w:spacing w:after="0"/>
              <w:rPr>
                <w:sz w:val="20"/>
                <w:szCs w:val="20"/>
                <w:color w:val="auto"/>
              </w:rPr>
            </w:pPr>
            <w:r>
              <w:rPr>
                <w:rFonts w:ascii="Arial" w:cs="Arial" w:eastAsia="Arial" w:hAnsi="Arial"/>
                <w:sz w:val="14"/>
                <w:szCs w:val="14"/>
                <w:color w:val="auto"/>
              </w:rPr>
              <w:t>(2)(3)(4)</w:t>
            </w:r>
          </w:p>
        </w:tc>
        <w:tc>
          <w:tcPr>
            <w:tcW w:w="1320" w:type="dxa"/>
            <w:vAlign w:val="bottom"/>
            <w:vMerge w:val="restart"/>
          </w:tcPr>
          <w:p>
            <w:pPr>
              <w:ind w:left="160"/>
              <w:spacing w:after="0"/>
              <w:rPr>
                <w:sz w:val="20"/>
                <w:szCs w:val="20"/>
                <w:color w:val="auto"/>
              </w:rPr>
            </w:pPr>
            <w:r>
              <w:rPr>
                <w:rFonts w:ascii="Arial" w:cs="Arial" w:eastAsia="Arial" w:hAnsi="Arial"/>
                <w:sz w:val="14"/>
                <w:szCs w:val="14"/>
                <w:color w:val="auto"/>
              </w:rPr>
              <w:t>June 9, 2027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60" w:type="dxa"/>
            <w:vAlign w:val="bottom"/>
            <w:gridSpan w:val="3"/>
          </w:tcPr>
          <w:p>
            <w:pPr>
              <w:ind w:left="160"/>
              <w:spacing w:after="0"/>
              <w:rPr>
                <w:sz w:val="20"/>
                <w:szCs w:val="20"/>
                <w:color w:val="auto"/>
              </w:rPr>
            </w:pPr>
            <w:r>
              <w:rPr>
                <w:rFonts w:ascii="Arial" w:cs="Arial" w:eastAsia="Arial" w:hAnsi="Arial"/>
                <w:sz w:val="14"/>
                <w:szCs w:val="14"/>
                <w:color w:val="auto"/>
              </w:rPr>
              <w:t>Building)</w:t>
            </w:r>
          </w:p>
        </w:tc>
        <w:tc>
          <w:tcPr>
            <w:tcW w:w="10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601 Lexington Avenue</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4.75 %</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4.79 %</w:t>
            </w: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622,691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622,440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280,098</w:t>
            </w:r>
          </w:p>
        </w:tc>
        <w:tc>
          <w:tcPr>
            <w:tcW w:w="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(5)</w:t>
            </w:r>
          </w:p>
        </w:tc>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April 10, 2022</w:t>
            </w:r>
          </w:p>
        </w:tc>
        <w:tc>
          <w:tcPr>
            <w:tcW w:w="0" w:type="dxa"/>
            <w:vAlign w:val="bottom"/>
          </w:tcPr>
          <w:p>
            <w:pPr>
              <w:spacing w:after="0"/>
              <w:rPr>
                <w:sz w:val="1"/>
                <w:szCs w:val="1"/>
                <w:color w:val="auto"/>
              </w:rPr>
            </w:pPr>
          </w:p>
        </w:tc>
      </w:tr>
      <w:tr>
        <w:trPr>
          <w:trHeight w:val="179"/>
        </w:trPr>
        <w:tc>
          <w:tcPr>
            <w:tcW w:w="2780" w:type="dxa"/>
            <w:vAlign w:val="bottom"/>
            <w:gridSpan w:val="4"/>
          </w:tcPr>
          <w:p>
            <w:pPr>
              <w:ind w:left="20"/>
              <w:spacing w:after="0"/>
              <w:rPr>
                <w:sz w:val="20"/>
                <w:szCs w:val="20"/>
                <w:color w:val="auto"/>
              </w:rPr>
            </w:pPr>
            <w:r>
              <w:rPr>
                <w:rFonts w:ascii="Arial" w:cs="Arial" w:eastAsia="Arial" w:hAnsi="Arial"/>
                <w:sz w:val="14"/>
                <w:szCs w:val="14"/>
                <w:color w:val="auto"/>
              </w:rPr>
              <w:t>Total</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2,922,691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(20,982)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2,901,709</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1,191,879</w:t>
            </w: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640" w:right="680" w:hanging="315"/>
        <w:spacing w:after="0" w:line="242" w:lineRule="auto"/>
        <w:tabs>
          <w:tab w:leader="none" w:pos="6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GAAP interest rate differs from the stated interest rate due to the inclusion of the amortization of financing charges and the effects of hedging transactions (if any).</w:t>
      </w:r>
    </w:p>
    <w:p>
      <w:pPr>
        <w:spacing w:after="0" w:line="1" w:lineRule="exact"/>
        <w:rPr>
          <w:rFonts w:ascii="Arial" w:cs="Arial" w:eastAsia="Arial" w:hAnsi="Arial"/>
          <w:sz w:val="16"/>
          <w:szCs w:val="16"/>
          <w:color w:val="auto"/>
        </w:rPr>
      </w:pPr>
    </w:p>
    <w:p>
      <w:pPr>
        <w:ind w:left="640" w:hanging="315"/>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mortgage loan requires interest only payments with a balloon payment due at maturity.</w:t>
      </w:r>
    </w:p>
    <w:p>
      <w:pPr>
        <w:spacing w:after="0" w:line="2" w:lineRule="exact"/>
        <w:rPr>
          <w:rFonts w:ascii="Arial" w:cs="Arial" w:eastAsia="Arial" w:hAnsi="Arial"/>
          <w:sz w:val="16"/>
          <w:szCs w:val="16"/>
          <w:color w:val="auto"/>
        </w:rPr>
      </w:pPr>
    </w:p>
    <w:p>
      <w:pPr>
        <w:ind w:left="640" w:right="280" w:hanging="315"/>
        <w:spacing w:after="0" w:line="242" w:lineRule="auto"/>
        <w:tabs>
          <w:tab w:leader="none" w:pos="6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60% interest. The partners’ share of the carrying amount has been adjusted for basis differentials.</w:t>
      </w:r>
    </w:p>
    <w:p>
      <w:pPr>
        <w:spacing w:after="0" w:line="1" w:lineRule="exact"/>
        <w:rPr>
          <w:rFonts w:ascii="Arial" w:cs="Arial" w:eastAsia="Arial" w:hAnsi="Arial"/>
          <w:sz w:val="16"/>
          <w:szCs w:val="16"/>
          <w:color w:val="auto"/>
        </w:rPr>
      </w:pPr>
    </w:p>
    <w:p>
      <w:pPr>
        <w:ind w:left="640" w:right="220" w:hanging="315"/>
        <w:spacing w:after="0" w:line="242" w:lineRule="auto"/>
        <w:tabs>
          <w:tab w:leader="none" w:pos="6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connection with the refinancing of the loan, we guaranteed the consolidated entity’s obligation to fund various reserves for tenant improvement costs and allowances, leasing commissions and free rent obligations in lieu of cash deposits. As of June 30, 2021, the maximum funding obligation under the guarantee was approximately $21.5 million. We earn a fee from the joint venture for providing the guarantee and have an agreement with our partners to reimburse the joint venture for their share of any payments made under the guarantee (See Note 9 to the Consolidated Financial Statements).</w:t>
      </w:r>
    </w:p>
    <w:p>
      <w:pPr>
        <w:spacing w:after="0" w:line="3" w:lineRule="exact"/>
        <w:rPr>
          <w:rFonts w:ascii="Arial" w:cs="Arial" w:eastAsia="Arial" w:hAnsi="Arial"/>
          <w:sz w:val="16"/>
          <w:szCs w:val="16"/>
          <w:color w:val="auto"/>
        </w:rPr>
      </w:pPr>
    </w:p>
    <w:p>
      <w:pPr>
        <w:ind w:left="640" w:hanging="315"/>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55% interest.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Off-Balance Sheet Arrangements—Joint Venture Indebtedness</w:t>
      </w:r>
    </w:p>
    <w:p>
      <w:pPr>
        <w:spacing w:after="0" w:line="108" w:lineRule="exact"/>
        <w:rPr>
          <w:sz w:val="20"/>
          <w:szCs w:val="20"/>
          <w:color w:val="auto"/>
        </w:rPr>
      </w:pPr>
    </w:p>
    <w:p>
      <w:pPr>
        <w:ind w:right="120" w:firstLine="439"/>
        <w:spacing w:after="0" w:line="261" w:lineRule="auto"/>
        <w:rPr>
          <w:sz w:val="20"/>
          <w:szCs w:val="20"/>
          <w:color w:val="auto"/>
        </w:rPr>
      </w:pPr>
      <w:r>
        <w:rPr>
          <w:rFonts w:ascii="Arial" w:cs="Arial" w:eastAsia="Arial" w:hAnsi="Arial"/>
          <w:sz w:val="17"/>
          <w:szCs w:val="17"/>
          <w:color w:val="auto"/>
        </w:rPr>
        <w:t>We have investments in unconsolidated joint ventures with our effective ownership interests ranging from 20% to 60%. Thirteen of these ventures have mortgage indebtedness. We exercise significant influence over, but do not control, these entities. As a result, we account for them using the equity method of accounting. See also Note 5 to the Consolidated Financial Statements. At June 30, 2021, the aggregate carrying amount of debt, including both our and our partners’ share, incurred by these ventures was approximately $2.7 billion (of which our proportionate share is approximately $1.2 billion). The table below summarizes the outstanding debt of these joint venture properties at</w:t>
      </w:r>
    </w:p>
    <w:p>
      <w:pPr>
        <w:spacing w:after="0" w:line="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June 30, 2021.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right"/>
              <w:ind w:right="250"/>
              <w:spacing w:after="0"/>
              <w:rPr>
                <w:sz w:val="20"/>
                <w:szCs w:val="20"/>
                <w:color w:val="auto"/>
              </w:rPr>
            </w:pPr>
            <w:r>
              <w:rPr>
                <w:rFonts w:ascii="Arial" w:cs="Arial" w:eastAsia="Arial" w:hAnsi="Arial"/>
                <w:sz w:val="13"/>
                <w:szCs w:val="13"/>
                <w:b w:val="1"/>
                <w:bCs w:val="1"/>
                <w:color w:val="auto"/>
              </w:rPr>
              <w:t>Nominal %</w:t>
            </w:r>
          </w:p>
        </w:tc>
        <w:tc>
          <w:tcPr>
            <w:tcW w:w="860" w:type="dxa"/>
            <w:vAlign w:val="bottom"/>
          </w:tcPr>
          <w:p>
            <w:pPr>
              <w:jc w:val="center"/>
              <w:ind w:right="10"/>
              <w:spacing w:after="0"/>
              <w:rPr>
                <w:sz w:val="20"/>
                <w:szCs w:val="20"/>
                <w:color w:val="auto"/>
              </w:rPr>
            </w:pPr>
            <w:r>
              <w:rPr>
                <w:rFonts w:ascii="Arial" w:cs="Arial" w:eastAsia="Arial" w:hAnsi="Arial"/>
                <w:sz w:val="13"/>
                <w:szCs w:val="13"/>
                <w:b w:val="1"/>
                <w:bCs w:val="1"/>
                <w:color w:val="auto"/>
              </w:rPr>
              <w:t>Stated</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GAAP</w:t>
            </w:r>
          </w:p>
        </w:tc>
        <w:tc>
          <w:tcPr>
            <w:tcW w:w="160" w:type="dxa"/>
            <w:vAlign w:val="bottom"/>
          </w:tcPr>
          <w:p>
            <w:pPr>
              <w:spacing w:after="0"/>
              <w:rPr>
                <w:sz w:val="13"/>
                <w:szCs w:val="13"/>
                <w:color w:val="auto"/>
              </w:rPr>
            </w:pPr>
          </w:p>
        </w:tc>
        <w:tc>
          <w:tcPr>
            <w:tcW w:w="840" w:type="dxa"/>
            <w:vAlign w:val="bottom"/>
          </w:tcPr>
          <w:p>
            <w:pPr>
              <w:jc w:val="center"/>
              <w:ind w:right="90"/>
              <w:spacing w:after="0"/>
              <w:rPr>
                <w:sz w:val="20"/>
                <w:szCs w:val="20"/>
                <w:color w:val="auto"/>
              </w:rPr>
            </w:pPr>
            <w:r>
              <w:rPr>
                <w:rFonts w:ascii="Arial" w:cs="Arial" w:eastAsia="Arial" w:hAnsi="Arial"/>
                <w:sz w:val="13"/>
                <w:szCs w:val="13"/>
                <w:b w:val="1"/>
                <w:bCs w:val="1"/>
                <w:color w:val="auto"/>
              </w:rPr>
              <w:t>Stated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Deferred</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3"/>
                <w:szCs w:val="13"/>
                <w:color w:val="auto"/>
              </w:rPr>
            </w:pPr>
          </w:p>
        </w:tc>
        <w:tc>
          <w:tcPr>
            <w:tcW w:w="820" w:type="dxa"/>
            <w:vAlign w:val="bottom"/>
          </w:tcPr>
          <w:p>
            <w:pPr>
              <w:jc w:val="center"/>
              <w:ind w:right="90"/>
              <w:spacing w:after="0"/>
              <w:rPr>
                <w:sz w:val="20"/>
                <w:szCs w:val="20"/>
                <w:color w:val="auto"/>
              </w:rPr>
            </w:pPr>
            <w:r>
              <w:rPr>
                <w:rFonts w:ascii="Arial" w:cs="Arial" w:eastAsia="Arial" w:hAnsi="Arial"/>
                <w:sz w:val="13"/>
                <w:szCs w:val="13"/>
                <w:b w:val="1"/>
                <w:bCs w:val="1"/>
                <w:color w:val="auto"/>
              </w:rPr>
              <w:t>Carrying</w:t>
            </w: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2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Properties</w:t>
            </w:r>
          </w:p>
        </w:tc>
        <w:tc>
          <w:tcPr>
            <w:tcW w:w="1180" w:type="dxa"/>
            <w:vAlign w:val="bottom"/>
            <w:vMerge w:val="continue"/>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Interest</w:t>
            </w:r>
          </w:p>
        </w:tc>
        <w:tc>
          <w:tcPr>
            <w:tcW w:w="10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Interest Rate</w:t>
            </w:r>
          </w:p>
        </w:tc>
        <w:tc>
          <w:tcPr>
            <w:tcW w:w="160" w:type="dxa"/>
            <w:vAlign w:val="bottom"/>
          </w:tcPr>
          <w:p>
            <w:pPr>
              <w:spacing w:after="0"/>
              <w:rPr>
                <w:sz w:val="11"/>
                <w:szCs w:val="11"/>
                <w:color w:val="auto"/>
              </w:rPr>
            </w:pPr>
          </w:p>
        </w:tc>
        <w:tc>
          <w:tcPr>
            <w:tcW w:w="840" w:type="dxa"/>
            <w:vAlign w:val="bottom"/>
          </w:tcPr>
          <w:p>
            <w:pPr>
              <w:jc w:val="center"/>
              <w:ind w:right="90"/>
              <w:spacing w:after="0" w:line="133" w:lineRule="exact"/>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rPr>
              <w:t>Financing</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80" w:type="dxa"/>
            <w:vAlign w:val="bottom"/>
            <w:gridSpan w:val="2"/>
          </w:tcPr>
          <w:p>
            <w:pPr>
              <w:jc w:val="center"/>
              <w:spacing w:after="0" w:line="133" w:lineRule="exact"/>
              <w:rPr>
                <w:sz w:val="20"/>
                <w:szCs w:val="20"/>
                <w:color w:val="auto"/>
              </w:rPr>
            </w:pPr>
            <w:r>
              <w:rPr>
                <w:rFonts w:ascii="Arial" w:cs="Arial" w:eastAsia="Arial" w:hAnsi="Arial"/>
                <w:sz w:val="13"/>
                <w:szCs w:val="13"/>
                <w:b w:val="1"/>
                <w:bCs w:val="1"/>
                <w:color w:val="auto"/>
              </w:rPr>
              <w:t>Amount (Our</w:t>
            </w:r>
          </w:p>
        </w:tc>
        <w:tc>
          <w:tcPr>
            <w:tcW w:w="700" w:type="dxa"/>
            <w:vAlign w:val="bottom"/>
          </w:tcPr>
          <w:p>
            <w:pPr>
              <w:spacing w:after="0"/>
              <w:rPr>
                <w:sz w:val="11"/>
                <w:szCs w:val="11"/>
                <w:color w:val="auto"/>
              </w:rPr>
            </w:pPr>
          </w:p>
        </w:tc>
        <w:tc>
          <w:tcPr>
            <w:tcW w:w="168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81"/>
        </w:trPr>
        <w:tc>
          <w:tcPr>
            <w:tcW w:w="1520" w:type="dxa"/>
            <w:vAlign w:val="bottom"/>
            <w:gridSpan w:val="2"/>
            <w:vMerge w:val="continue"/>
          </w:tcPr>
          <w:p>
            <w:pPr>
              <w:spacing w:after="0"/>
              <w:rPr>
                <w:sz w:val="15"/>
                <w:szCs w:val="15"/>
                <w:color w:val="auto"/>
              </w:rPr>
            </w:pPr>
          </w:p>
        </w:tc>
        <w:tc>
          <w:tcPr>
            <w:tcW w:w="1180" w:type="dxa"/>
            <w:vAlign w:val="bottom"/>
          </w:tcPr>
          <w:p>
            <w:pPr>
              <w:jc w:val="right"/>
              <w:ind w:right="230"/>
              <w:spacing w:after="0"/>
              <w:rPr>
                <w:sz w:val="20"/>
                <w:szCs w:val="20"/>
                <w:color w:val="auto"/>
              </w:rPr>
            </w:pPr>
            <w:r>
              <w:rPr>
                <w:rFonts w:ascii="Arial" w:cs="Arial" w:eastAsia="Arial" w:hAnsi="Arial"/>
                <w:sz w:val="13"/>
                <w:szCs w:val="13"/>
                <w:b w:val="1"/>
                <w:bCs w:val="1"/>
                <w:color w:val="auto"/>
              </w:rPr>
              <w:t>Ownership</w:t>
            </w:r>
          </w:p>
        </w:tc>
        <w:tc>
          <w:tcPr>
            <w:tcW w:w="860" w:type="dxa"/>
            <w:vAlign w:val="bottom"/>
          </w:tcPr>
          <w:p>
            <w:pPr>
              <w:jc w:val="center"/>
              <w:ind w:right="10"/>
              <w:spacing w:after="0"/>
              <w:rPr>
                <w:sz w:val="20"/>
                <w:szCs w:val="20"/>
                <w:color w:val="auto"/>
              </w:rPr>
            </w:pPr>
            <w:r>
              <w:rPr>
                <w:rFonts w:ascii="Arial" w:cs="Arial" w:eastAsia="Arial" w:hAnsi="Arial"/>
                <w:sz w:val="13"/>
                <w:szCs w:val="13"/>
                <w:b w:val="1"/>
                <w:bCs w:val="1"/>
                <w:color w:val="auto"/>
              </w:rPr>
              <w:t>Rate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5"/>
                <w:szCs w:val="15"/>
                <w:color w:val="auto"/>
              </w:rPr>
            </w:pPr>
          </w:p>
        </w:tc>
        <w:tc>
          <w:tcPr>
            <w:tcW w:w="840" w:type="dxa"/>
            <w:vAlign w:val="bottom"/>
          </w:tcPr>
          <w:p>
            <w:pPr>
              <w:jc w:val="center"/>
              <w:ind w:right="11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Costs, Net</w:t>
            </w: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820" w:type="dxa"/>
            <w:vAlign w:val="bottom"/>
          </w:tcPr>
          <w:p>
            <w:pPr>
              <w:jc w:val="center"/>
              <w:ind w:right="70"/>
              <w:spacing w:after="0"/>
              <w:rPr>
                <w:sz w:val="20"/>
                <w:szCs w:val="20"/>
                <w:color w:val="auto"/>
              </w:rPr>
            </w:pPr>
            <w:r>
              <w:rPr>
                <w:rFonts w:ascii="Arial" w:cs="Arial" w:eastAsia="Arial" w:hAnsi="Arial"/>
                <w:sz w:val="13"/>
                <w:szCs w:val="13"/>
                <w:b w:val="1"/>
                <w:bCs w:val="1"/>
                <w:color w:val="auto"/>
              </w:rPr>
              <w:t>share)</w:t>
            </w:r>
          </w:p>
        </w:tc>
        <w:tc>
          <w:tcPr>
            <w:tcW w:w="7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5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Santa Monica</w:t>
            </w:r>
          </w:p>
        </w:tc>
        <w:tc>
          <w:tcPr>
            <w:tcW w:w="11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55 %</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4.06 %</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4.24 %</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297,867</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163,827</w:t>
            </w:r>
          </w:p>
        </w:tc>
        <w:tc>
          <w:tcPr>
            <w:tcW w:w="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(2)(3)</w:t>
            </w:r>
          </w:p>
        </w:tc>
        <w:tc>
          <w:tcPr>
            <w:tcW w:w="16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July 19, 2025</w:t>
            </w:r>
          </w:p>
        </w:tc>
        <w:tc>
          <w:tcPr>
            <w:tcW w:w="0" w:type="dxa"/>
            <w:vAlign w:val="bottom"/>
          </w:tcPr>
          <w:p>
            <w:pPr>
              <w:spacing w:after="0"/>
              <w:rPr>
                <w:sz w:val="1"/>
                <w:szCs w:val="1"/>
                <w:color w:val="auto"/>
              </w:rPr>
            </w:pPr>
          </w:p>
        </w:tc>
      </w:tr>
      <w:tr>
        <w:trPr>
          <w:trHeight w:val="168"/>
        </w:trPr>
        <w:tc>
          <w:tcPr>
            <w:tcW w:w="1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Business Park</w:t>
            </w:r>
          </w:p>
        </w:tc>
        <w:tc>
          <w:tcPr>
            <w:tcW w:w="11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Market Square North</w:t>
            </w:r>
          </w:p>
        </w:tc>
        <w:tc>
          <w:tcPr>
            <w:tcW w:w="1180" w:type="dxa"/>
            <w:vAlign w:val="bottom"/>
          </w:tcPr>
          <w:p>
            <w:pPr>
              <w:jc w:val="right"/>
              <w:ind w:right="70"/>
              <w:spacing w:after="0"/>
              <w:rPr>
                <w:sz w:val="20"/>
                <w:szCs w:val="20"/>
                <w:color w:val="auto"/>
              </w:rPr>
            </w:pPr>
            <w:r>
              <w:rPr>
                <w:rFonts w:ascii="Arial" w:cs="Arial" w:eastAsia="Arial" w:hAnsi="Arial"/>
                <w:sz w:val="14"/>
                <w:szCs w:val="14"/>
                <w:color w:val="auto"/>
              </w:rPr>
              <w:t>50 %</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2.80 %</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2.96 %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124,101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62,050</w:t>
            </w:r>
          </w:p>
        </w:tc>
        <w:tc>
          <w:tcPr>
            <w:tcW w:w="700" w:type="dxa"/>
            <w:vAlign w:val="bottom"/>
          </w:tcPr>
          <w:p>
            <w:pPr>
              <w:ind w:left="140"/>
              <w:spacing w:after="0"/>
              <w:rPr>
                <w:sz w:val="20"/>
                <w:szCs w:val="20"/>
                <w:color w:val="auto"/>
              </w:rPr>
            </w:pPr>
            <w:r>
              <w:rPr>
                <w:rFonts w:ascii="Arial" w:cs="Arial" w:eastAsia="Arial" w:hAnsi="Arial"/>
                <w:sz w:val="14"/>
                <w:szCs w:val="14"/>
                <w:color w:val="auto"/>
              </w:rPr>
              <w:t>(2)(4)</w:t>
            </w:r>
          </w:p>
        </w:tc>
        <w:tc>
          <w:tcPr>
            <w:tcW w:w="1680" w:type="dxa"/>
            <w:vAlign w:val="bottom"/>
          </w:tcPr>
          <w:p>
            <w:pPr>
              <w:ind w:left="140"/>
              <w:spacing w:after="0"/>
              <w:rPr>
                <w:sz w:val="20"/>
                <w:szCs w:val="20"/>
                <w:color w:val="auto"/>
              </w:rPr>
            </w:pPr>
            <w:r>
              <w:rPr>
                <w:rFonts w:ascii="Arial" w:cs="Arial" w:eastAsia="Arial" w:hAnsi="Arial"/>
                <w:sz w:val="14"/>
                <w:szCs w:val="14"/>
                <w:color w:val="auto"/>
              </w:rPr>
              <w:t>November 10, 2025</w:t>
            </w:r>
          </w:p>
        </w:tc>
        <w:tc>
          <w:tcPr>
            <w:tcW w:w="0" w:type="dxa"/>
            <w:vAlign w:val="bottom"/>
          </w:tcPr>
          <w:p>
            <w:pPr>
              <w:spacing w:after="0"/>
              <w:rPr>
                <w:sz w:val="1"/>
                <w:szCs w:val="1"/>
                <w:color w:val="auto"/>
              </w:rPr>
            </w:pPr>
          </w:p>
        </w:tc>
      </w:tr>
      <w:tr>
        <w:trPr>
          <w:trHeight w:val="18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1265 Main Street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50 %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3.77 %</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3.84 %</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36,617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18,309</w:t>
            </w:r>
          </w:p>
        </w:tc>
        <w:tc>
          <w:tcPr>
            <w:tcW w:w="700" w:type="dxa"/>
            <w:vAlign w:val="bottom"/>
            <w:shd w:val="clear" w:color="auto" w:fill="CCEEFF"/>
          </w:tcPr>
          <w:p>
            <w:pPr>
              <w:spacing w:after="0"/>
              <w:rPr>
                <w:sz w:val="16"/>
                <w:szCs w:val="16"/>
                <w:color w:val="auto"/>
              </w:rPr>
            </w:pPr>
          </w:p>
        </w:tc>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1, 2032</w:t>
            </w:r>
          </w:p>
        </w:tc>
        <w:tc>
          <w:tcPr>
            <w:tcW w:w="0" w:type="dxa"/>
            <w:vAlign w:val="bottom"/>
          </w:tcPr>
          <w:p>
            <w:pPr>
              <w:spacing w:after="0"/>
              <w:rPr>
                <w:sz w:val="1"/>
                <w:szCs w:val="1"/>
                <w:color w:val="auto"/>
              </w:rPr>
            </w:pPr>
          </w:p>
        </w:tc>
      </w:tr>
      <w:tr>
        <w:trPr>
          <w:trHeight w:val="186"/>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Colorado Center</w:t>
            </w:r>
          </w:p>
        </w:tc>
        <w:tc>
          <w:tcPr>
            <w:tcW w:w="1180" w:type="dxa"/>
            <w:vAlign w:val="bottom"/>
          </w:tcPr>
          <w:p>
            <w:pPr>
              <w:jc w:val="right"/>
              <w:ind w:right="70"/>
              <w:spacing w:after="0"/>
              <w:rPr>
                <w:sz w:val="20"/>
                <w:szCs w:val="20"/>
                <w:color w:val="auto"/>
              </w:rPr>
            </w:pPr>
            <w:r>
              <w:rPr>
                <w:rFonts w:ascii="Arial" w:cs="Arial" w:eastAsia="Arial" w:hAnsi="Arial"/>
                <w:sz w:val="14"/>
                <w:szCs w:val="14"/>
                <w:color w:val="auto"/>
              </w:rPr>
              <w:t>50 %</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3.56 %</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3.58 %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549,372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274,686</w:t>
            </w:r>
          </w:p>
        </w:tc>
        <w:tc>
          <w:tcPr>
            <w:tcW w:w="700" w:type="dxa"/>
            <w:vAlign w:val="bottom"/>
          </w:tcPr>
          <w:p>
            <w:pPr>
              <w:ind w:left="140"/>
              <w:spacing w:after="0"/>
              <w:rPr>
                <w:sz w:val="20"/>
                <w:szCs w:val="20"/>
                <w:color w:val="auto"/>
              </w:rPr>
            </w:pPr>
            <w:r>
              <w:rPr>
                <w:rFonts w:ascii="Arial" w:cs="Arial" w:eastAsia="Arial" w:hAnsi="Arial"/>
                <w:sz w:val="14"/>
                <w:szCs w:val="14"/>
                <w:color w:val="auto"/>
              </w:rPr>
              <w:t>(2)</w:t>
            </w:r>
          </w:p>
        </w:tc>
        <w:tc>
          <w:tcPr>
            <w:tcW w:w="1680" w:type="dxa"/>
            <w:vAlign w:val="bottom"/>
          </w:tcPr>
          <w:p>
            <w:pPr>
              <w:ind w:left="140"/>
              <w:spacing w:after="0"/>
              <w:rPr>
                <w:sz w:val="20"/>
                <w:szCs w:val="20"/>
                <w:color w:val="auto"/>
              </w:rPr>
            </w:pPr>
            <w:r>
              <w:rPr>
                <w:rFonts w:ascii="Arial" w:cs="Arial" w:eastAsia="Arial" w:hAnsi="Arial"/>
                <w:sz w:val="14"/>
                <w:szCs w:val="14"/>
                <w:color w:val="auto"/>
              </w:rPr>
              <w:t>August 9, 2027</w:t>
            </w:r>
          </w:p>
        </w:tc>
        <w:tc>
          <w:tcPr>
            <w:tcW w:w="0" w:type="dxa"/>
            <w:vAlign w:val="bottom"/>
          </w:tcPr>
          <w:p>
            <w:pPr>
              <w:spacing w:after="0"/>
              <w:rPr>
                <w:sz w:val="1"/>
                <w:szCs w:val="1"/>
                <w:color w:val="auto"/>
              </w:rPr>
            </w:pPr>
          </w:p>
        </w:tc>
      </w:tr>
      <w:tr>
        <w:trPr>
          <w:trHeight w:val="18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Dock 72</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50 %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3.10 %</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3.32 %</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195,084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97,542</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(2)(5)</w:t>
            </w:r>
          </w:p>
        </w:tc>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18, 2023</w:t>
            </w:r>
          </w:p>
        </w:tc>
        <w:tc>
          <w:tcPr>
            <w:tcW w:w="0" w:type="dxa"/>
            <w:vAlign w:val="bottom"/>
          </w:tcPr>
          <w:p>
            <w:pPr>
              <w:spacing w:after="0"/>
              <w:rPr>
                <w:sz w:val="1"/>
                <w:szCs w:val="1"/>
                <w:color w:val="auto"/>
              </w:rPr>
            </w:pPr>
          </w:p>
        </w:tc>
      </w:tr>
      <w:tr>
        <w:trPr>
          <w:trHeight w:val="151"/>
        </w:trPr>
        <w:tc>
          <w:tcPr>
            <w:tcW w:w="15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The Hub on</w:t>
            </w:r>
          </w:p>
        </w:tc>
        <w:tc>
          <w:tcPr>
            <w:tcW w:w="1180" w:type="dxa"/>
            <w:vAlign w:val="bottom"/>
            <w:vMerge w:val="restart"/>
          </w:tcPr>
          <w:p>
            <w:pPr>
              <w:jc w:val="right"/>
              <w:ind w:right="70"/>
              <w:spacing w:after="0"/>
              <w:rPr>
                <w:sz w:val="20"/>
                <w:szCs w:val="20"/>
                <w:color w:val="auto"/>
              </w:rPr>
            </w:pPr>
            <w:r>
              <w:rPr>
                <w:rFonts w:ascii="Arial" w:cs="Arial" w:eastAsia="Arial" w:hAnsi="Arial"/>
                <w:sz w:val="14"/>
                <w:szCs w:val="14"/>
                <w:color w:val="auto"/>
              </w:rPr>
              <w:t>50 %</w:t>
            </w:r>
          </w:p>
        </w:tc>
        <w:tc>
          <w:tcPr>
            <w:tcW w:w="860" w:type="dxa"/>
            <w:vAlign w:val="bottom"/>
            <w:vMerge w:val="restart"/>
          </w:tcPr>
          <w:p>
            <w:pPr>
              <w:jc w:val="right"/>
              <w:ind w:right="10"/>
              <w:spacing w:after="0"/>
              <w:rPr>
                <w:sz w:val="20"/>
                <w:szCs w:val="20"/>
                <w:color w:val="auto"/>
              </w:rPr>
            </w:pPr>
            <w:r>
              <w:rPr>
                <w:rFonts w:ascii="Arial" w:cs="Arial" w:eastAsia="Arial" w:hAnsi="Arial"/>
                <w:sz w:val="14"/>
                <w:szCs w:val="14"/>
                <w:color w:val="auto"/>
              </w:rPr>
              <w:t>2.35 %</w:t>
            </w: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2.84 %</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174,329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174,154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87,077</w:t>
            </w:r>
          </w:p>
        </w:tc>
        <w:tc>
          <w:tcPr>
            <w:tcW w:w="700" w:type="dxa"/>
            <w:vAlign w:val="bottom"/>
            <w:vMerge w:val="restart"/>
          </w:tcPr>
          <w:p>
            <w:pPr>
              <w:ind w:left="140"/>
              <w:spacing w:after="0"/>
              <w:rPr>
                <w:sz w:val="20"/>
                <w:szCs w:val="20"/>
                <w:color w:val="auto"/>
              </w:rPr>
            </w:pPr>
            <w:r>
              <w:rPr>
                <w:rFonts w:ascii="Arial" w:cs="Arial" w:eastAsia="Arial" w:hAnsi="Arial"/>
                <w:sz w:val="14"/>
                <w:szCs w:val="14"/>
                <w:color w:val="auto"/>
              </w:rPr>
              <w:t>(2)(6)</w:t>
            </w:r>
          </w:p>
        </w:tc>
        <w:tc>
          <w:tcPr>
            <w:tcW w:w="1680" w:type="dxa"/>
            <w:vAlign w:val="bottom"/>
            <w:vMerge w:val="restart"/>
          </w:tcPr>
          <w:p>
            <w:pPr>
              <w:ind w:left="140"/>
              <w:spacing w:after="0"/>
              <w:rPr>
                <w:sz w:val="20"/>
                <w:szCs w:val="20"/>
                <w:color w:val="auto"/>
              </w:rPr>
            </w:pPr>
            <w:r>
              <w:rPr>
                <w:rFonts w:ascii="Arial" w:cs="Arial" w:eastAsia="Arial" w:hAnsi="Arial"/>
                <w:sz w:val="14"/>
                <w:szCs w:val="14"/>
                <w:color w:val="auto"/>
              </w:rPr>
              <w:t>September 6, 2021</w:t>
            </w:r>
          </w:p>
        </w:tc>
        <w:tc>
          <w:tcPr>
            <w:tcW w:w="0" w:type="dxa"/>
            <w:vAlign w:val="bottom"/>
          </w:tcPr>
          <w:p>
            <w:pPr>
              <w:spacing w:after="0"/>
              <w:rPr>
                <w:sz w:val="1"/>
                <w:szCs w:val="1"/>
                <w:color w:val="auto"/>
              </w:rPr>
            </w:pPr>
          </w:p>
        </w:tc>
      </w:tr>
      <w:tr>
        <w:trPr>
          <w:trHeight w:val="168"/>
        </w:trPr>
        <w:tc>
          <w:tcPr>
            <w:tcW w:w="1520" w:type="dxa"/>
            <w:vAlign w:val="bottom"/>
            <w:gridSpan w:val="2"/>
          </w:tcPr>
          <w:p>
            <w:pPr>
              <w:ind w:left="100"/>
              <w:spacing w:after="0"/>
              <w:rPr>
                <w:sz w:val="20"/>
                <w:szCs w:val="20"/>
                <w:color w:val="auto"/>
              </w:rPr>
            </w:pPr>
            <w:r>
              <w:rPr>
                <w:rFonts w:ascii="Arial" w:cs="Arial" w:eastAsia="Arial" w:hAnsi="Arial"/>
                <w:sz w:val="14"/>
                <w:szCs w:val="14"/>
                <w:color w:val="auto"/>
              </w:rPr>
              <w:t>Causeway - Podium</w:t>
            </w:r>
          </w:p>
        </w:tc>
        <w:tc>
          <w:tcPr>
            <w:tcW w:w="11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Hub50House</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50 %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2.10 %</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2.39 %</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176,043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88,021</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(2)(7)</w:t>
            </w:r>
          </w:p>
        </w:tc>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April 19, 2022</w:t>
            </w:r>
          </w:p>
        </w:tc>
        <w:tc>
          <w:tcPr>
            <w:tcW w:w="0" w:type="dxa"/>
            <w:vAlign w:val="bottom"/>
          </w:tcPr>
          <w:p>
            <w:pPr>
              <w:spacing w:after="0"/>
              <w:rPr>
                <w:sz w:val="1"/>
                <w:szCs w:val="1"/>
                <w:color w:val="auto"/>
              </w:rPr>
            </w:pPr>
          </w:p>
        </w:tc>
      </w:tr>
      <w:tr>
        <w:trPr>
          <w:trHeight w:val="186"/>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100 Causeway Street</w:t>
            </w:r>
          </w:p>
        </w:tc>
        <w:tc>
          <w:tcPr>
            <w:tcW w:w="1180" w:type="dxa"/>
            <w:vAlign w:val="bottom"/>
          </w:tcPr>
          <w:p>
            <w:pPr>
              <w:jc w:val="right"/>
              <w:ind w:right="70"/>
              <w:spacing w:after="0"/>
              <w:rPr>
                <w:sz w:val="20"/>
                <w:szCs w:val="20"/>
                <w:color w:val="auto"/>
              </w:rPr>
            </w:pPr>
            <w:r>
              <w:rPr>
                <w:rFonts w:ascii="Arial" w:cs="Arial" w:eastAsia="Arial" w:hAnsi="Arial"/>
                <w:sz w:val="14"/>
                <w:szCs w:val="14"/>
                <w:color w:val="auto"/>
              </w:rPr>
              <w:t>50 %</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1.61 %</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1.82 %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275,788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273,952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136,976</w:t>
            </w:r>
          </w:p>
        </w:tc>
        <w:tc>
          <w:tcPr>
            <w:tcW w:w="700" w:type="dxa"/>
            <w:vAlign w:val="bottom"/>
          </w:tcPr>
          <w:p>
            <w:pPr>
              <w:ind w:left="140"/>
              <w:spacing w:after="0"/>
              <w:rPr>
                <w:sz w:val="20"/>
                <w:szCs w:val="20"/>
                <w:color w:val="auto"/>
              </w:rPr>
            </w:pPr>
            <w:r>
              <w:rPr>
                <w:rFonts w:ascii="Arial" w:cs="Arial" w:eastAsia="Arial" w:hAnsi="Arial"/>
                <w:sz w:val="14"/>
                <w:szCs w:val="14"/>
                <w:color w:val="auto"/>
              </w:rPr>
              <w:t>(2)(8)</w:t>
            </w:r>
          </w:p>
        </w:tc>
        <w:tc>
          <w:tcPr>
            <w:tcW w:w="1680" w:type="dxa"/>
            <w:vAlign w:val="bottom"/>
          </w:tcPr>
          <w:p>
            <w:pPr>
              <w:ind w:left="140"/>
              <w:spacing w:after="0"/>
              <w:rPr>
                <w:sz w:val="20"/>
                <w:szCs w:val="20"/>
                <w:color w:val="auto"/>
              </w:rPr>
            </w:pPr>
            <w:r>
              <w:rPr>
                <w:rFonts w:ascii="Arial" w:cs="Arial" w:eastAsia="Arial" w:hAnsi="Arial"/>
                <w:sz w:val="14"/>
                <w:szCs w:val="14"/>
                <w:color w:val="auto"/>
              </w:rPr>
              <w:t>September 5, 2023</w:t>
            </w:r>
          </w:p>
        </w:tc>
        <w:tc>
          <w:tcPr>
            <w:tcW w:w="0" w:type="dxa"/>
            <w:vAlign w:val="bottom"/>
          </w:tcPr>
          <w:p>
            <w:pPr>
              <w:spacing w:after="0"/>
              <w:rPr>
                <w:sz w:val="1"/>
                <w:szCs w:val="1"/>
                <w:color w:val="auto"/>
              </w:rPr>
            </w:pPr>
          </w:p>
        </w:tc>
      </w:tr>
      <w:tr>
        <w:trPr>
          <w:trHeight w:val="151"/>
        </w:trPr>
        <w:tc>
          <w:tcPr>
            <w:tcW w:w="15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7750 Wisconsin</w:t>
            </w:r>
          </w:p>
        </w:tc>
        <w:tc>
          <w:tcPr>
            <w:tcW w:w="1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2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4"/>
                <w:szCs w:val="14"/>
                <w:color w:val="auto"/>
              </w:rPr>
              <w:t>Avenue (Marriott</w:t>
            </w:r>
          </w:p>
        </w:tc>
        <w:tc>
          <w:tcPr>
            <w:tcW w:w="1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2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4"/>
                <w:szCs w:val="14"/>
                <w:color w:val="auto"/>
              </w:rPr>
              <w:t>International</w:t>
            </w:r>
          </w:p>
        </w:tc>
        <w:tc>
          <w:tcPr>
            <w:tcW w:w="11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50 %</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1.35 %</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1.89 %</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198,853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196,300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98,150</w:t>
            </w:r>
          </w:p>
        </w:tc>
        <w:tc>
          <w:tcPr>
            <w:tcW w:w="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(2)(9)</w:t>
            </w:r>
          </w:p>
        </w:tc>
        <w:tc>
          <w:tcPr>
            <w:tcW w:w="16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April 26, 2023</w:t>
            </w:r>
          </w:p>
        </w:tc>
        <w:tc>
          <w:tcPr>
            <w:tcW w:w="0" w:type="dxa"/>
            <w:vAlign w:val="bottom"/>
          </w:tcPr>
          <w:p>
            <w:pPr>
              <w:spacing w:after="0"/>
              <w:rPr>
                <w:sz w:val="1"/>
                <w:szCs w:val="1"/>
                <w:color w:val="auto"/>
              </w:rPr>
            </w:pPr>
          </w:p>
        </w:tc>
      </w:tr>
      <w:tr>
        <w:trPr>
          <w:trHeight w:val="168"/>
        </w:trPr>
        <w:tc>
          <w:tcPr>
            <w:tcW w:w="1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Headquarters)</w:t>
            </w:r>
          </w:p>
        </w:tc>
        <w:tc>
          <w:tcPr>
            <w:tcW w:w="11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500 North Capitol</w:t>
            </w:r>
          </w:p>
        </w:tc>
        <w:tc>
          <w:tcPr>
            <w:tcW w:w="1180" w:type="dxa"/>
            <w:vAlign w:val="bottom"/>
            <w:vMerge w:val="restart"/>
          </w:tcPr>
          <w:p>
            <w:pPr>
              <w:jc w:val="right"/>
              <w:ind w:right="70"/>
              <w:spacing w:after="0"/>
              <w:rPr>
                <w:sz w:val="20"/>
                <w:szCs w:val="20"/>
                <w:color w:val="auto"/>
              </w:rPr>
            </w:pPr>
            <w:r>
              <w:rPr>
                <w:rFonts w:ascii="Arial" w:cs="Arial" w:eastAsia="Arial" w:hAnsi="Arial"/>
                <w:sz w:val="14"/>
                <w:szCs w:val="14"/>
                <w:color w:val="auto"/>
              </w:rPr>
              <w:t>30 %</w:t>
            </w:r>
          </w:p>
        </w:tc>
        <w:tc>
          <w:tcPr>
            <w:tcW w:w="860" w:type="dxa"/>
            <w:vAlign w:val="bottom"/>
            <w:vMerge w:val="restart"/>
          </w:tcPr>
          <w:p>
            <w:pPr>
              <w:jc w:val="right"/>
              <w:ind w:right="10"/>
              <w:spacing w:after="0"/>
              <w:rPr>
                <w:sz w:val="20"/>
                <w:szCs w:val="20"/>
                <w:color w:val="auto"/>
              </w:rPr>
            </w:pPr>
            <w:r>
              <w:rPr>
                <w:rFonts w:ascii="Arial" w:cs="Arial" w:eastAsia="Arial" w:hAnsi="Arial"/>
                <w:sz w:val="14"/>
                <w:szCs w:val="14"/>
                <w:color w:val="auto"/>
              </w:rPr>
              <w:t>4.15 %</w:t>
            </w: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4.20 %</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105,000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104,887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31,466</w:t>
            </w:r>
          </w:p>
        </w:tc>
        <w:tc>
          <w:tcPr>
            <w:tcW w:w="700" w:type="dxa"/>
            <w:vAlign w:val="bottom"/>
            <w:vMerge w:val="restart"/>
          </w:tcPr>
          <w:p>
            <w:pPr>
              <w:ind w:left="140"/>
              <w:spacing w:after="0"/>
              <w:rPr>
                <w:sz w:val="20"/>
                <w:szCs w:val="20"/>
                <w:color w:val="auto"/>
              </w:rPr>
            </w:pPr>
            <w:r>
              <w:rPr>
                <w:rFonts w:ascii="Arial" w:cs="Arial" w:eastAsia="Arial" w:hAnsi="Arial"/>
                <w:sz w:val="14"/>
                <w:szCs w:val="14"/>
                <w:color w:val="auto"/>
              </w:rPr>
              <w:t>(2)</w:t>
            </w:r>
          </w:p>
        </w:tc>
        <w:tc>
          <w:tcPr>
            <w:tcW w:w="1680" w:type="dxa"/>
            <w:vAlign w:val="bottom"/>
            <w:vMerge w:val="restart"/>
          </w:tcPr>
          <w:p>
            <w:pPr>
              <w:ind w:left="140"/>
              <w:spacing w:after="0"/>
              <w:rPr>
                <w:sz w:val="20"/>
                <w:szCs w:val="20"/>
                <w:color w:val="auto"/>
              </w:rPr>
            </w:pPr>
            <w:r>
              <w:rPr>
                <w:rFonts w:ascii="Arial" w:cs="Arial" w:eastAsia="Arial" w:hAnsi="Arial"/>
                <w:sz w:val="14"/>
                <w:szCs w:val="14"/>
                <w:color w:val="auto"/>
              </w:rPr>
              <w:t>June 6, 2023</w:t>
            </w:r>
          </w:p>
        </w:tc>
        <w:tc>
          <w:tcPr>
            <w:tcW w:w="0" w:type="dxa"/>
            <w:vAlign w:val="bottom"/>
          </w:tcPr>
          <w:p>
            <w:pPr>
              <w:spacing w:after="0"/>
              <w:rPr>
                <w:sz w:val="1"/>
                <w:szCs w:val="1"/>
                <w:color w:val="auto"/>
              </w:rPr>
            </w:pPr>
          </w:p>
        </w:tc>
      </w:tr>
      <w:tr>
        <w:trPr>
          <w:trHeight w:val="168"/>
        </w:trPr>
        <w:tc>
          <w:tcPr>
            <w:tcW w:w="1520" w:type="dxa"/>
            <w:vAlign w:val="bottom"/>
            <w:gridSpan w:val="2"/>
          </w:tcPr>
          <w:p>
            <w:pPr>
              <w:ind w:left="100"/>
              <w:spacing w:after="0"/>
              <w:rPr>
                <w:sz w:val="20"/>
                <w:szCs w:val="20"/>
                <w:color w:val="auto"/>
              </w:rPr>
            </w:pPr>
            <w:r>
              <w:rPr>
                <w:rFonts w:ascii="Arial" w:cs="Arial" w:eastAsia="Arial" w:hAnsi="Arial"/>
                <w:sz w:val="14"/>
                <w:szCs w:val="14"/>
                <w:color w:val="auto"/>
              </w:rPr>
              <w:t>Street, NW</w:t>
            </w:r>
          </w:p>
        </w:tc>
        <w:tc>
          <w:tcPr>
            <w:tcW w:w="11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901 New York</w:t>
            </w:r>
          </w:p>
        </w:tc>
        <w:tc>
          <w:tcPr>
            <w:tcW w:w="11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25 %</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3.61 %</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3.69 %</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218,951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218,326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54,581</w:t>
            </w:r>
          </w:p>
        </w:tc>
        <w:tc>
          <w:tcPr>
            <w:tcW w:w="70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January 5, 2025</w:t>
            </w:r>
          </w:p>
        </w:tc>
        <w:tc>
          <w:tcPr>
            <w:tcW w:w="0" w:type="dxa"/>
            <w:vAlign w:val="bottom"/>
          </w:tcPr>
          <w:p>
            <w:pPr>
              <w:spacing w:after="0"/>
              <w:rPr>
                <w:sz w:val="1"/>
                <w:szCs w:val="1"/>
                <w:color w:val="auto"/>
              </w:rPr>
            </w:pPr>
          </w:p>
        </w:tc>
      </w:tr>
      <w:tr>
        <w:trPr>
          <w:trHeight w:val="168"/>
        </w:trPr>
        <w:tc>
          <w:tcPr>
            <w:tcW w:w="1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Avenue</w:t>
            </w:r>
          </w:p>
        </w:tc>
        <w:tc>
          <w:tcPr>
            <w:tcW w:w="11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3 Hudson Boulevard</w:t>
            </w:r>
          </w:p>
        </w:tc>
        <w:tc>
          <w:tcPr>
            <w:tcW w:w="1180" w:type="dxa"/>
            <w:vAlign w:val="bottom"/>
          </w:tcPr>
          <w:p>
            <w:pPr>
              <w:jc w:val="right"/>
              <w:ind w:right="70"/>
              <w:spacing w:after="0"/>
              <w:rPr>
                <w:sz w:val="20"/>
                <w:szCs w:val="20"/>
                <w:color w:val="auto"/>
              </w:rPr>
            </w:pPr>
            <w:r>
              <w:rPr>
                <w:rFonts w:ascii="Arial" w:cs="Arial" w:eastAsia="Arial" w:hAnsi="Arial"/>
                <w:sz w:val="14"/>
                <w:szCs w:val="14"/>
                <w:color w:val="auto"/>
              </w:rPr>
              <w:t>25 %</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3.60 %</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3.68 %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79,872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19,968</w:t>
            </w:r>
          </w:p>
        </w:tc>
        <w:tc>
          <w:tcPr>
            <w:tcW w:w="700" w:type="dxa"/>
            <w:vAlign w:val="bottom"/>
          </w:tcPr>
          <w:p>
            <w:pPr>
              <w:ind w:left="140"/>
              <w:spacing w:after="0"/>
              <w:rPr>
                <w:sz w:val="20"/>
                <w:szCs w:val="20"/>
                <w:color w:val="auto"/>
              </w:rPr>
            </w:pPr>
            <w:r>
              <w:rPr>
                <w:rFonts w:ascii="Arial" w:cs="Arial" w:eastAsia="Arial" w:hAnsi="Arial"/>
                <w:sz w:val="14"/>
                <w:szCs w:val="14"/>
                <w:color w:val="auto"/>
              </w:rPr>
              <w:t>(2)(10)</w:t>
            </w:r>
          </w:p>
        </w:tc>
        <w:tc>
          <w:tcPr>
            <w:tcW w:w="1680" w:type="dxa"/>
            <w:vAlign w:val="bottom"/>
          </w:tcPr>
          <w:p>
            <w:pPr>
              <w:ind w:left="140"/>
              <w:spacing w:after="0"/>
              <w:rPr>
                <w:sz w:val="20"/>
                <w:szCs w:val="20"/>
                <w:color w:val="auto"/>
              </w:rPr>
            </w:pPr>
            <w:r>
              <w:rPr>
                <w:rFonts w:ascii="Arial" w:cs="Arial" w:eastAsia="Arial" w:hAnsi="Arial"/>
                <w:sz w:val="14"/>
                <w:szCs w:val="14"/>
                <w:color w:val="auto"/>
              </w:rPr>
              <w:t>July 13, 2023</w:t>
            </w:r>
          </w:p>
        </w:tc>
        <w:tc>
          <w:tcPr>
            <w:tcW w:w="0" w:type="dxa"/>
            <w:vAlign w:val="bottom"/>
          </w:tcPr>
          <w:p>
            <w:pPr>
              <w:spacing w:after="0"/>
              <w:rPr>
                <w:sz w:val="1"/>
                <w:szCs w:val="1"/>
                <w:color w:val="auto"/>
              </w:rPr>
            </w:pPr>
          </w:p>
        </w:tc>
      </w:tr>
      <w:tr>
        <w:trPr>
          <w:trHeight w:val="18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Metropolitan Square</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20 %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5.40 %</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6.90 %</w:t>
            </w: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294,073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289,102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57,820</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(2)(11)</w:t>
            </w:r>
          </w:p>
        </w:tc>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July 7, 2022</w:t>
            </w:r>
          </w:p>
        </w:tc>
        <w:tc>
          <w:tcPr>
            <w:tcW w:w="0" w:type="dxa"/>
            <w:vAlign w:val="bottom"/>
          </w:tcPr>
          <w:p>
            <w:pPr>
              <w:spacing w:after="0"/>
              <w:rPr>
                <w:sz w:val="1"/>
                <w:szCs w:val="1"/>
                <w:color w:val="auto"/>
              </w:rPr>
            </w:pPr>
          </w:p>
        </w:tc>
      </w:tr>
      <w:tr>
        <w:trPr>
          <w:trHeight w:val="179"/>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2,731,783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(16,106)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2,715,677</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1,190,473</w:t>
            </w: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640" w:right="680" w:hanging="315"/>
        <w:spacing w:after="0" w:line="242" w:lineRule="auto"/>
        <w:tabs>
          <w:tab w:leader="none" w:pos="6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GAAP interest rate differs from the stated interest rate due to the inclusion of the amortization of financing charges, which includes mortgage recording fees.</w:t>
      </w:r>
    </w:p>
    <w:p>
      <w:pPr>
        <w:spacing w:after="0" w:line="1" w:lineRule="exact"/>
        <w:rPr>
          <w:rFonts w:ascii="Arial" w:cs="Arial" w:eastAsia="Arial" w:hAnsi="Arial"/>
          <w:sz w:val="16"/>
          <w:szCs w:val="16"/>
          <w:color w:val="auto"/>
        </w:rPr>
      </w:pPr>
    </w:p>
    <w:p>
      <w:pPr>
        <w:ind w:left="640" w:hanging="315"/>
        <w:spacing w:after="0"/>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loan requires interest only payments with a balloon payment due at maturity.</w:t>
      </w:r>
    </w:p>
    <w:p>
      <w:pPr>
        <w:spacing w:after="0" w:line="2" w:lineRule="exact"/>
        <w:rPr>
          <w:rFonts w:ascii="Arial" w:cs="Arial" w:eastAsia="Arial" w:hAnsi="Arial"/>
          <w:sz w:val="16"/>
          <w:szCs w:val="16"/>
          <w:color w:val="auto"/>
        </w:rPr>
      </w:pPr>
    </w:p>
    <w:p>
      <w:pPr>
        <w:ind w:left="640" w:right="760" w:hanging="315"/>
        <w:spacing w:after="0" w:line="242" w:lineRule="auto"/>
        <w:tabs>
          <w:tab w:leader="none" w:pos="6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LIBOR plus 1.28% per annum and matures on July 19, 2025. A subsidiary of the joint venture entered into interest rate swap contracts with notional amounts aggregating $300.0 million through April 1, 2025, resulting in a fixed rate of approximately 4.063% per annum through the expiration of the interest rate swap contracts.</w:t>
      </w:r>
    </w:p>
    <w:p>
      <w:pPr>
        <w:spacing w:after="0" w:line="1" w:lineRule="exact"/>
        <w:rPr>
          <w:rFonts w:ascii="Arial" w:cs="Arial" w:eastAsia="Arial" w:hAnsi="Arial"/>
          <w:sz w:val="16"/>
          <w:szCs w:val="16"/>
          <w:color w:val="auto"/>
        </w:rPr>
      </w:pPr>
    </w:p>
    <w:p>
      <w:pPr>
        <w:ind w:left="640" w:right="1120" w:hanging="315"/>
        <w:spacing w:after="0" w:line="242" w:lineRule="auto"/>
        <w:tabs>
          <w:tab w:leader="none" w:pos="6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(1) the greater of (x) LIBOR or (y) 0.50%, plus (2) 2.30% per annum and matures on November 10, 2025, with one, one-year extension option, subject to certain conditions.</w:t>
      </w:r>
    </w:p>
    <w:p>
      <w:pPr>
        <w:spacing w:after="0" w:line="1" w:lineRule="exact"/>
        <w:rPr>
          <w:rFonts w:ascii="Arial" w:cs="Arial" w:eastAsia="Arial" w:hAnsi="Arial"/>
          <w:sz w:val="16"/>
          <w:szCs w:val="16"/>
          <w:color w:val="auto"/>
        </w:rPr>
      </w:pPr>
    </w:p>
    <w:p>
      <w:pPr>
        <w:ind w:left="640" w:right="660" w:hanging="315"/>
        <w:spacing w:after="0" w:line="242" w:lineRule="auto"/>
        <w:tabs>
          <w:tab w:leader="none" w:pos="6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$250.0 million. The construction financing bears interest at a variable rate equal to (1) the greater of (x) LIBOR or (y) 0.25%, plus (2) 2.85% per annum and matures on December 18, 2023.</w:t>
      </w:r>
    </w:p>
    <w:p>
      <w:pPr>
        <w:spacing w:after="0" w:line="1" w:lineRule="exact"/>
        <w:rPr>
          <w:rFonts w:ascii="Arial" w:cs="Arial" w:eastAsia="Arial" w:hAnsi="Arial"/>
          <w:sz w:val="16"/>
          <w:szCs w:val="16"/>
          <w:color w:val="auto"/>
        </w:rPr>
      </w:pPr>
    </w:p>
    <w:p>
      <w:pPr>
        <w:ind w:left="640" w:right="740" w:hanging="315"/>
        <w:spacing w:after="0" w:line="242" w:lineRule="auto"/>
        <w:tabs>
          <w:tab w:leader="none" w:pos="6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construction financing had a borrowing capacity of $204.6 million. On September 16, 2019, the joint venture paid down the construction loan principal balance in the amount of approximately $28.8 million, reducing the borrowing capacity to $175.8 million. The construction financing bears interest at a variable rate equal to LIBOR plus 2.25% per annum and matures on September 6, 2021, with two, one-year extension options, subject to certain conditions.</w:t>
      </w:r>
    </w:p>
    <w:p>
      <w:pPr>
        <w:spacing w:after="0" w:line="2" w:lineRule="exact"/>
        <w:rPr>
          <w:rFonts w:ascii="Arial" w:cs="Arial" w:eastAsia="Arial" w:hAnsi="Arial"/>
          <w:sz w:val="16"/>
          <w:szCs w:val="16"/>
          <w:color w:val="auto"/>
        </w:rPr>
      </w:pPr>
    </w:p>
    <w:p>
      <w:pPr>
        <w:ind w:left="640" w:right="900" w:hanging="315"/>
        <w:spacing w:after="0" w:line="253" w:lineRule="auto"/>
        <w:tabs>
          <w:tab w:leader="none" w:pos="6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$180.0 million. The construction financing bears interest at a variable rate equal to LIBOR plus 2.00% per annum and matures on April 19, 2022, with two, one-year extension options, subject to certain conditions.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640" w:right="900" w:hanging="315"/>
        <w:spacing w:after="0" w:line="242" w:lineRule="auto"/>
        <w:tabs>
          <w:tab w:leader="none" w:pos="63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$400.0 million. The construction financing bears interest at a variable rate equal to LIBOR plus 1.50% per annum (LIBOR plus 1.375% per annum upon stabilization, as defined in the loan agreement) and matures on September 5, 2023, with two, one-year extension options, subject to certain conditions.</w:t>
      </w:r>
    </w:p>
    <w:p>
      <w:pPr>
        <w:spacing w:after="0" w:line="1" w:lineRule="exact"/>
        <w:rPr>
          <w:rFonts w:ascii="Arial" w:cs="Arial" w:eastAsia="Arial" w:hAnsi="Arial"/>
          <w:sz w:val="16"/>
          <w:szCs w:val="16"/>
          <w:color w:val="auto"/>
        </w:rPr>
      </w:pPr>
    </w:p>
    <w:p>
      <w:pPr>
        <w:ind w:left="640" w:right="900" w:hanging="315"/>
        <w:spacing w:after="0" w:line="242" w:lineRule="auto"/>
        <w:tabs>
          <w:tab w:leader="none" w:pos="63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$255.0 million. The construction financing bears interest at a variable rate equal to LIBOR plus 1.25% per annum and matures on April 26, 2023, with two, one-year extension options, subject to certain conditions.</w:t>
      </w:r>
    </w:p>
    <w:p>
      <w:pPr>
        <w:spacing w:after="0" w:line="1" w:lineRule="exact"/>
        <w:rPr>
          <w:rFonts w:ascii="Arial" w:cs="Arial" w:eastAsia="Arial" w:hAnsi="Arial"/>
          <w:sz w:val="16"/>
          <w:szCs w:val="16"/>
          <w:color w:val="auto"/>
        </w:rPr>
      </w:pPr>
    </w:p>
    <w:p>
      <w:pPr>
        <w:ind w:left="640" w:right="660" w:hanging="315"/>
        <w:spacing w:after="0" w:line="242" w:lineRule="auto"/>
        <w:tabs>
          <w:tab w:leader="none" w:pos="631"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provided $80.0 million of mortgage financing to the joint venture. The loan bears interest at a variable rate equal to LIBOR plus 3.50% per annum and matures on July 13, 2023, with extension options, subject to certain conditions. The loan has been reflected as Related Party Note Receivable, Net on our Consolidated Balance Sheets.</w:t>
      </w:r>
    </w:p>
    <w:p>
      <w:pPr>
        <w:spacing w:after="0" w:line="1" w:lineRule="exact"/>
        <w:rPr>
          <w:rFonts w:ascii="Arial" w:cs="Arial" w:eastAsia="Arial" w:hAnsi="Arial"/>
          <w:sz w:val="16"/>
          <w:szCs w:val="16"/>
          <w:color w:val="auto"/>
        </w:rPr>
      </w:pPr>
    </w:p>
    <w:p>
      <w:pPr>
        <w:ind w:left="640" w:right="660" w:hanging="315"/>
        <w:spacing w:after="0" w:line="246" w:lineRule="auto"/>
        <w:tabs>
          <w:tab w:leader="none" w:pos="63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(1) the greater of (x) LIBOR or (y) 0.65%, plus (2) 4.75% per annum and matures on July 7, 2022 with two, one-year extension options, subject to certain conditions. The joint venture entered into an interest rate cap agreement with a financial institution to limit its exposure to increases in the LIBOR rate at a cap of 3.00% per annum on a notional amount of $325.0 million through July 7, 2022.</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State and Local Tax Matters</w:t>
      </w:r>
    </w:p>
    <w:p>
      <w:pPr>
        <w:spacing w:after="0" w:line="104" w:lineRule="exact"/>
        <w:rPr>
          <w:sz w:val="20"/>
          <w:szCs w:val="20"/>
          <w:color w:val="auto"/>
        </w:rPr>
      </w:pPr>
    </w:p>
    <w:p>
      <w:pPr>
        <w:ind w:right="60" w:firstLine="439"/>
        <w:spacing w:after="0" w:line="247" w:lineRule="auto"/>
        <w:rPr>
          <w:sz w:val="20"/>
          <w:szCs w:val="20"/>
          <w:color w:val="auto"/>
        </w:rPr>
      </w:pPr>
      <w:r>
        <w:rPr>
          <w:rFonts w:ascii="Arial" w:cs="Arial" w:eastAsia="Arial" w:hAnsi="Arial"/>
          <w:sz w:val="18"/>
          <w:szCs w:val="18"/>
          <w:color w:val="auto"/>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Insurance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information concerning our insurance program, see Note 9 to the Consolidated Financial Statements.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Funds from Operations</w:t>
      </w:r>
    </w:p>
    <w:p>
      <w:pPr>
        <w:spacing w:after="0" w:line="117"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Pursuant to the revised definition of Funds from Operations adopted by the Board of Governors of the National Association of Real Estate Investment Trusts (“Nareit”), we calculate Funds from Operations, or “FFO,” for each of BXP and BPLP by adjusting net income (loss) attributable to Boston Properties, Inc. common shareholders and net income (loss) attributable to Boston Properties Limited Partnership common unitholders (computed in accordance with GAAP), respectively, for gains (or losses) from sales of properties,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useful measures for understanding and comparing our operating results because, by excluding gains and losses related to sales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w:t>
      </w:r>
    </w:p>
    <w:p>
      <w:pPr>
        <w:spacing w:after="0" w:line="156" w:lineRule="exact"/>
        <w:rPr>
          <w:sz w:val="20"/>
          <w:szCs w:val="20"/>
          <w:color w:val="auto"/>
        </w:rPr>
      </w:pPr>
    </w:p>
    <w:p>
      <w:pPr>
        <w:jc w:val="both"/>
        <w:ind w:right="40" w:firstLine="439"/>
        <w:spacing w:after="0" w:line="261" w:lineRule="auto"/>
        <w:rPr>
          <w:sz w:val="20"/>
          <w:szCs w:val="20"/>
          <w:color w:val="auto"/>
        </w:rPr>
      </w:pPr>
      <w:r>
        <w:rPr>
          <w:rFonts w:ascii="Arial" w:cs="Arial" w:eastAsia="Arial" w:hAnsi="Arial"/>
          <w:sz w:val="17"/>
          <w:szCs w:val="17"/>
          <w:color w:val="auto"/>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attributable to Boston Properties, Inc. common shareholders and net income attributable to Boston Properties Limited Partnership as presented in our Consolidated Financial Statements.</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FFO should not be considered as a substitute for net income attributable to Boston Properties, Inc. common shareholders or net income attributable to Boston Properties Limited Partnership common unitholders (determined in accordance with GAAP) or any other GAAP financial measures and should only be considered together with and as a supplement to our financial information prepared in accordance with GAAP.</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180" w:firstLine="439"/>
        <w:spacing w:after="0" w:line="249" w:lineRule="auto"/>
        <w:rPr>
          <w:sz w:val="20"/>
          <w:szCs w:val="20"/>
          <w:color w:val="auto"/>
        </w:rPr>
      </w:pPr>
      <w:r>
        <w:rPr>
          <w:rFonts w:ascii="Arial" w:cs="Arial" w:eastAsia="Arial" w:hAnsi="Arial"/>
          <w:sz w:val="18"/>
          <w:szCs w:val="18"/>
          <w:color w:val="auto"/>
        </w:rPr>
        <w:t>The impact that COVID-19 has had on our business, financial position and results of operations is discussed throughout this report. The full extent of the impact of COVID-19 on our business, operations and financial results will depend on numerous evolving factors that we may not be able to accurately predict.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21" w:lineRule="exact"/>
        <w:rPr>
          <w:sz w:val="20"/>
          <w:szCs w:val="20"/>
          <w:color w:val="auto"/>
        </w:rPr>
      </w:pPr>
    </w:p>
    <w:p>
      <w:pPr>
        <w:ind w:right="880" w:firstLine="439"/>
        <w:spacing w:after="0" w:line="252" w:lineRule="auto"/>
        <w:rPr>
          <w:sz w:val="20"/>
          <w:szCs w:val="20"/>
          <w:color w:val="auto"/>
        </w:rPr>
      </w:pPr>
      <w:r>
        <w:rPr>
          <w:rFonts w:ascii="Arial" w:cs="Arial" w:eastAsia="Arial" w:hAnsi="Arial"/>
          <w:sz w:val="18"/>
          <w:szCs w:val="18"/>
          <w:color w:val="auto"/>
        </w:rPr>
        <w:t>The following table presents a reconciliation of net income attributable to Boston Properties, Inc. common shareholders to FFO attributable to Boston Properties, Inc. common shareholders for the three months ended June 30, 2021 and 2020:</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8"/>
                <w:szCs w:val="18"/>
                <w:b w:val="1"/>
                <w:bCs w:val="1"/>
                <w:color w:val="auto"/>
              </w:rPr>
              <w:t>Three months ended June 30,</w:t>
            </w:r>
          </w:p>
        </w:tc>
      </w:tr>
      <w:tr>
        <w:trPr>
          <w:trHeight w:val="220"/>
        </w:trPr>
        <w:tc>
          <w:tcPr>
            <w:tcW w:w="8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w w:val="94"/>
              </w:rPr>
              <w:t>2020</w:t>
            </w:r>
          </w:p>
        </w:tc>
      </w:tr>
      <w:tr>
        <w:trPr>
          <w:trHeight w:val="219"/>
        </w:trPr>
        <w:tc>
          <w:tcPr>
            <w:tcW w:w="8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9"/>
                <w:szCs w:val="19"/>
                <w:color w:val="auto"/>
              </w:rPr>
            </w:pPr>
          </w:p>
        </w:tc>
      </w:tr>
      <w:tr>
        <w:trPr>
          <w:trHeight w:val="22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Inc. common shareholders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111,703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266,525</w:t>
            </w: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Add:</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dividends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2,625</w:t>
            </w:r>
          </w:p>
        </w:tc>
      </w:tr>
      <w:tr>
        <w:trPr>
          <w:trHeight w:val="225"/>
        </w:trPr>
        <w:tc>
          <w:tcPr>
            <w:tcW w:w="8120" w:type="dxa"/>
            <w:vAlign w:val="bottom"/>
          </w:tcPr>
          <w:p>
            <w:pPr>
              <w:ind w:left="340"/>
              <w:spacing w:after="0"/>
              <w:rPr>
                <w:sz w:val="20"/>
                <w:szCs w:val="20"/>
                <w:color w:val="auto"/>
              </w:rPr>
            </w:pPr>
            <w:r>
              <w:rPr>
                <w:rFonts w:ascii="Arial" w:cs="Arial" w:eastAsia="Arial" w:hAnsi="Arial"/>
                <w:sz w:val="18"/>
                <w:szCs w:val="18"/>
                <w:color w:val="auto"/>
              </w:rPr>
              <w:t>Noncontrolling interest—common units of the Operating Partnership</w:t>
            </w:r>
          </w:p>
        </w:tc>
        <w:tc>
          <w:tcPr>
            <w:tcW w:w="2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12,383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30,197</w:t>
            </w:r>
          </w:p>
        </w:tc>
      </w:tr>
      <w:tr>
        <w:trPr>
          <w:trHeight w:val="227"/>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17,164</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(767)</w:t>
            </w:r>
          </w:p>
        </w:tc>
      </w:tr>
      <w:tr>
        <w:trPr>
          <w:trHeight w:val="219"/>
        </w:trPr>
        <w:tc>
          <w:tcPr>
            <w:tcW w:w="8120" w:type="dxa"/>
            <w:vAlign w:val="bottom"/>
          </w:tcPr>
          <w:p>
            <w:pPr>
              <w:ind w:left="20"/>
              <w:spacing w:after="0" w:line="205" w:lineRule="exact"/>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141,250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298,580</w:t>
            </w:r>
          </w:p>
        </w:tc>
      </w:tr>
      <w:tr>
        <w:trPr>
          <w:trHeight w:val="227"/>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81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183,838</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178,188</w:t>
            </w:r>
          </w:p>
        </w:tc>
      </w:tr>
      <w:tr>
        <w:trPr>
          <w:trHeight w:val="227"/>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in property partnerships’ share of depreciation and 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(17,113)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(22,480)</w:t>
            </w:r>
          </w:p>
        </w:tc>
      </w:tr>
      <w:tr>
        <w:trPr>
          <w:trHeight w:val="225"/>
        </w:trPr>
        <w:tc>
          <w:tcPr>
            <w:tcW w:w="8120" w:type="dxa"/>
            <w:vAlign w:val="bottom"/>
          </w:tcPr>
          <w:p>
            <w:pPr>
              <w:ind w:left="340"/>
              <w:spacing w:after="0"/>
              <w:rPr>
                <w:sz w:val="20"/>
                <w:szCs w:val="20"/>
                <w:color w:val="auto"/>
              </w:rPr>
            </w:pPr>
            <w:r>
              <w:rPr>
                <w:rFonts w:ascii="Arial" w:cs="Arial" w:eastAsia="Arial" w:hAnsi="Arial"/>
                <w:sz w:val="18"/>
                <w:szCs w:val="18"/>
                <w:color w:val="auto"/>
              </w:rPr>
              <w:t>BXP’s share of depreciation and amortization from unconsolidated joint ventures</w:t>
            </w:r>
          </w:p>
        </w:tc>
        <w:tc>
          <w:tcPr>
            <w:tcW w:w="2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15,350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21,012</w:t>
            </w:r>
          </w:p>
        </w:tc>
      </w:tr>
      <w:tr>
        <w:trPr>
          <w:trHeight w:val="227"/>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Corporate-related depreciation and 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(486)</w:t>
            </w: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investment included within income (loss) from unconsolidated joint ventures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5,946</w:t>
            </w:r>
          </w:p>
        </w:tc>
      </w:tr>
      <w:tr>
        <w:trPr>
          <w:trHeight w:val="225"/>
        </w:trPr>
        <w:tc>
          <w:tcPr>
            <w:tcW w:w="8120" w:type="dxa"/>
            <w:vAlign w:val="bottom"/>
          </w:tcPr>
          <w:p>
            <w:pPr>
              <w:ind w:left="340"/>
              <w:spacing w:after="0"/>
              <w:rPr>
                <w:sz w:val="20"/>
                <w:szCs w:val="20"/>
                <w:color w:val="auto"/>
              </w:rPr>
            </w:pPr>
            <w:r>
              <w:rPr>
                <w:rFonts w:ascii="Arial" w:cs="Arial" w:eastAsia="Arial" w:hAnsi="Arial"/>
                <w:sz w:val="18"/>
                <w:szCs w:val="18"/>
                <w:color w:val="auto"/>
              </w:rPr>
              <w:t>Gains on sales of real estate</w:t>
            </w:r>
          </w:p>
        </w:tc>
        <w:tc>
          <w:tcPr>
            <w:tcW w:w="2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7,756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203,767</w:t>
            </w:r>
          </w:p>
        </w:tc>
      </w:tr>
      <w:tr>
        <w:trPr>
          <w:trHeight w:val="227"/>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17,164</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(767)</w:t>
            </w:r>
          </w:p>
        </w:tc>
      </w:tr>
      <w:tr>
        <w:trPr>
          <w:trHeight w:val="225"/>
        </w:trPr>
        <w:tc>
          <w:tcPr>
            <w:tcW w:w="8120" w:type="dxa"/>
            <w:vAlign w:val="bottom"/>
          </w:tcPr>
          <w:p>
            <w:pPr>
              <w:ind w:left="340"/>
              <w:spacing w:after="0"/>
              <w:rPr>
                <w:sz w:val="20"/>
                <w:szCs w:val="20"/>
                <w:color w:val="auto"/>
              </w:rPr>
            </w:pPr>
            <w:r>
              <w:rPr>
                <w:rFonts w:ascii="Arial" w:cs="Arial" w:eastAsia="Arial" w:hAnsi="Arial"/>
                <w:sz w:val="18"/>
                <w:szCs w:val="18"/>
                <w:color w:val="auto"/>
              </w:rPr>
              <w:t>Preferred dividends</w:t>
            </w:r>
          </w:p>
        </w:tc>
        <w:tc>
          <w:tcPr>
            <w:tcW w:w="22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2,625</w:t>
            </w:r>
          </w:p>
        </w:tc>
      </w:tr>
      <w:tr>
        <w:trPr>
          <w:trHeight w:val="166"/>
        </w:trPr>
        <w:tc>
          <w:tcPr>
            <w:tcW w:w="8120" w:type="dxa"/>
            <w:vAlign w:val="bottom"/>
            <w:tcBorders>
              <w:top w:val="single" w:sz="8" w:color="CCEEFF"/>
            </w:tcBorders>
            <w:shd w:val="clear" w:color="auto" w:fill="CCEEFF"/>
          </w:tcPr>
          <w:p>
            <w:pPr>
              <w:ind w:left="20"/>
              <w:spacing w:after="0" w:line="166" w:lineRule="exact"/>
              <w:rPr>
                <w:sz w:val="20"/>
                <w:szCs w:val="20"/>
                <w:color w:val="auto"/>
              </w:rPr>
            </w:pPr>
            <w:r>
              <w:rPr>
                <w:rFonts w:ascii="Arial" w:cs="Arial" w:eastAsia="Arial" w:hAnsi="Arial"/>
                <w:sz w:val="18"/>
                <w:szCs w:val="18"/>
                <w:color w:val="auto"/>
              </w:rPr>
              <w:t>Funds from Operations (FFO) attributable to the Operating Partnership common unitholders</w:t>
            </w:r>
          </w:p>
        </w:tc>
        <w:tc>
          <w:tcPr>
            <w:tcW w:w="2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r>
      <w:tr>
        <w:trPr>
          <w:trHeight w:val="214"/>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(including Boston Properties, Inc.)</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297,961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263,243</w:t>
            </w: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6"/>
        </w:trPr>
        <w:tc>
          <w:tcPr>
            <w:tcW w:w="8120" w:type="dxa"/>
            <w:vAlign w:val="bottom"/>
            <w:shd w:val="clear" w:color="auto" w:fill="CCEEFF"/>
          </w:tcPr>
          <w:p>
            <w:pPr>
              <w:ind w:left="340"/>
              <w:spacing w:after="0" w:line="186" w:lineRule="exact"/>
              <w:rPr>
                <w:sz w:val="20"/>
                <w:szCs w:val="20"/>
                <w:color w:val="auto"/>
              </w:rPr>
            </w:pPr>
            <w:r>
              <w:rPr>
                <w:rFonts w:ascii="Arial" w:cs="Arial" w:eastAsia="Arial" w:hAnsi="Arial"/>
                <w:sz w:val="18"/>
                <w:szCs w:val="18"/>
                <w:color w:val="auto"/>
              </w:rPr>
              <w:t>Noncontrolling interest—common units of the Operating Partnership’s share of funds from</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4"/>
        </w:trPr>
        <w:tc>
          <w:tcPr>
            <w:tcW w:w="8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29,319</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26,335</w:t>
            </w:r>
          </w:p>
        </w:tc>
      </w:tr>
      <w:tr>
        <w:trPr>
          <w:trHeight w:val="219"/>
        </w:trPr>
        <w:tc>
          <w:tcPr>
            <w:tcW w:w="8120" w:type="dxa"/>
            <w:vAlign w:val="bottom"/>
          </w:tcPr>
          <w:p>
            <w:pPr>
              <w:ind w:left="20"/>
              <w:spacing w:after="0" w:line="205" w:lineRule="exact"/>
              <w:rPr>
                <w:sz w:val="20"/>
                <w:szCs w:val="20"/>
                <w:color w:val="auto"/>
              </w:rPr>
            </w:pPr>
            <w:r>
              <w:rPr>
                <w:rFonts w:ascii="Arial" w:cs="Arial" w:eastAsia="Arial" w:hAnsi="Arial"/>
                <w:sz w:val="18"/>
                <w:szCs w:val="18"/>
                <w:color w:val="auto"/>
              </w:rPr>
              <w:t>Funds from Operations attributable to Boston Properties, Inc. common shareholders</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268,642</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236,908</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9"/>
        </w:trPr>
        <w:tc>
          <w:tcPr>
            <w:tcW w:w="812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Our percentage share of Funds from Operations—basic</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90.16 %</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90.00 %</w:t>
            </w:r>
          </w:p>
        </w:tc>
      </w:tr>
      <w:tr>
        <w:trPr>
          <w:trHeight w:val="219"/>
        </w:trPr>
        <w:tc>
          <w:tcPr>
            <w:tcW w:w="8120" w:type="dxa"/>
            <w:vAlign w:val="bottom"/>
          </w:tcPr>
          <w:p>
            <w:pPr>
              <w:ind w:left="20"/>
              <w:spacing w:after="0"/>
              <w:rPr>
                <w:sz w:val="20"/>
                <w:szCs w:val="20"/>
                <w:color w:val="auto"/>
              </w:rPr>
            </w:pPr>
            <w:r>
              <w:rPr>
                <w:rFonts w:ascii="Arial" w:cs="Arial" w:eastAsia="Arial" w:hAnsi="Arial"/>
                <w:sz w:val="18"/>
                <w:szCs w:val="18"/>
                <w:color w:val="auto"/>
              </w:rPr>
              <w:t>Weighted average shares outstanding—basic</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156,107</w:t>
            </w: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155,386</w:t>
            </w:r>
          </w:p>
        </w:tc>
      </w:tr>
      <w:tr>
        <w:trPr>
          <w:trHeight w:val="844"/>
        </w:trPr>
        <w:tc>
          <w:tcPr>
            <w:tcW w:w="8120" w:type="dxa"/>
            <w:vAlign w:val="bottom"/>
          </w:tcPr>
          <w:p>
            <w:pPr>
              <w:ind w:left="552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4"/>
        </w:trPr>
        <w:tc>
          <w:tcPr>
            <w:tcW w:w="8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Diluted Funds from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6"/>
                <w:szCs w:val="16"/>
                <w:b w:val="1"/>
                <w:bCs w:val="1"/>
                <w:color w:val="auto"/>
              </w:rPr>
              <w:t>Three months ended June 30,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13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256"/>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153"/>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center"/>
              <w:ind w:right="480"/>
              <w:spacing w:after="0" w:line="153" w:lineRule="exact"/>
              <w:rPr>
                <w:sz w:val="20"/>
                <w:szCs w:val="20"/>
                <w:color w:val="auto"/>
              </w:rPr>
            </w:pPr>
            <w:r>
              <w:rPr>
                <w:rFonts w:ascii="Arial" w:cs="Arial" w:eastAsia="Arial" w:hAnsi="Arial"/>
                <w:sz w:val="16"/>
                <w:szCs w:val="16"/>
                <w:b w:val="1"/>
                <w:bCs w:val="1"/>
                <w:color w:val="auto"/>
                <w:w w:val="99"/>
              </w:rPr>
              <w:t>Income</w:t>
            </w:r>
          </w:p>
        </w:tc>
        <w:tc>
          <w:tcPr>
            <w:tcW w:w="1320" w:type="dxa"/>
            <w:vAlign w:val="bottom"/>
          </w:tcPr>
          <w:p>
            <w:pPr>
              <w:jc w:val="center"/>
              <w:ind w:right="135"/>
              <w:spacing w:after="0" w:line="153" w:lineRule="exact"/>
              <w:rPr>
                <w:sz w:val="20"/>
                <w:szCs w:val="20"/>
                <w:color w:val="auto"/>
              </w:rPr>
            </w:pPr>
            <w:r>
              <w:rPr>
                <w:rFonts w:ascii="Arial" w:cs="Arial" w:eastAsia="Arial" w:hAnsi="Arial"/>
                <w:sz w:val="16"/>
                <w:szCs w:val="16"/>
                <w:b w:val="1"/>
                <w:bCs w:val="1"/>
                <w:color w:val="auto"/>
              </w:rPr>
              <w:t>Shares/Units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74"/>
              <w:spacing w:after="0" w:line="153" w:lineRule="exact"/>
              <w:rPr>
                <w:sz w:val="20"/>
                <w:szCs w:val="20"/>
                <w:color w:val="auto"/>
              </w:rPr>
            </w:pPr>
            <w:r>
              <w:rPr>
                <w:rFonts w:ascii="Arial" w:cs="Arial" w:eastAsia="Arial" w:hAnsi="Arial"/>
                <w:sz w:val="16"/>
                <w:szCs w:val="16"/>
                <w:b w:val="1"/>
                <w:bCs w:val="1"/>
                <w:color w:val="auto"/>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196"/>
              <w:spacing w:after="0" w:line="153" w:lineRule="exact"/>
              <w:rPr>
                <w:sz w:val="20"/>
                <w:szCs w:val="20"/>
                <w:color w:val="auto"/>
              </w:rPr>
            </w:pPr>
            <w:r>
              <w:rPr>
                <w:rFonts w:ascii="Arial" w:cs="Arial" w:eastAsia="Arial" w:hAnsi="Arial"/>
                <w:sz w:val="16"/>
                <w:szCs w:val="16"/>
                <w:b w:val="1"/>
                <w:bCs w:val="1"/>
                <w:color w:val="auto"/>
              </w:rPr>
              <w:t>Shares/Units</w:t>
            </w: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6"/>
                <w:szCs w:val="16"/>
                <w:b w:val="1"/>
                <w:bCs w:val="1"/>
                <w:color w:val="auto"/>
                <w:w w:val="98"/>
              </w:rPr>
              <w:t>(Numerator)</w:t>
            </w:r>
          </w:p>
        </w:tc>
        <w:tc>
          <w:tcPr>
            <w:tcW w:w="16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rPr>
              <w:t>(Denominator)</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(Numerator)</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(Denominator)</w:t>
            </w:r>
          </w:p>
        </w:tc>
        <w:tc>
          <w:tcPr>
            <w:tcW w:w="0" w:type="dxa"/>
            <w:vAlign w:val="bottom"/>
          </w:tcPr>
          <w:p>
            <w:pPr>
              <w:spacing w:after="0"/>
              <w:rPr>
                <w:sz w:val="1"/>
                <w:szCs w:val="1"/>
                <w:color w:val="auto"/>
              </w:rPr>
            </w:pPr>
          </w:p>
        </w:tc>
      </w:tr>
      <w:tr>
        <w:trPr>
          <w:trHeight w:val="206"/>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4"/>
          </w:tcPr>
          <w:p>
            <w:pPr>
              <w:jc w:val="right"/>
              <w:ind w:right="834"/>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Funds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173,150</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263,243</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172,659</w:t>
            </w: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Arial" w:cs="Arial" w:eastAsia="Arial" w:hAnsi="Arial"/>
                <w:sz w:val="18"/>
                <w:szCs w:val="18"/>
                <w:color w:val="auto"/>
              </w:rPr>
              <w:t>Diluted Funds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297,961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173,562</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263,243</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172,680</w:t>
            </w:r>
          </w:p>
        </w:tc>
        <w:tc>
          <w:tcPr>
            <w:tcW w:w="0" w:type="dxa"/>
            <w:vAlign w:val="bottom"/>
          </w:tcPr>
          <w:p>
            <w:pPr>
              <w:spacing w:after="0"/>
              <w:rPr>
                <w:sz w:val="1"/>
                <w:szCs w:val="1"/>
                <w:color w:val="auto"/>
              </w:rPr>
            </w:pPr>
          </w:p>
        </w:tc>
      </w:tr>
      <w:tr>
        <w:trPr>
          <w:trHeight w:val="227"/>
        </w:trPr>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800" w:type="dxa"/>
            <w:vAlign w:val="bottom"/>
          </w:tcPr>
          <w:p>
            <w:pPr>
              <w:ind w:left="260"/>
              <w:spacing w:after="0" w:line="185" w:lineRule="exact"/>
              <w:rPr>
                <w:sz w:val="20"/>
                <w:szCs w:val="20"/>
                <w:color w:val="auto"/>
              </w:rPr>
            </w:pPr>
            <w:r>
              <w:rPr>
                <w:rFonts w:ascii="Arial" w:cs="Arial" w:eastAsia="Arial" w:hAnsi="Arial"/>
                <w:sz w:val="18"/>
                <w:szCs w:val="18"/>
                <w:color w:val="auto"/>
              </w:rPr>
              <w:t>Noncontrolling interest—common units of the Operating</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Partnership’s share of diluted Funds from Operations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17,043</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166"/>
        </w:trPr>
        <w:tc>
          <w:tcPr>
            <w:tcW w:w="480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color w:val="auto"/>
              </w:rPr>
              <w:t>Diluted Funds from Operations attributable to Boston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268,702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156,519</w:t>
            </w:r>
          </w:p>
        </w:tc>
        <w:tc>
          <w:tcPr>
            <w:tcW w:w="2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236,912</w:t>
            </w:r>
          </w:p>
        </w:tc>
        <w:tc>
          <w:tcPr>
            <w:tcW w:w="17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155,407</w:t>
            </w:r>
          </w:p>
        </w:tc>
        <w:tc>
          <w:tcPr>
            <w:tcW w:w="0" w:type="dxa"/>
            <w:vAlign w:val="bottom"/>
          </w:tcPr>
          <w:p>
            <w:pPr>
              <w:spacing w:after="0"/>
              <w:rPr>
                <w:sz w:val="1"/>
                <w:szCs w:val="1"/>
                <w:color w:val="auto"/>
              </w:rPr>
            </w:pPr>
          </w:p>
        </w:tc>
      </w:tr>
      <w:tr>
        <w:trPr>
          <w:trHeight w:val="207"/>
        </w:trPr>
        <w:tc>
          <w:tcPr>
            <w:tcW w:w="480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rPr>
              <w:t>Properties, Inc. (1)</w:t>
            </w:r>
          </w:p>
        </w:tc>
        <w:tc>
          <w:tcPr>
            <w:tcW w:w="18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70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BXP’s share of diluted Funds from Operations was 90.18% and 90.00% for the three months ended June 30, 2021 and 2020,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net income attributable to Boston Properties Limited Partnership common unitholders to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FFO attributable to Boston Properties Limited Partnership common unitholders for the three months ended June 30, 2021 and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640" w:type="dxa"/>
            <w:vAlign w:val="bottom"/>
          </w:tcPr>
          <w:p>
            <w:pPr>
              <w:spacing w:after="0"/>
              <w:rPr>
                <w:sz w:val="20"/>
                <w:szCs w:val="20"/>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9"/>
              </w:rPr>
              <w:t>Three months ended June 30,</w:t>
            </w:r>
          </w:p>
        </w:tc>
      </w:tr>
      <w:tr>
        <w:trPr>
          <w:trHeight w:val="220"/>
        </w:trPr>
        <w:tc>
          <w:tcPr>
            <w:tcW w:w="8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r>
      <w:tr>
        <w:trPr>
          <w:trHeight w:val="219"/>
        </w:trPr>
        <w:tc>
          <w:tcPr>
            <w:tcW w:w="8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4"/>
          </w:tcPr>
          <w:p>
            <w:pPr>
              <w:jc w:val="right"/>
              <w:ind w:right="611"/>
              <w:spacing w:after="0"/>
              <w:rPr>
                <w:sz w:val="20"/>
                <w:szCs w:val="20"/>
                <w:color w:val="auto"/>
              </w:rPr>
            </w:pPr>
            <w:r>
              <w:rPr>
                <w:rFonts w:ascii="Arial" w:cs="Arial" w:eastAsia="Arial" w:hAnsi="Arial"/>
                <w:sz w:val="18"/>
                <w:szCs w:val="18"/>
                <w:b w:val="1"/>
                <w:bCs w:val="1"/>
                <w:color w:val="auto"/>
              </w:rPr>
              <w:t>(in thousands)</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Limited Partnership common unitholders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301,975</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distributions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25"/>
        </w:trPr>
        <w:tc>
          <w:tcPr>
            <w:tcW w:w="8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r>
      <w:tr>
        <w:trPr>
          <w:trHeight w:val="220"/>
        </w:trPr>
        <w:tc>
          <w:tcPr>
            <w:tcW w:w="86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143,010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303,833</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182,078</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176,409</w:t>
            </w:r>
          </w:p>
        </w:tc>
      </w:tr>
      <w:tr>
        <w:trPr>
          <w:trHeight w:val="225"/>
        </w:trPr>
        <w:tc>
          <w:tcPr>
            <w:tcW w:w="8640" w:type="dxa"/>
            <w:vAlign w:val="bottom"/>
          </w:tcPr>
          <w:p>
            <w:pPr>
              <w:ind w:left="340"/>
              <w:spacing w:after="0"/>
              <w:rPr>
                <w:sz w:val="20"/>
                <w:szCs w:val="20"/>
                <w:color w:val="auto"/>
              </w:rPr>
            </w:pPr>
            <w:r>
              <w:rPr>
                <w:rFonts w:ascii="Arial" w:cs="Arial" w:eastAsia="Arial" w:hAnsi="Arial"/>
                <w:sz w:val="18"/>
                <w:szCs w:val="18"/>
                <w:color w:val="auto"/>
              </w:rPr>
              <w:t>Noncontrolling interests in property partnerships’ share of 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(17,113)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(22,480)</w:t>
            </w:r>
          </w:p>
        </w:tc>
      </w:tr>
      <w:tr>
        <w:trPr>
          <w:trHeight w:val="227"/>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BXP’s share of depreciation and amortization from unconsolidated joint ventures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21,012</w:t>
            </w:r>
          </w:p>
        </w:tc>
      </w:tr>
      <w:tr>
        <w:trPr>
          <w:trHeight w:val="225"/>
        </w:trPr>
        <w:tc>
          <w:tcPr>
            <w:tcW w:w="8640" w:type="dxa"/>
            <w:vAlign w:val="bottom"/>
          </w:tcPr>
          <w:p>
            <w:pPr>
              <w:ind w:left="340"/>
              <w:spacing w:after="0"/>
              <w:rPr>
                <w:sz w:val="20"/>
                <w:szCs w:val="20"/>
                <w:color w:val="auto"/>
              </w:rPr>
            </w:pPr>
            <w:r>
              <w:rPr>
                <w:rFonts w:ascii="Arial" w:cs="Arial" w:eastAsia="Arial" w:hAnsi="Arial"/>
                <w:sz w:val="18"/>
                <w:szCs w:val="18"/>
                <w:color w:val="auto"/>
              </w:rPr>
              <w:t>Corporate-related 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27"/>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640" w:type="dxa"/>
            <w:vAlign w:val="bottom"/>
          </w:tcPr>
          <w:p>
            <w:pPr>
              <w:ind w:left="340"/>
              <w:spacing w:after="0"/>
              <w:rPr>
                <w:sz w:val="20"/>
                <w:szCs w:val="20"/>
                <w:color w:val="auto"/>
              </w:rPr>
            </w:pPr>
            <w:r>
              <w:rPr>
                <w:rFonts w:ascii="Arial" w:cs="Arial" w:eastAsia="Arial" w:hAnsi="Arial"/>
                <w:sz w:val="18"/>
                <w:szCs w:val="18"/>
                <w:color w:val="auto"/>
              </w:rPr>
              <w:t>Gain on sale of investment included within (loss) income from unconsolidated joint ventures</w:t>
            </w:r>
          </w:p>
        </w:tc>
        <w:tc>
          <w:tcPr>
            <w:tcW w:w="26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5,946</w:t>
            </w:r>
          </w:p>
        </w:tc>
      </w:tr>
      <w:tr>
        <w:trPr>
          <w:trHeight w:val="227"/>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sales of real estate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207,241</w:t>
            </w:r>
          </w:p>
        </w:tc>
      </w:tr>
      <w:tr>
        <w:trPr>
          <w:trHeight w:val="225"/>
        </w:trPr>
        <w:tc>
          <w:tcPr>
            <w:tcW w:w="8640" w:type="dxa"/>
            <w:vAlign w:val="bottom"/>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27"/>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distributions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19"/>
        </w:trPr>
        <w:tc>
          <w:tcPr>
            <w:tcW w:w="8640" w:type="dxa"/>
            <w:vAlign w:val="bottom"/>
          </w:tcPr>
          <w:p>
            <w:pPr>
              <w:ind w:left="20"/>
              <w:spacing w:after="0" w:line="205" w:lineRule="exact"/>
              <w:rPr>
                <w:sz w:val="20"/>
                <w:szCs w:val="20"/>
                <w:color w:val="auto"/>
              </w:rPr>
            </w:pPr>
            <w:r>
              <w:rPr>
                <w:rFonts w:ascii="Arial" w:cs="Arial" w:eastAsia="Arial" w:hAnsi="Arial"/>
                <w:sz w:val="18"/>
                <w:szCs w:val="18"/>
                <w:color w:val="auto"/>
              </w:rPr>
              <w:t>Funds from Operations attributable to Boston Properties Limited Partnership common unitholders (1)</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297,961</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263,243</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0"/>
        </w:trPr>
        <w:tc>
          <w:tcPr>
            <w:tcW w:w="864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Weighted average shares outstanding—basic</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173,150</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172,659</w:t>
            </w:r>
          </w:p>
        </w:tc>
      </w:tr>
      <w:tr>
        <w:trPr>
          <w:trHeight w:val="285"/>
        </w:trPr>
        <w:tc>
          <w:tcPr>
            <w:tcW w:w="864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3" w:lineRule="exact"/>
        <w:rPr>
          <w:sz w:val="20"/>
          <w:szCs w:val="20"/>
          <w:color w:val="auto"/>
        </w:rPr>
      </w:pPr>
    </w:p>
    <w:p>
      <w:pPr>
        <w:ind w:left="640" w:hanging="315"/>
        <w:spacing w:after="0"/>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Our calculation includes OP Units and vested LTIP Units (including vested 2012 OPP Units and vested 2013 - 2018 MYLTIP Units).</w:t>
      </w:r>
    </w:p>
    <w:p>
      <w:pPr>
        <w:spacing w:after="0" w:line="200" w:lineRule="exact"/>
        <w:rPr>
          <w:rFonts w:ascii="Arial" w:cs="Arial" w:eastAsia="Arial" w:hAnsi="Arial"/>
          <w:sz w:val="16"/>
          <w:szCs w:val="16"/>
          <w:color w:val="auto"/>
        </w:rPr>
      </w:pPr>
    </w:p>
    <w:p>
      <w:pPr>
        <w:spacing w:after="0" w:line="344"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to Diluted Funds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Funds from Operations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 based compensation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Funds from Operations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ind w:right="1258"/>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ind w:right="1257"/>
              <w:spacing w:after="0"/>
              <w:rPr>
                <w:sz w:val="20"/>
                <w:szCs w:val="20"/>
                <w:color w:val="auto"/>
              </w:rPr>
            </w:pPr>
            <w:r>
              <w:rPr>
                <w:rFonts w:ascii="Arial" w:cs="Arial" w:eastAsia="Arial" w:hAnsi="Arial"/>
                <w:sz w:val="16"/>
                <w:szCs w:val="16"/>
                <w:b w:val="1"/>
                <w:bCs w:val="1"/>
                <w:color w:val="auto"/>
                <w:w w:val="95"/>
              </w:rPr>
              <w:t>2020</w:t>
            </w:r>
          </w:p>
        </w:tc>
      </w:tr>
      <w:tr>
        <w:trPr>
          <w:trHeight w:val="201"/>
        </w:trPr>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4"/>
          </w:tcPr>
          <w:p>
            <w:pPr>
              <w:jc w:val="right"/>
              <w:ind w:right="755"/>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64"/>
        </w:trPr>
        <w:tc>
          <w:tcPr>
            <w:tcW w:w="180" w:type="dxa"/>
            <w:vAlign w:val="bottom"/>
          </w:tcPr>
          <w:p>
            <w:pPr>
              <w:spacing w:after="0"/>
              <w:rPr>
                <w:sz w:val="14"/>
                <w:szCs w:val="14"/>
                <w:color w:val="auto"/>
              </w:rPr>
            </w:pPr>
          </w:p>
        </w:tc>
        <w:tc>
          <w:tcPr>
            <w:tcW w:w="1140" w:type="dxa"/>
            <w:vAlign w:val="bottom"/>
          </w:tcPr>
          <w:p>
            <w:pPr>
              <w:jc w:val="right"/>
              <w:ind w:right="255"/>
              <w:spacing w:after="0" w:line="165" w:lineRule="exact"/>
              <w:rPr>
                <w:sz w:val="20"/>
                <w:szCs w:val="20"/>
                <w:color w:val="auto"/>
              </w:rPr>
            </w:pPr>
            <w:r>
              <w:rPr>
                <w:rFonts w:ascii="Arial" w:cs="Arial" w:eastAsia="Arial" w:hAnsi="Arial"/>
                <w:sz w:val="16"/>
                <w:szCs w:val="16"/>
                <w:b w:val="1"/>
                <w:bCs w:val="1"/>
                <w:color w:val="auto"/>
              </w:rPr>
              <w:t>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ind w:left="280"/>
              <w:spacing w:after="0" w:line="165" w:lineRule="exact"/>
              <w:rPr>
                <w:sz w:val="20"/>
                <w:szCs w:val="20"/>
                <w:color w:val="auto"/>
              </w:rPr>
            </w:pPr>
            <w:r>
              <w:rPr>
                <w:rFonts w:ascii="Arial" w:cs="Arial" w:eastAsia="Arial" w:hAnsi="Arial"/>
                <w:sz w:val="16"/>
                <w:szCs w:val="16"/>
                <w:b w:val="1"/>
                <w:bCs w:val="1"/>
                <w:color w:val="auto"/>
              </w:rPr>
              <w:t>Shares/Units</w:t>
            </w:r>
          </w:p>
        </w:tc>
        <w:tc>
          <w:tcPr>
            <w:tcW w:w="180" w:type="dxa"/>
            <w:vAlign w:val="bottom"/>
          </w:tcPr>
          <w:p>
            <w:pPr>
              <w:spacing w:after="0"/>
              <w:rPr>
                <w:sz w:val="14"/>
                <w:szCs w:val="14"/>
                <w:color w:val="auto"/>
              </w:rPr>
            </w:pPr>
          </w:p>
        </w:tc>
        <w:tc>
          <w:tcPr>
            <w:tcW w:w="1140" w:type="dxa"/>
            <w:vAlign w:val="bottom"/>
          </w:tcPr>
          <w:p>
            <w:pPr>
              <w:jc w:val="right"/>
              <w:ind w:right="255"/>
              <w:spacing w:after="0" w:line="165" w:lineRule="exact"/>
              <w:rPr>
                <w:sz w:val="20"/>
                <w:szCs w:val="20"/>
                <w:color w:val="auto"/>
              </w:rPr>
            </w:pPr>
            <w:r>
              <w:rPr>
                <w:rFonts w:ascii="Arial" w:cs="Arial" w:eastAsia="Arial" w:hAnsi="Arial"/>
                <w:sz w:val="16"/>
                <w:szCs w:val="16"/>
                <w:b w:val="1"/>
                <w:bCs w:val="1"/>
                <w:color w:val="auto"/>
              </w:rPr>
              <w:t>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ind w:right="177"/>
              <w:spacing w:after="0" w:line="165" w:lineRule="exact"/>
              <w:rPr>
                <w:sz w:val="20"/>
                <w:szCs w:val="20"/>
                <w:color w:val="auto"/>
              </w:rPr>
            </w:pPr>
            <w:r>
              <w:rPr>
                <w:rFonts w:ascii="Arial" w:cs="Arial" w:eastAsia="Arial" w:hAnsi="Arial"/>
                <w:sz w:val="16"/>
                <w:szCs w:val="16"/>
                <w:b w:val="1"/>
                <w:bCs w:val="1"/>
                <w:color w:val="auto"/>
              </w:rPr>
              <w:t>Shares/Units</w:t>
            </w:r>
          </w:p>
        </w:tc>
      </w:tr>
      <w:tr>
        <w:trPr>
          <w:trHeight w:val="213"/>
        </w:trPr>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(Numerator)</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(Denominator)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(Numerator)</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137"/>
              <w:spacing w:after="0"/>
              <w:rPr>
                <w:sz w:val="20"/>
                <w:szCs w:val="20"/>
                <w:color w:val="auto"/>
              </w:rPr>
            </w:pPr>
            <w:r>
              <w:rPr>
                <w:rFonts w:ascii="Arial" w:cs="Arial" w:eastAsia="Arial" w:hAnsi="Arial"/>
                <w:sz w:val="16"/>
                <w:szCs w:val="16"/>
                <w:b w:val="1"/>
                <w:bCs w:val="1"/>
                <w:color w:val="auto"/>
              </w:rPr>
              <w:t>(Denominator)</w:t>
            </w:r>
          </w:p>
        </w:tc>
      </w:tr>
      <w:tr>
        <w:trPr>
          <w:trHeight w:val="218"/>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297,961</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173,150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263,243</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172,659</w:t>
            </w:r>
          </w:p>
        </w:tc>
      </w:tr>
      <w:tr>
        <w:trPr>
          <w:trHeight w:val="453"/>
        </w:trPr>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297,961</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173,562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263,243</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172,680</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-624205</wp:posOffset>
            </wp:positionV>
            <wp:extent cx="7134225" cy="151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15176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-328930</wp:posOffset>
            </wp:positionV>
            <wp:extent cx="7134225" cy="143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637" w:lineRule="exact"/>
        <w:rPr>
          <w:sz w:val="20"/>
          <w:szCs w:val="20"/>
          <w:color w:val="auto"/>
        </w:rPr>
      </w:pPr>
    </w:p>
    <w:p>
      <w:pPr>
        <w:sectPr>
          <w:pgSz w:w="11900" w:h="16838" w:orient="portrait"/>
          <w:cols w:equalWidth="0" w:num="2">
            <w:col w:w="4360" w:space="720"/>
            <w:col w:w="6160"/>
          </w:cols>
          <w:pgMar w:left="320" w:top="298" w:right="339" w:bottom="1440" w:gutter="0" w:footer="0" w:header="0"/>
        </w:sectPr>
      </w:pPr>
    </w:p>
    <w:p>
      <w:pPr>
        <w:ind w:right="80" w:firstLine="439"/>
        <w:spacing w:after="0" w:line="249" w:lineRule="auto"/>
        <w:rPr>
          <w:sz w:val="20"/>
          <w:szCs w:val="20"/>
          <w:color w:val="auto"/>
        </w:rPr>
      </w:pPr>
      <w:r>
        <w:rPr>
          <w:rFonts w:ascii="Arial" w:cs="Arial" w:eastAsia="Arial" w:hAnsi="Arial"/>
          <w:sz w:val="18"/>
          <w:szCs w:val="18"/>
          <w:color w:val="auto"/>
        </w:rPr>
        <w:t>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w:t>
      </w:r>
    </w:p>
    <w:p>
      <w:pPr>
        <w:spacing w:after="0" w:line="154" w:lineRule="exact"/>
        <w:rPr>
          <w:sz w:val="20"/>
          <w:szCs w:val="20"/>
          <w:color w:val="auto"/>
        </w:rPr>
      </w:pPr>
    </w:p>
    <w:p>
      <w:pPr>
        <w:ind w:right="300" w:firstLine="439"/>
        <w:spacing w:after="0" w:line="252" w:lineRule="auto"/>
        <w:rPr>
          <w:sz w:val="20"/>
          <w:szCs w:val="20"/>
          <w:color w:val="auto"/>
        </w:rPr>
      </w:pPr>
      <w:r>
        <w:rPr>
          <w:rFonts w:ascii="Arial" w:cs="Arial" w:eastAsia="Arial" w:hAnsi="Arial"/>
          <w:sz w:val="18"/>
          <w:szCs w:val="18"/>
          <w:color w:val="auto"/>
        </w:rPr>
        <w:t>During the three months ended June 30, 2021, we paid approximately $78.9 million to fund tenant-related obligations, including tenant improvements and leasing commissions.</w:t>
      </w:r>
    </w:p>
    <w:p>
      <w:pPr>
        <w:spacing w:after="0" w:line="150" w:lineRule="exact"/>
        <w:rPr>
          <w:sz w:val="20"/>
          <w:szCs w:val="20"/>
          <w:color w:val="auto"/>
        </w:rPr>
      </w:pPr>
    </w:p>
    <w:p>
      <w:pPr>
        <w:ind w:right="80" w:firstLine="439"/>
        <w:spacing w:after="0" w:line="248" w:lineRule="auto"/>
        <w:rPr>
          <w:sz w:val="20"/>
          <w:szCs w:val="20"/>
          <w:color w:val="auto"/>
        </w:rPr>
      </w:pPr>
      <w:r>
        <w:rPr>
          <w:rFonts w:ascii="Arial" w:cs="Arial" w:eastAsia="Arial" w:hAnsi="Arial"/>
          <w:sz w:val="18"/>
          <w:szCs w:val="18"/>
          <w:color w:val="auto"/>
        </w:rPr>
        <w:t xml:space="preserve">In addition, during the three months ended June 30, 2021, we and our unconsolidated joint venture partners incurred approximately $122 million of new tenant-related obligations associated with approximately 1.2 million square feet, which included lease modifications related to COVID-19, of second generation leases, or approximately $98 per square foot. We did not sign any first generation leases. The tenant-related obligations for the development properties are included within the projects’ “Estimated Total Investment” referred to in </w:t>
      </w:r>
      <w:r>
        <w:rPr>
          <w:rFonts w:ascii="Arial" w:cs="Arial" w:eastAsia="Arial" w:hAnsi="Arial"/>
          <w:sz w:val="18"/>
          <w:szCs w:val="18"/>
          <w:i w:val="1"/>
          <w:iCs w:val="1"/>
          <w:color w:val="auto"/>
        </w:rPr>
        <w:t>“Item 2—Management’s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Quantitative and Qualitative Disclosures about Market Risk.</w:t>
      </w:r>
    </w:p>
    <w:p>
      <w:pPr>
        <w:spacing w:after="0" w:line="108" w:lineRule="exact"/>
        <w:rPr>
          <w:sz w:val="20"/>
          <w:szCs w:val="20"/>
          <w:color w:val="auto"/>
        </w:rPr>
      </w:pPr>
    </w:p>
    <w:p>
      <w:pPr>
        <w:ind w:right="40" w:firstLine="439"/>
        <w:spacing w:after="0" w:line="248" w:lineRule="auto"/>
        <w:rPr>
          <w:sz w:val="20"/>
          <w:szCs w:val="20"/>
          <w:color w:val="auto"/>
        </w:rPr>
      </w:pPr>
      <w:r>
        <w:rPr>
          <w:rFonts w:ascii="Arial" w:cs="Arial" w:eastAsia="Arial" w:hAnsi="Arial"/>
          <w:sz w:val="18"/>
          <w:szCs w:val="18"/>
          <w:color w:val="auto"/>
        </w:rPr>
        <w:t>The following table presents the aggregate carrying value of our mortgage notes payable, net, unsecured senior notes, net, unsecured line of credit and our corresponding estimate of fair value as of June 30, 2021. As of June 30, 2021, all of these borrowings bore interest at fixed rates and therefore the fair value of these instruments is affected by changes in the market interest rates. The following table presents our aggregate debt obligations with corresponding weighted-average interest rates sorted by maturity date.</w:t>
      </w:r>
    </w:p>
    <w:p>
      <w:pPr>
        <w:spacing w:after="0" w:line="155" w:lineRule="exact"/>
        <w:rPr>
          <w:sz w:val="20"/>
          <w:szCs w:val="20"/>
          <w:color w:val="auto"/>
        </w:rPr>
      </w:pPr>
    </w:p>
    <w:p>
      <w:pPr>
        <w:jc w:val="both"/>
        <w:ind w:right="320" w:firstLine="439"/>
        <w:spacing w:after="0" w:line="249" w:lineRule="auto"/>
        <w:rPr>
          <w:sz w:val="20"/>
          <w:szCs w:val="20"/>
          <w:color w:val="auto"/>
        </w:rPr>
      </w:pPr>
      <w:r>
        <w:rPr>
          <w:rFonts w:ascii="Arial" w:cs="Arial" w:eastAsia="Arial" w:hAnsi="Arial"/>
          <w:sz w:val="18"/>
          <w:szCs w:val="18"/>
          <w:color w:val="auto"/>
        </w:rPr>
        <w:t>The table below does not include our unconsolidated joint venture debt. For a discussion concerning our unconsolidated joint venture debt, see Note 5 to the Consolidated Financial Statements and “</w:t>
      </w:r>
      <w:r>
        <w:rPr>
          <w:rFonts w:ascii="Arial" w:cs="Arial" w:eastAsia="Arial" w:hAnsi="Arial"/>
          <w:sz w:val="18"/>
          <w:szCs w:val="18"/>
          <w:i w:val="1"/>
          <w:iCs w:val="1"/>
          <w:color w:val="auto"/>
        </w:rPr>
        <w:t>Item 2</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Operations—Capitalization—Off-Balance Sheet Arrangements—Joint Venture Indebtedness.</w:t>
      </w:r>
      <w:r>
        <w:rPr>
          <w:rFonts w:ascii="Arial" w:cs="Arial" w:eastAsia="Arial" w:hAnsi="Arial"/>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5"/>
          </w:tcPr>
          <w:p>
            <w:pPr>
              <w:jc w:val="center"/>
              <w:ind w:right="280"/>
              <w:spacing w:after="0" w:line="140"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Mortgage debt, net</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6,068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611,132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(3,494)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2,294,991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2,901,709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3,053,824</w:t>
            </w:r>
          </w:p>
        </w:tc>
        <w:tc>
          <w:tcPr>
            <w:tcW w:w="0" w:type="dxa"/>
            <w:vAlign w:val="bottom"/>
          </w:tcPr>
          <w:p>
            <w:pPr>
              <w:spacing w:after="0"/>
              <w:rPr>
                <w:sz w:val="1"/>
                <w:szCs w:val="1"/>
                <w:color w:val="auto"/>
              </w:rPr>
            </w:pPr>
          </w:p>
        </w:tc>
      </w:tr>
      <w:tr>
        <w:trPr>
          <w:trHeight w:val="151"/>
        </w:trPr>
        <w:tc>
          <w:tcPr>
            <w:tcW w:w="1260" w:type="dxa"/>
            <w:vAlign w:val="bottom"/>
          </w:tcPr>
          <w:p>
            <w:pPr>
              <w:ind w:left="20"/>
              <w:spacing w:after="0" w:line="151" w:lineRule="exact"/>
              <w:rPr>
                <w:sz w:val="20"/>
                <w:szCs w:val="20"/>
                <w:color w:val="auto"/>
              </w:rPr>
            </w:pPr>
            <w:r>
              <w:rPr>
                <w:rFonts w:ascii="Arial" w:cs="Arial" w:eastAsia="Arial" w:hAnsi="Arial"/>
                <w:sz w:val="14"/>
                <w:szCs w:val="14"/>
                <w:color w:val="auto"/>
              </w:rPr>
              <w:t>GAAP Average</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4.79 %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4.79 %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620"/>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3"/>
                <w:szCs w:val="13"/>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3"/>
                <w:szCs w:val="13"/>
                <w:color w:val="auto"/>
              </w:rPr>
            </w:pPr>
          </w:p>
        </w:tc>
        <w:tc>
          <w:tcPr>
            <w:tcW w:w="980" w:type="dxa"/>
            <w:vAlign w:val="bottom"/>
            <w:gridSpan w:val="2"/>
            <w:vMerge w:val="restart"/>
          </w:tcPr>
          <w:p>
            <w:pPr>
              <w:ind w:left="54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3.64 %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3.89 %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6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Unsecured debt, net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(5,528)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(11,131)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1,489,938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691,203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842,473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6,627,401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9,634,356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10,385,016</w:t>
            </w:r>
          </w:p>
        </w:tc>
        <w:tc>
          <w:tcPr>
            <w:tcW w:w="0" w:type="dxa"/>
            <w:vAlign w:val="bottom"/>
          </w:tcPr>
          <w:p>
            <w:pPr>
              <w:spacing w:after="0"/>
              <w:rPr>
                <w:sz w:val="1"/>
                <w:szCs w:val="1"/>
                <w:color w:val="auto"/>
              </w:rPr>
            </w:pPr>
          </w:p>
        </w:tc>
      </w:tr>
      <w:tr>
        <w:trPr>
          <w:trHeight w:val="151"/>
        </w:trPr>
        <w:tc>
          <w:tcPr>
            <w:tcW w:w="1260" w:type="dxa"/>
            <w:vAlign w:val="bottom"/>
          </w:tcPr>
          <w:p>
            <w:pPr>
              <w:ind w:left="20"/>
              <w:spacing w:after="0" w:line="151" w:lineRule="exact"/>
              <w:rPr>
                <w:sz w:val="20"/>
                <w:szCs w:val="20"/>
                <w:color w:val="auto"/>
              </w:rPr>
            </w:pPr>
            <w:r>
              <w:rPr>
                <w:rFonts w:ascii="Arial" w:cs="Arial" w:eastAsia="Arial" w:hAnsi="Arial"/>
                <w:sz w:val="14"/>
                <w:szCs w:val="14"/>
                <w:color w:val="auto"/>
              </w:rPr>
              <w:t>GAAP Average</w:t>
            </w:r>
          </w:p>
        </w:tc>
        <w:tc>
          <w:tcPr>
            <w:tcW w:w="240" w:type="dxa"/>
            <w:vAlign w:val="bottom"/>
          </w:tcPr>
          <w:p>
            <w:pPr>
              <w:spacing w:after="0"/>
              <w:rPr>
                <w:sz w:val="13"/>
                <w:szCs w:val="13"/>
                <w:color w:val="auto"/>
              </w:rPr>
            </w:pPr>
          </w:p>
        </w:tc>
        <w:tc>
          <w:tcPr>
            <w:tcW w:w="940" w:type="dxa"/>
            <w:vAlign w:val="bottom"/>
            <w:gridSpan w:val="2"/>
            <w:vMerge w:val="restart"/>
          </w:tcPr>
          <w:p>
            <w:pPr>
              <w:ind w:left="50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3"/>
                <w:szCs w:val="13"/>
                <w:color w:val="auto"/>
              </w:rPr>
            </w:pPr>
          </w:p>
        </w:tc>
        <w:tc>
          <w:tcPr>
            <w:tcW w:w="980" w:type="dxa"/>
            <w:vAlign w:val="bottom"/>
            <w:gridSpan w:val="2"/>
            <w:vMerge w:val="restart"/>
          </w:tcPr>
          <w:p>
            <w:pPr>
              <w:ind w:left="54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3.73 %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3.92 %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3.35 %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3.52 %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3.57 %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6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126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600,001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1,486,444</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687,709</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838,979</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8,922,392</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12,536,065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13,438,840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30, 2021, the weighted-average coupon/stated rates on the fixed rate debt stated above was 3.54% per annum.</w:t>
      </w:r>
    </w:p>
    <w:p>
      <w:pPr>
        <w:spacing w:after="0" w:line="165" w:lineRule="exact"/>
        <w:rPr>
          <w:sz w:val="20"/>
          <w:szCs w:val="20"/>
          <w:color w:val="auto"/>
        </w:rPr>
      </w:pPr>
    </w:p>
    <w:p>
      <w:pPr>
        <w:ind w:right="20" w:firstLine="439"/>
        <w:spacing w:after="0" w:line="249" w:lineRule="auto"/>
        <w:rPr>
          <w:sz w:val="20"/>
          <w:szCs w:val="20"/>
          <w:color w:val="auto"/>
        </w:rPr>
      </w:pPr>
      <w:r>
        <w:rPr>
          <w:rFonts w:ascii="Arial" w:cs="Arial" w:eastAsia="Arial" w:hAnsi="Arial"/>
          <w:sz w:val="18"/>
          <w:szCs w:val="18"/>
          <w:color w:val="auto"/>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pacing w:after="0" w:line="154" w:lineRule="exact"/>
        <w:rPr>
          <w:sz w:val="20"/>
          <w:szCs w:val="20"/>
          <w:color w:val="auto"/>
        </w:rPr>
      </w:pPr>
    </w:p>
    <w:p>
      <w:pPr>
        <w:ind w:right="140" w:firstLine="439"/>
        <w:spacing w:after="0" w:line="248" w:lineRule="auto"/>
        <w:rPr>
          <w:sz w:val="20"/>
          <w:szCs w:val="20"/>
          <w:color w:val="auto"/>
        </w:rPr>
      </w:pPr>
      <w:r>
        <w:rPr>
          <w:rFonts w:ascii="Arial" w:cs="Arial" w:eastAsia="Arial" w:hAnsi="Arial"/>
          <w:sz w:val="18"/>
          <w:szCs w:val="18"/>
          <w:color w:val="auto"/>
        </w:rPr>
        <w:t>On March 5, 2021, the Financial Conduct Authority (“FCA”) announced that USD LIBOR will no longer be published after June 30, 2023. This announcement has several implications, including setting the spread that may be used to automatically convert contracts from LIBOR to the Secured Overnight Financing Rate (“SOFR”). Additionally, banking regulators are encouraging banks to discontinue new LIBOR debt issuances by December 31, 2021.</w:t>
      </w:r>
    </w:p>
    <w:p>
      <w:pPr>
        <w:spacing w:after="0" w:line="155" w:lineRule="exact"/>
        <w:rPr>
          <w:sz w:val="20"/>
          <w:szCs w:val="20"/>
          <w:color w:val="auto"/>
        </w:rPr>
      </w:pPr>
    </w:p>
    <w:p>
      <w:pPr>
        <w:jc w:val="both"/>
        <w:ind w:right="120" w:firstLine="439"/>
        <w:spacing w:after="0" w:line="248" w:lineRule="auto"/>
        <w:rPr>
          <w:sz w:val="20"/>
          <w:szCs w:val="20"/>
          <w:color w:val="auto"/>
        </w:rPr>
      </w:pPr>
      <w:r>
        <w:rPr>
          <w:rFonts w:ascii="Arial" w:cs="Arial" w:eastAsia="Arial" w:hAnsi="Arial"/>
          <w:sz w:val="18"/>
          <w:szCs w:val="18"/>
          <w:color w:val="auto"/>
        </w:rPr>
        <w:t>We anticipate that LIBOR will continue to be available at least until June 30, 2023. Any changes adopted by the FCA or other governing bodies in the method used for determining LIBOR may result in a sudden or prolonged increase or decrease in reported LIBOR. If that were to occur, our interest payments could change. In addition, uncertainty about the extent and manner of future changes may result in interest rates and/or payments that are higher or lower than if LIBOR were to remain available in its current form.</w:t>
      </w:r>
    </w:p>
    <w:p>
      <w:pPr>
        <w:spacing w:after="0" w:line="155" w:lineRule="exact"/>
        <w:rPr>
          <w:sz w:val="20"/>
          <w:szCs w:val="20"/>
          <w:color w:val="auto"/>
        </w:rPr>
      </w:pPr>
    </w:p>
    <w:p>
      <w:pPr>
        <w:ind w:right="180" w:firstLine="439"/>
        <w:spacing w:after="0" w:line="247" w:lineRule="auto"/>
        <w:rPr>
          <w:sz w:val="20"/>
          <w:szCs w:val="20"/>
          <w:color w:val="auto"/>
        </w:rPr>
      </w:pPr>
      <w:r>
        <w:rPr>
          <w:rFonts w:ascii="Arial" w:cs="Arial" w:eastAsia="Arial" w:hAnsi="Arial"/>
          <w:sz w:val="18"/>
          <w:szCs w:val="18"/>
          <w:color w:val="auto"/>
        </w:rPr>
        <w:t>We and our unconsolidated joint ventures have contracts that are indexed to LIBOR and we are monitoring and evaluating the related risks. These risks arise in connection with transitioning contracts to an alternative rate, including any resulting value transfer that may occur, and are likely to vary by contract. The value of loans, securities, or derivative instruments tied to LIBOR, as well as interest rates on our unconsolidated joint ventures current or future indebtedness, may also be impacted if LIBOR is limited or discontinued. For some instruments the method of transitioning to an alternative reference rate may be challenging, especially if we cannot agree with the respective counterparty about how to make the transition.</w:t>
      </w:r>
    </w:p>
    <w:p>
      <w:pPr>
        <w:spacing w:after="0" w:line="158"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While we expect LIBOR to be available in substantially its current form until at least the end of June 30, 2023, it is possible that LIBOR will become unavailable prior to that point. This could result, for example, if sufficient banks decline to make submissions to the LIBOR administrator. In that case, the risks associated with the transition to an alternative reference rate will be accelerated and magnified.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500" w:firstLine="439"/>
        <w:spacing w:after="0" w:line="249" w:lineRule="auto"/>
        <w:rPr>
          <w:sz w:val="20"/>
          <w:szCs w:val="20"/>
          <w:color w:val="auto"/>
        </w:rPr>
      </w:pPr>
      <w:r>
        <w:rPr>
          <w:rFonts w:ascii="Arial" w:cs="Arial" w:eastAsia="Arial" w:hAnsi="Arial"/>
          <w:sz w:val="18"/>
          <w:szCs w:val="18"/>
          <w:color w:val="auto"/>
        </w:rPr>
        <w:t>Alternative rates and other market changes related to the replacement of LIBOR, including the introduction of financial products and changes in market practices, may lead to risk modeling and valuation challenges, such as adjusting interest rate accrual calculations and building a term structure for an alternative rate.</w:t>
      </w:r>
    </w:p>
    <w:p>
      <w:pPr>
        <w:spacing w:after="0" w:line="154" w:lineRule="exact"/>
        <w:rPr>
          <w:sz w:val="20"/>
          <w:szCs w:val="20"/>
          <w:color w:val="auto"/>
        </w:rPr>
      </w:pPr>
    </w:p>
    <w:p>
      <w:pPr>
        <w:ind w:right="100" w:firstLine="439"/>
        <w:spacing w:after="0" w:line="252" w:lineRule="auto"/>
        <w:rPr>
          <w:sz w:val="20"/>
          <w:szCs w:val="20"/>
          <w:color w:val="auto"/>
        </w:rPr>
      </w:pPr>
      <w:r>
        <w:rPr>
          <w:rFonts w:ascii="Arial" w:cs="Arial" w:eastAsia="Arial" w:hAnsi="Arial"/>
          <w:sz w:val="18"/>
          <w:szCs w:val="18"/>
          <w:color w:val="auto"/>
        </w:rPr>
        <w:t>The introduction of an alternative rate also may create additional basis risk and increased volatility as alternative rates are phased in and utilized in parallel with LIBOR.</w:t>
      </w:r>
    </w:p>
    <w:p>
      <w:pPr>
        <w:spacing w:after="0" w:line="150"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Adjustments to systems and mathematical models to properly process and account for alternative rates will be required, which may strain the model risk management and information technology functions and result in substantial incremental costs for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4—Controls and Procedures.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21" w:lineRule="exact"/>
        <w:rPr>
          <w:sz w:val="20"/>
          <w:szCs w:val="20"/>
          <w:color w:val="auto"/>
        </w:rPr>
      </w:pPr>
    </w:p>
    <w:p>
      <w:pPr>
        <w:ind w:firstLine="445"/>
        <w:spacing w:after="0" w:line="248"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our management, with the participation of Boston Properties, Inc.’s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Boston Properties, Inc.’s Chief Executive Officer and Chief Financial Officer concluded that these disclosure controls and procedures were effective as of the end of the period covered by this report.</w:t>
      </w:r>
    </w:p>
    <w:p>
      <w:pPr>
        <w:spacing w:after="0" w:line="153" w:lineRule="exact"/>
        <w:rPr>
          <w:rFonts w:ascii="Arial" w:cs="Arial" w:eastAsia="Arial" w:hAnsi="Arial"/>
          <w:sz w:val="18"/>
          <w:szCs w:val="18"/>
          <w:color w:val="auto"/>
        </w:rPr>
      </w:pPr>
    </w:p>
    <w:p>
      <w:pPr>
        <w:ind w:right="40" w:firstLine="445"/>
        <w:spacing w:after="0" w:line="248"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Boston Properties, Inc.’s internal control over financial reporting (as defined in Rule 13a-15(f) under the Securities Exchange Act of 1934, as amended) occurred during the second quarter of our fiscal year ending December 31, 2021 that has materially affected, or is reasonably likely to materially affect, Boston Properties, Inc.’s internal control over financial reporting.</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08" w:lineRule="exact"/>
        <w:rPr>
          <w:sz w:val="20"/>
          <w:szCs w:val="20"/>
          <w:color w:val="auto"/>
        </w:rPr>
      </w:pPr>
    </w:p>
    <w:p>
      <w:pPr>
        <w:ind w:right="60" w:firstLine="445"/>
        <w:spacing w:after="0" w:line="247"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the management of Boston Properties,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Boston Properties, Inc. concluded that these disclosure controls and procedures were effective as of the end of the period covered by this report.</w:t>
      </w:r>
    </w:p>
    <w:p>
      <w:pPr>
        <w:spacing w:after="0" w:line="157" w:lineRule="exact"/>
        <w:rPr>
          <w:rFonts w:ascii="Arial" w:cs="Arial" w:eastAsia="Arial" w:hAnsi="Arial"/>
          <w:sz w:val="18"/>
          <w:szCs w:val="18"/>
          <w:color w:val="auto"/>
        </w:rPr>
      </w:pPr>
    </w:p>
    <w:p>
      <w:pPr>
        <w:ind w:firstLine="445"/>
        <w:spacing w:after="0" w:line="249"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its internal control over financial reporting (as defined in Rule 13a-15(f) under the Securities Exchange Act of 1934, as amended) occurred during the second quarter of our fiscal year ending December 31, 2021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1—Legal Proceedings.</w:t>
      </w:r>
    </w:p>
    <w:p>
      <w:pPr>
        <w:spacing w:after="0" w:line="121" w:lineRule="exact"/>
        <w:rPr>
          <w:sz w:val="20"/>
          <w:szCs w:val="20"/>
          <w:color w:val="auto"/>
        </w:rPr>
      </w:pPr>
    </w:p>
    <w:p>
      <w:pPr>
        <w:ind w:right="80" w:firstLine="439"/>
        <w:spacing w:after="0" w:line="249" w:lineRule="auto"/>
        <w:rPr>
          <w:sz w:val="20"/>
          <w:szCs w:val="20"/>
          <w:color w:val="auto"/>
        </w:rPr>
      </w:pPr>
      <w:r>
        <w:rPr>
          <w:rFonts w:ascii="Arial" w:cs="Arial" w:eastAsia="Arial" w:hAnsi="Arial"/>
          <w:sz w:val="18"/>
          <w:szCs w:val="18"/>
          <w:color w:val="auto"/>
        </w:rPr>
        <w:t>We are subject to legal proceedings and claims that arise in the ordinary course of business. These matters are generally covered by insurance. Management believes that the final outcome of such matters will not have a material adverse effect on our financial position, results of operations or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121" w:lineRule="exact"/>
        <w:rPr>
          <w:sz w:val="20"/>
          <w:szCs w:val="20"/>
          <w:color w:val="auto"/>
        </w:rPr>
      </w:pPr>
    </w:p>
    <w:p>
      <w:pPr>
        <w:ind w:right="80" w:firstLine="439"/>
        <w:spacing w:after="0" w:line="248" w:lineRule="auto"/>
        <w:rPr>
          <w:sz w:val="20"/>
          <w:szCs w:val="20"/>
          <w:color w:val="auto"/>
        </w:rPr>
      </w:pPr>
      <w:r>
        <w:rPr>
          <w:rFonts w:ascii="Arial" w:cs="Arial" w:eastAsia="Arial" w:hAnsi="Arial"/>
          <w:sz w:val="18"/>
          <w:szCs w:val="18"/>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2020.</w:t>
      </w:r>
    </w:p>
    <w:p>
      <w:pPr>
        <w:spacing w:after="0" w:line="120" w:lineRule="exact"/>
        <w:rPr>
          <w:sz w:val="20"/>
          <w:szCs w:val="20"/>
          <w:color w:val="auto"/>
        </w:rPr>
      </w:pPr>
    </w:p>
    <w:p>
      <w:pPr>
        <w:ind w:right="200" w:firstLine="439"/>
        <w:spacing w:after="0" w:line="247" w:lineRule="auto"/>
        <w:rPr>
          <w:sz w:val="20"/>
          <w:szCs w:val="20"/>
          <w:color w:val="auto"/>
        </w:rPr>
      </w:pPr>
      <w:r>
        <w:rPr>
          <w:rFonts w:ascii="Arial" w:cs="Arial" w:eastAsia="Arial" w:hAnsi="Arial"/>
          <w:sz w:val="18"/>
          <w:szCs w:val="18"/>
          <w:b w:val="1"/>
          <w:bCs w:val="1"/>
          <w:i w:val="1"/>
          <w:iCs w:val="1"/>
          <w:color w:val="auto"/>
        </w:rPr>
        <w:t>Our use of joint ventures and participation in a co-investment program may limit our flexibility with jointly owned investments and other assets we may wish to acquire.</w:t>
      </w:r>
    </w:p>
    <w:p>
      <w:pPr>
        <w:spacing w:after="0" w:line="128"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appropriate circumstances, we intend to acquire and recapitalize or develop, as applicable, properties in joint ventures with other persons or entities. We currently have joint ventures that are and are not consolidated within our financial statements. Our participation in joint ventures subjects us to risks, including but not limited to, the following risks that:</w:t>
      </w:r>
    </w:p>
    <w:p>
      <w:pPr>
        <w:spacing w:after="0" w:line="162" w:lineRule="exact"/>
        <w:rPr>
          <w:sz w:val="20"/>
          <w:szCs w:val="20"/>
          <w:color w:val="auto"/>
        </w:rPr>
      </w:pPr>
    </w:p>
    <w:p>
      <w:pPr>
        <w:ind w:left="640" w:hanging="315"/>
        <w:spacing w:after="0" w:line="221" w:lineRule="auto"/>
        <w:tabs>
          <w:tab w:leader="none" w:pos="628" w:val="left"/>
        </w:tabs>
        <w:numPr>
          <w:ilvl w:val="0"/>
          <w:numId w:val="81"/>
        </w:numPr>
        <w:rPr>
          <w:rFonts w:ascii="Arial" w:cs="Arial" w:eastAsia="Arial" w:hAnsi="Arial"/>
          <w:sz w:val="19"/>
          <w:szCs w:val="19"/>
          <w:color w:val="auto"/>
        </w:rPr>
      </w:pPr>
      <w:r>
        <w:rPr>
          <w:rFonts w:ascii="Arial" w:cs="Arial" w:eastAsia="Arial" w:hAnsi="Arial"/>
          <w:sz w:val="18"/>
          <w:szCs w:val="18"/>
          <w:color w:val="auto"/>
        </w:rPr>
        <w:t>our joint venture partners may have different objectives than we have regarding the appropriate timing and terms of any sale or refinancing of a property, its operation or, if applicable, the commencement of development activities, and we could become engaged in a dispute with any of our joint venture partners that could lead to the sale of either parties’ ownership interest or the property;</w:t>
      </w:r>
    </w:p>
    <w:p>
      <w:pPr>
        <w:spacing w:after="0" w:line="162" w:lineRule="exact"/>
        <w:rPr>
          <w:rFonts w:ascii="Arial" w:cs="Arial" w:eastAsia="Arial" w:hAnsi="Arial"/>
          <w:sz w:val="19"/>
          <w:szCs w:val="19"/>
          <w:color w:val="auto"/>
        </w:rPr>
      </w:pPr>
    </w:p>
    <w:p>
      <w:pPr>
        <w:ind w:left="640" w:right="360" w:hanging="315"/>
        <w:spacing w:after="0" w:line="224" w:lineRule="auto"/>
        <w:tabs>
          <w:tab w:leader="none" w:pos="628" w:val="left"/>
        </w:tabs>
        <w:numPr>
          <w:ilvl w:val="0"/>
          <w:numId w:val="81"/>
        </w:numPr>
        <w:rPr>
          <w:rFonts w:ascii="Arial" w:cs="Arial" w:eastAsia="Arial" w:hAnsi="Arial"/>
          <w:sz w:val="19"/>
          <w:szCs w:val="19"/>
          <w:color w:val="auto"/>
        </w:rPr>
      </w:pPr>
      <w:r>
        <w:rPr>
          <w:rFonts w:ascii="Arial" w:cs="Arial" w:eastAsia="Arial" w:hAnsi="Arial"/>
          <w:sz w:val="18"/>
          <w:szCs w:val="18"/>
          <w:color w:val="auto"/>
        </w:rPr>
        <w:t>some of our joint ventures are subject to debt and, depending on credit market conditions, the refinancing of such debt may require equity capital calls;</w:t>
      </w:r>
    </w:p>
    <w:p>
      <w:pPr>
        <w:spacing w:after="0" w:line="161" w:lineRule="exact"/>
        <w:rPr>
          <w:rFonts w:ascii="Arial" w:cs="Arial" w:eastAsia="Arial" w:hAnsi="Arial"/>
          <w:sz w:val="19"/>
          <w:szCs w:val="19"/>
          <w:color w:val="auto"/>
        </w:rPr>
      </w:pPr>
    </w:p>
    <w:p>
      <w:pPr>
        <w:ind w:left="640" w:right="40" w:hanging="315"/>
        <w:spacing w:after="0" w:line="221" w:lineRule="auto"/>
        <w:tabs>
          <w:tab w:leader="none" w:pos="628" w:val="left"/>
        </w:tabs>
        <w:numPr>
          <w:ilvl w:val="0"/>
          <w:numId w:val="81"/>
        </w:numPr>
        <w:rPr>
          <w:rFonts w:ascii="Arial" w:cs="Arial" w:eastAsia="Arial" w:hAnsi="Arial"/>
          <w:sz w:val="19"/>
          <w:szCs w:val="19"/>
          <w:color w:val="auto"/>
        </w:rPr>
      </w:pPr>
      <w:r>
        <w:rPr>
          <w:rFonts w:ascii="Arial" w:cs="Arial" w:eastAsia="Arial" w:hAnsi="Arial"/>
          <w:sz w:val="18"/>
          <w:szCs w:val="18"/>
          <w:color w:val="auto"/>
        </w:rPr>
        <w:t>our joint venture partners may be structured differently than us for tax purposes and this could create conflicts of interest, including with respect to our compliance with the REIT requirements, and our REIT status could be jeopardized if any of our joint ventures do not operate in compliance with REIT requirements;</w:t>
      </w:r>
    </w:p>
    <w:p>
      <w:pPr>
        <w:spacing w:after="0" w:line="156" w:lineRule="exact"/>
        <w:rPr>
          <w:rFonts w:ascii="Arial" w:cs="Arial" w:eastAsia="Arial" w:hAnsi="Arial"/>
          <w:sz w:val="19"/>
          <w:szCs w:val="19"/>
          <w:color w:val="auto"/>
        </w:rPr>
      </w:pPr>
    </w:p>
    <w:p>
      <w:pPr>
        <w:ind w:left="640" w:hanging="315"/>
        <w:spacing w:after="0"/>
        <w:tabs>
          <w:tab w:leader="none" w:pos="640" w:val="left"/>
        </w:tabs>
        <w:numPr>
          <w:ilvl w:val="0"/>
          <w:numId w:val="81"/>
        </w:numPr>
        <w:rPr>
          <w:rFonts w:ascii="Arial" w:cs="Arial" w:eastAsia="Arial" w:hAnsi="Arial"/>
          <w:sz w:val="19"/>
          <w:szCs w:val="19"/>
          <w:color w:val="auto"/>
        </w:rPr>
      </w:pPr>
      <w:r>
        <w:rPr>
          <w:rFonts w:ascii="Arial" w:cs="Arial" w:eastAsia="Arial" w:hAnsi="Arial"/>
          <w:sz w:val="18"/>
          <w:szCs w:val="18"/>
          <w:color w:val="auto"/>
        </w:rPr>
        <w:t>our joint venture partners may have competing interests in our markets that could create conflicts of interest;</w:t>
      </w:r>
    </w:p>
    <w:p>
      <w:pPr>
        <w:spacing w:after="0" w:line="153" w:lineRule="exact"/>
        <w:rPr>
          <w:rFonts w:ascii="Arial" w:cs="Arial" w:eastAsia="Arial" w:hAnsi="Arial"/>
          <w:sz w:val="19"/>
          <w:szCs w:val="19"/>
          <w:color w:val="auto"/>
        </w:rPr>
      </w:pPr>
    </w:p>
    <w:p>
      <w:pPr>
        <w:ind w:left="640" w:hanging="315"/>
        <w:spacing w:after="0"/>
        <w:tabs>
          <w:tab w:leader="none" w:pos="640" w:val="left"/>
        </w:tabs>
        <w:numPr>
          <w:ilvl w:val="0"/>
          <w:numId w:val="81"/>
        </w:numPr>
        <w:rPr>
          <w:rFonts w:ascii="Arial" w:cs="Arial" w:eastAsia="Arial" w:hAnsi="Arial"/>
          <w:sz w:val="19"/>
          <w:szCs w:val="19"/>
          <w:color w:val="auto"/>
        </w:rPr>
      </w:pPr>
      <w:r>
        <w:rPr>
          <w:rFonts w:ascii="Arial" w:cs="Arial" w:eastAsia="Arial" w:hAnsi="Arial"/>
          <w:sz w:val="18"/>
          <w:szCs w:val="18"/>
          <w:color w:val="auto"/>
        </w:rPr>
        <w:t>our joint venture partners may default on their obligations, which could necessitate that we fulfill their obligation ourselves;</w:t>
      </w:r>
    </w:p>
    <w:p>
      <w:pPr>
        <w:spacing w:after="0" w:line="153" w:lineRule="exact"/>
        <w:rPr>
          <w:rFonts w:ascii="Arial" w:cs="Arial" w:eastAsia="Arial" w:hAnsi="Arial"/>
          <w:sz w:val="19"/>
          <w:szCs w:val="19"/>
          <w:color w:val="auto"/>
        </w:rPr>
      </w:pPr>
    </w:p>
    <w:p>
      <w:pPr>
        <w:ind w:left="640" w:hanging="315"/>
        <w:spacing w:after="0"/>
        <w:tabs>
          <w:tab w:leader="none" w:pos="640" w:val="left"/>
        </w:tabs>
        <w:numPr>
          <w:ilvl w:val="0"/>
          <w:numId w:val="81"/>
        </w:numPr>
        <w:rPr>
          <w:rFonts w:ascii="Arial" w:cs="Arial" w:eastAsia="Arial" w:hAnsi="Arial"/>
          <w:sz w:val="19"/>
          <w:szCs w:val="19"/>
          <w:color w:val="auto"/>
        </w:rPr>
      </w:pPr>
      <w:r>
        <w:rPr>
          <w:rFonts w:ascii="Arial" w:cs="Arial" w:eastAsia="Arial" w:hAnsi="Arial"/>
          <w:sz w:val="18"/>
          <w:szCs w:val="18"/>
          <w:color w:val="auto"/>
        </w:rPr>
        <w:t>our joint ventures may be unable to repay any amounts that we may loan to them;</w:t>
      </w:r>
    </w:p>
    <w:p>
      <w:pPr>
        <w:spacing w:after="0" w:line="153" w:lineRule="exact"/>
        <w:rPr>
          <w:rFonts w:ascii="Arial" w:cs="Arial" w:eastAsia="Arial" w:hAnsi="Arial"/>
          <w:sz w:val="19"/>
          <w:szCs w:val="19"/>
          <w:color w:val="auto"/>
        </w:rPr>
      </w:pPr>
    </w:p>
    <w:p>
      <w:pPr>
        <w:ind w:left="640" w:hanging="315"/>
        <w:spacing w:after="0"/>
        <w:tabs>
          <w:tab w:leader="none" w:pos="640" w:val="left"/>
        </w:tabs>
        <w:numPr>
          <w:ilvl w:val="0"/>
          <w:numId w:val="81"/>
        </w:numPr>
        <w:rPr>
          <w:rFonts w:ascii="Arial" w:cs="Arial" w:eastAsia="Arial" w:hAnsi="Arial"/>
          <w:sz w:val="19"/>
          <w:szCs w:val="19"/>
          <w:color w:val="auto"/>
        </w:rPr>
      </w:pPr>
      <w:r>
        <w:rPr>
          <w:rFonts w:ascii="Arial" w:cs="Arial" w:eastAsia="Arial" w:hAnsi="Arial"/>
          <w:sz w:val="18"/>
          <w:szCs w:val="18"/>
          <w:color w:val="auto"/>
        </w:rPr>
        <w:t>our joint venture agreements may contain provisions limiting the liquidity of our interest for sale or sale of the entire asset;</w:t>
      </w:r>
    </w:p>
    <w:p>
      <w:pPr>
        <w:spacing w:after="0" w:line="159" w:lineRule="exact"/>
        <w:rPr>
          <w:rFonts w:ascii="Arial" w:cs="Arial" w:eastAsia="Arial" w:hAnsi="Arial"/>
          <w:sz w:val="19"/>
          <w:szCs w:val="19"/>
          <w:color w:val="auto"/>
        </w:rPr>
      </w:pPr>
    </w:p>
    <w:p>
      <w:pPr>
        <w:ind w:left="640" w:right="40" w:hanging="315"/>
        <w:spacing w:after="0" w:line="221" w:lineRule="auto"/>
        <w:tabs>
          <w:tab w:leader="none" w:pos="628" w:val="left"/>
        </w:tabs>
        <w:numPr>
          <w:ilvl w:val="0"/>
          <w:numId w:val="81"/>
        </w:numPr>
        <w:rPr>
          <w:rFonts w:ascii="Arial" w:cs="Arial" w:eastAsia="Arial" w:hAnsi="Arial"/>
          <w:sz w:val="19"/>
          <w:szCs w:val="19"/>
          <w:color w:val="auto"/>
        </w:rPr>
      </w:pPr>
      <w:r>
        <w:rPr>
          <w:rFonts w:ascii="Arial" w:cs="Arial" w:eastAsia="Arial" w:hAnsi="Arial"/>
          <w:sz w:val="18"/>
          <w:szCs w:val="18"/>
          <w:color w:val="auto"/>
        </w:rPr>
        <w:t>our subsidiaries that would be the general partner or managing member of the joint ventures could be generally liable, under applicable law or the governing agreement of a program venture, for the debts and obligations of the venture, subject to certain exculpation and indemnification rights pursuant to the terms of the governing agreement;</w:t>
      </w:r>
    </w:p>
    <w:p>
      <w:pPr>
        <w:spacing w:after="0" w:line="162" w:lineRule="exact"/>
        <w:rPr>
          <w:rFonts w:ascii="Arial" w:cs="Arial" w:eastAsia="Arial" w:hAnsi="Arial"/>
          <w:sz w:val="19"/>
          <w:szCs w:val="19"/>
          <w:color w:val="auto"/>
        </w:rPr>
      </w:pPr>
    </w:p>
    <w:p>
      <w:pPr>
        <w:ind w:left="640" w:right="600" w:hanging="315"/>
        <w:spacing w:after="0" w:line="224" w:lineRule="auto"/>
        <w:tabs>
          <w:tab w:leader="none" w:pos="628" w:val="left"/>
        </w:tabs>
        <w:numPr>
          <w:ilvl w:val="0"/>
          <w:numId w:val="81"/>
        </w:numPr>
        <w:rPr>
          <w:rFonts w:ascii="Arial" w:cs="Arial" w:eastAsia="Arial" w:hAnsi="Arial"/>
          <w:sz w:val="19"/>
          <w:szCs w:val="19"/>
          <w:color w:val="auto"/>
        </w:rPr>
      </w:pPr>
      <w:r>
        <w:rPr>
          <w:rFonts w:ascii="Arial" w:cs="Arial" w:eastAsia="Arial" w:hAnsi="Arial"/>
          <w:sz w:val="18"/>
          <w:szCs w:val="18"/>
          <w:color w:val="auto"/>
        </w:rPr>
        <w:t>our joint venture agreements may contain provisions that would allow partners to remove us as the general partner or managing member in certain cases involving cause;</w:t>
      </w:r>
    </w:p>
    <w:p>
      <w:pPr>
        <w:spacing w:after="0" w:line="161" w:lineRule="exact"/>
        <w:rPr>
          <w:rFonts w:ascii="Arial" w:cs="Arial" w:eastAsia="Arial" w:hAnsi="Arial"/>
          <w:sz w:val="19"/>
          <w:szCs w:val="19"/>
          <w:color w:val="auto"/>
        </w:rPr>
      </w:pPr>
    </w:p>
    <w:p>
      <w:pPr>
        <w:ind w:left="640" w:right="20" w:hanging="315"/>
        <w:spacing w:after="0" w:line="221" w:lineRule="auto"/>
        <w:tabs>
          <w:tab w:leader="none" w:pos="628" w:val="left"/>
        </w:tabs>
        <w:numPr>
          <w:ilvl w:val="0"/>
          <w:numId w:val="81"/>
        </w:numPr>
        <w:rPr>
          <w:rFonts w:ascii="Arial" w:cs="Arial" w:eastAsia="Arial" w:hAnsi="Arial"/>
          <w:sz w:val="19"/>
          <w:szCs w:val="19"/>
          <w:color w:val="auto"/>
        </w:rPr>
      </w:pPr>
      <w:r>
        <w:rPr>
          <w:rFonts w:ascii="Arial" w:cs="Arial" w:eastAsia="Arial" w:hAnsi="Arial"/>
          <w:sz w:val="18"/>
          <w:szCs w:val="18"/>
          <w:color w:val="auto"/>
        </w:rPr>
        <w:t>while we would have discretion to manage joint ventures for which we are the general partner or managing member, our partner(s)’ approval would be required to approve certain matters, and as a result, we may be unable to cause a joint venture to implement certain decisions that we consider beneficial; and</w:t>
      </w:r>
    </w:p>
    <w:p>
      <w:pPr>
        <w:spacing w:after="0" w:line="135" w:lineRule="exact"/>
        <w:rPr>
          <w:rFonts w:ascii="Arial" w:cs="Arial" w:eastAsia="Arial" w:hAnsi="Arial"/>
          <w:sz w:val="19"/>
          <w:szCs w:val="19"/>
          <w:color w:val="auto"/>
        </w:rPr>
      </w:pPr>
    </w:p>
    <w:p>
      <w:pPr>
        <w:ind w:left="640" w:right="80" w:hanging="315"/>
        <w:spacing w:after="0" w:line="225" w:lineRule="auto"/>
        <w:tabs>
          <w:tab w:leader="none" w:pos="6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 respect to our participation in the co-investment program, we could lose opportunities to pursue properties that are within the program’s target investment definition alone or with other partners with whom the terms of the joint venture and/or our returns could be more favorable to us.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Boston Properties, Inc.</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14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Arial" w:cs="Arial" w:eastAsia="Arial" w:hAnsi="Arial"/>
                <w:sz w:val="19"/>
                <w:szCs w:val="19"/>
                <w:color w:val="auto"/>
              </w:rPr>
              <w:t>(a)</w:t>
            </w:r>
          </w:p>
        </w:tc>
        <w:tc>
          <w:tcPr>
            <w:tcW w:w="3320" w:type="dxa"/>
            <w:vAlign w:val="bottom"/>
          </w:tcPr>
          <w:p>
            <w:pPr>
              <w:ind w:left="140"/>
              <w:spacing w:after="0"/>
              <w:rPr>
                <w:sz w:val="20"/>
                <w:szCs w:val="20"/>
                <w:color w:val="auto"/>
              </w:rPr>
            </w:pPr>
            <w:r>
              <w:rPr>
                <w:rFonts w:ascii="Arial" w:cs="Arial" w:eastAsia="Arial" w:hAnsi="Arial"/>
                <w:sz w:val="18"/>
                <w:szCs w:val="18"/>
                <w:color w:val="auto"/>
              </w:rPr>
              <w:t>None.</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4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Arial" w:cs="Arial" w:eastAsia="Arial" w:hAnsi="Arial"/>
                <w:sz w:val="18"/>
                <w:szCs w:val="18"/>
                <w:color w:val="auto"/>
              </w:rPr>
              <w:t>(b)</w:t>
            </w:r>
          </w:p>
        </w:tc>
        <w:tc>
          <w:tcPr>
            <w:tcW w:w="3320" w:type="dxa"/>
            <w:vAlign w:val="bottom"/>
          </w:tcPr>
          <w:p>
            <w:pPr>
              <w:ind w:left="120"/>
              <w:spacing w:after="0"/>
              <w:rPr>
                <w:sz w:val="20"/>
                <w:szCs w:val="20"/>
                <w:color w:val="auto"/>
              </w:rPr>
            </w:pPr>
            <w:r>
              <w:rPr>
                <w:rFonts w:ascii="Arial" w:cs="Arial" w:eastAsia="Arial" w:hAnsi="Arial"/>
                <w:sz w:val="18"/>
                <w:szCs w:val="18"/>
                <w:color w:val="auto"/>
              </w:rPr>
              <w:t>Not Applicable.</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40" w:type="dxa"/>
            <w:vAlign w:val="bottom"/>
          </w:tcPr>
          <w:p>
            <w:pPr>
              <w:spacing w:after="0"/>
              <w:rPr>
                <w:sz w:val="24"/>
                <w:szCs w:val="24"/>
                <w:color w:val="auto"/>
              </w:rPr>
            </w:pPr>
          </w:p>
        </w:tc>
        <w:tc>
          <w:tcPr>
            <w:tcW w:w="4000" w:type="dxa"/>
            <w:vAlign w:val="bottom"/>
            <w:gridSpan w:val="2"/>
          </w:tcPr>
          <w:p>
            <w:pPr>
              <w:ind w:left="320"/>
              <w:spacing w:after="0"/>
              <w:rPr>
                <w:sz w:val="20"/>
                <w:szCs w:val="20"/>
                <w:color w:val="auto"/>
              </w:rPr>
            </w:pPr>
            <w:r>
              <w:rPr>
                <w:rFonts w:ascii="Arial" w:cs="Arial" w:eastAsia="Arial" w:hAnsi="Arial"/>
                <w:sz w:val="18"/>
                <w:szCs w:val="18"/>
                <w:color w:val="auto"/>
              </w:rPr>
              <w:t>(c)   Issuer Purchases of Equity Securities.</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ind w:left="660"/>
              <w:spacing w:after="0"/>
              <w:rPr>
                <w:sz w:val="20"/>
                <w:szCs w:val="20"/>
                <w:color w:val="auto"/>
              </w:rPr>
            </w:pPr>
            <w:r>
              <w:rPr>
                <w:rFonts w:ascii="Arial" w:cs="Arial" w:eastAsia="Arial" w:hAnsi="Arial"/>
                <w:sz w:val="14"/>
                <w:szCs w:val="14"/>
                <w:b w:val="1"/>
                <w:bCs w:val="1"/>
                <w:color w:val="auto"/>
              </w:rPr>
              <w:t>(c)</w:t>
            </w:r>
          </w:p>
        </w:tc>
        <w:tc>
          <w:tcPr>
            <w:tcW w:w="16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40" w:type="dxa"/>
            <w:vAlign w:val="bottom"/>
            <w:vMerge w:val="restart"/>
          </w:tcPr>
          <w:p>
            <w:pPr>
              <w:jc w:val="right"/>
              <w:ind w:right="900"/>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7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Total Number of</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vMerge w:val="restart"/>
          </w:tcPr>
          <w:p>
            <w:pPr>
              <w:jc w:val="right"/>
              <w:ind w:right="679"/>
              <w:spacing w:after="0"/>
              <w:rPr>
                <w:sz w:val="20"/>
                <w:szCs w:val="20"/>
                <w:color w:val="auto"/>
              </w:rPr>
            </w:pPr>
            <w:r>
              <w:rPr>
                <w:rFonts w:ascii="Arial" w:cs="Arial" w:eastAsia="Arial" w:hAnsi="Arial"/>
                <w:sz w:val="14"/>
                <w:szCs w:val="14"/>
                <w:b w:val="1"/>
                <w:bCs w:val="1"/>
                <w:color w:val="auto"/>
              </w:rPr>
              <w:t>(b)</w:t>
            </w:r>
          </w:p>
        </w:tc>
        <w:tc>
          <w:tcPr>
            <w:tcW w:w="17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Shares Purchased as</w:t>
            </w:r>
          </w:p>
        </w:tc>
        <w:tc>
          <w:tcPr>
            <w:tcW w:w="1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40" w:type="dxa"/>
            <w:vAlign w:val="bottom"/>
          </w:tcPr>
          <w:p>
            <w:pPr>
              <w:jc w:val="center"/>
              <w:ind w:right="40"/>
              <w:spacing w:after="0" w:line="147" w:lineRule="exact"/>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7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Part of Publicly</w:t>
            </w:r>
          </w:p>
        </w:tc>
        <w:tc>
          <w:tcPr>
            <w:tcW w:w="1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32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rPr>
              <w:t>Shares of Common</w:t>
            </w:r>
          </w:p>
        </w:tc>
        <w:tc>
          <w:tcPr>
            <w:tcW w:w="280" w:type="dxa"/>
            <w:vAlign w:val="bottom"/>
          </w:tcPr>
          <w:p>
            <w:pPr>
              <w:spacing w:after="0"/>
              <w:rPr>
                <w:sz w:val="12"/>
                <w:szCs w:val="12"/>
                <w:color w:val="auto"/>
              </w:rPr>
            </w:pPr>
          </w:p>
        </w:tc>
        <w:tc>
          <w:tcPr>
            <w:tcW w:w="1460" w:type="dxa"/>
            <w:vAlign w:val="bottom"/>
          </w:tcPr>
          <w:p>
            <w:pPr>
              <w:jc w:val="right"/>
              <w:ind w:right="39"/>
              <w:spacing w:after="0" w:line="147" w:lineRule="exact"/>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Announced Plans or</w:t>
            </w:r>
          </w:p>
        </w:tc>
        <w:tc>
          <w:tcPr>
            <w:tcW w:w="1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Stock Purchased</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per Common 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224"/>
        </w:trPr>
        <w:tc>
          <w:tcPr>
            <w:tcW w:w="4140" w:type="dxa"/>
            <w:vAlign w:val="bottom"/>
            <w:gridSpan w:val="3"/>
          </w:tcPr>
          <w:p>
            <w:pPr>
              <w:spacing w:after="0"/>
              <w:rPr>
                <w:sz w:val="20"/>
                <w:szCs w:val="20"/>
                <w:color w:val="auto"/>
              </w:rPr>
            </w:pPr>
            <w:r>
              <w:rPr>
                <w:rFonts w:ascii="Arial" w:cs="Arial" w:eastAsia="Arial" w:hAnsi="Arial"/>
                <w:sz w:val="18"/>
                <w:szCs w:val="18"/>
                <w:color w:val="auto"/>
              </w:rPr>
              <w:t>April 1, 2021 – April 30, 2021</w:t>
            </w:r>
          </w:p>
        </w:tc>
        <w:tc>
          <w:tcPr>
            <w:tcW w:w="1840" w:type="dxa"/>
            <w:vAlign w:val="bottom"/>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700" w:type="dxa"/>
            <w:vAlign w:val="bottom"/>
          </w:tcPr>
          <w:p>
            <w:pPr>
              <w:ind w:left="1320"/>
              <w:spacing w:after="0"/>
              <w:rPr>
                <w:sz w:val="20"/>
                <w:szCs w:val="20"/>
                <w:color w:val="auto"/>
              </w:rPr>
            </w:pPr>
            <w:r>
              <w:rPr>
                <w:rFonts w:ascii="Arial" w:cs="Arial" w:eastAsia="Arial" w:hAnsi="Arial"/>
                <w:sz w:val="18"/>
                <w:szCs w:val="18"/>
                <w:color w:val="auto"/>
              </w:rPr>
              <w:t>N/A</w:t>
            </w:r>
          </w:p>
        </w:tc>
        <w:tc>
          <w:tcPr>
            <w:tcW w:w="1640" w:type="dxa"/>
            <w:vAlign w:val="bottom"/>
          </w:tcPr>
          <w:p>
            <w:pPr>
              <w:ind w:left="13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9"/>
        </w:trPr>
        <w:tc>
          <w:tcPr>
            <w:tcW w:w="4140" w:type="dxa"/>
            <w:vAlign w:val="bottom"/>
            <w:gridSpan w:val="3"/>
          </w:tcPr>
          <w:p>
            <w:pPr>
              <w:spacing w:after="0"/>
              <w:rPr>
                <w:sz w:val="20"/>
                <w:szCs w:val="20"/>
                <w:color w:val="auto"/>
              </w:rPr>
            </w:pPr>
            <w:r>
              <w:rPr>
                <w:rFonts w:ascii="Arial" w:cs="Arial" w:eastAsia="Arial" w:hAnsi="Arial"/>
                <w:sz w:val="18"/>
                <w:szCs w:val="18"/>
                <w:color w:val="auto"/>
              </w:rPr>
              <w:t>May 1, 2021 – May 31, 2021</w:t>
            </w:r>
          </w:p>
        </w:tc>
        <w:tc>
          <w:tcPr>
            <w:tcW w:w="1840" w:type="dxa"/>
            <w:vAlign w:val="bottom"/>
          </w:tcPr>
          <w:p>
            <w:pPr>
              <w:jc w:val="right"/>
              <w:ind w:right="60"/>
              <w:spacing w:after="0"/>
              <w:rPr>
                <w:sz w:val="20"/>
                <w:szCs w:val="20"/>
                <w:color w:val="auto"/>
              </w:rPr>
            </w:pPr>
            <w:r>
              <w:rPr>
                <w:rFonts w:ascii="Arial" w:cs="Arial" w:eastAsia="Arial" w:hAnsi="Arial"/>
                <w:sz w:val="18"/>
                <w:szCs w:val="18"/>
                <w:color w:val="auto"/>
              </w:rPr>
              <w:t>554(1)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9"/>
              <w:spacing w:after="0"/>
              <w:rPr>
                <w:sz w:val="20"/>
                <w:szCs w:val="20"/>
                <w:color w:val="auto"/>
              </w:rPr>
            </w:pPr>
            <w:r>
              <w:rPr>
                <w:rFonts w:ascii="Arial" w:cs="Arial" w:eastAsia="Arial" w:hAnsi="Arial"/>
                <w:sz w:val="18"/>
                <w:szCs w:val="18"/>
                <w:color w:val="auto"/>
              </w:rPr>
              <w:t>111.67</w:t>
            </w:r>
          </w:p>
        </w:tc>
        <w:tc>
          <w:tcPr>
            <w:tcW w:w="1700" w:type="dxa"/>
            <w:vAlign w:val="bottom"/>
          </w:tcPr>
          <w:p>
            <w:pPr>
              <w:ind w:left="1320"/>
              <w:spacing w:after="0"/>
              <w:rPr>
                <w:sz w:val="20"/>
                <w:szCs w:val="20"/>
                <w:color w:val="auto"/>
              </w:rPr>
            </w:pPr>
            <w:r>
              <w:rPr>
                <w:rFonts w:ascii="Arial" w:cs="Arial" w:eastAsia="Arial" w:hAnsi="Arial"/>
                <w:sz w:val="18"/>
                <w:szCs w:val="18"/>
                <w:color w:val="auto"/>
              </w:rPr>
              <w:t>N/A</w:t>
            </w:r>
          </w:p>
        </w:tc>
        <w:tc>
          <w:tcPr>
            <w:tcW w:w="1640" w:type="dxa"/>
            <w:vAlign w:val="bottom"/>
          </w:tcPr>
          <w:p>
            <w:pPr>
              <w:ind w:left="13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7"/>
        </w:trPr>
        <w:tc>
          <w:tcPr>
            <w:tcW w:w="4140" w:type="dxa"/>
            <w:vAlign w:val="bottom"/>
            <w:gridSpan w:val="3"/>
          </w:tcPr>
          <w:p>
            <w:pPr>
              <w:spacing w:after="0"/>
              <w:rPr>
                <w:sz w:val="20"/>
                <w:szCs w:val="20"/>
                <w:color w:val="auto"/>
              </w:rPr>
            </w:pPr>
            <w:r>
              <w:rPr>
                <w:rFonts w:ascii="Arial" w:cs="Arial" w:eastAsia="Arial" w:hAnsi="Arial"/>
                <w:sz w:val="18"/>
                <w:szCs w:val="18"/>
                <w:color w:val="auto"/>
              </w:rPr>
              <w:t>June 1, 2021 – June 30, 2021</w:t>
            </w:r>
          </w:p>
        </w:tc>
        <w:tc>
          <w:tcPr>
            <w:tcW w:w="1840" w:type="dxa"/>
            <w:vAlign w:val="bottom"/>
          </w:tcPr>
          <w:p>
            <w:pPr>
              <w:jc w:val="right"/>
              <w:ind w:right="60"/>
              <w:spacing w:after="0"/>
              <w:rPr>
                <w:sz w:val="20"/>
                <w:szCs w:val="20"/>
                <w:color w:val="auto"/>
              </w:rPr>
            </w:pPr>
            <w:r>
              <w:rPr>
                <w:rFonts w:ascii="Arial" w:cs="Arial" w:eastAsia="Arial" w:hAnsi="Arial"/>
                <w:sz w:val="18"/>
                <w:szCs w:val="18"/>
                <w:color w:val="auto"/>
              </w:rPr>
              <w:t>686(2)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9"/>
              <w:spacing w:after="0"/>
              <w:rPr>
                <w:sz w:val="20"/>
                <w:szCs w:val="20"/>
                <w:color w:val="auto"/>
              </w:rPr>
            </w:pPr>
            <w:r>
              <w:rPr>
                <w:rFonts w:ascii="Arial" w:cs="Arial" w:eastAsia="Arial" w:hAnsi="Arial"/>
                <w:sz w:val="18"/>
                <w:szCs w:val="18"/>
                <w:color w:val="auto"/>
              </w:rPr>
              <w:t>104.77</w:t>
            </w:r>
          </w:p>
        </w:tc>
        <w:tc>
          <w:tcPr>
            <w:tcW w:w="1700" w:type="dxa"/>
            <w:vAlign w:val="bottom"/>
          </w:tcPr>
          <w:p>
            <w:pPr>
              <w:ind w:left="1320"/>
              <w:spacing w:after="0"/>
              <w:rPr>
                <w:sz w:val="20"/>
                <w:szCs w:val="20"/>
                <w:color w:val="auto"/>
              </w:rPr>
            </w:pPr>
            <w:r>
              <w:rPr>
                <w:rFonts w:ascii="Arial" w:cs="Arial" w:eastAsia="Arial" w:hAnsi="Arial"/>
                <w:sz w:val="18"/>
                <w:szCs w:val="18"/>
                <w:color w:val="auto"/>
              </w:rPr>
              <w:t>N/A</w:t>
            </w:r>
          </w:p>
        </w:tc>
        <w:tc>
          <w:tcPr>
            <w:tcW w:w="1640" w:type="dxa"/>
            <w:vAlign w:val="bottom"/>
          </w:tcPr>
          <w:p>
            <w:pPr>
              <w:ind w:left="13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320" w:type="dxa"/>
            <w:vAlign w:val="bottom"/>
          </w:tcPr>
          <w:p>
            <w:pPr>
              <w:spacing w:after="0"/>
              <w:rPr>
                <w:sz w:val="20"/>
                <w:szCs w:val="20"/>
                <w:color w:val="auto"/>
              </w:rPr>
            </w:pPr>
          </w:p>
        </w:tc>
        <w:tc>
          <w:tcPr>
            <w:tcW w:w="1840" w:type="dxa"/>
            <w:vAlign w:val="bottom"/>
          </w:tcPr>
          <w:p>
            <w:pPr>
              <w:jc w:val="right"/>
              <w:ind w:right="200"/>
              <w:spacing w:after="0"/>
              <w:rPr>
                <w:sz w:val="20"/>
                <w:szCs w:val="20"/>
                <w:color w:val="auto"/>
              </w:rPr>
            </w:pPr>
            <w:r>
              <w:rPr>
                <w:rFonts w:ascii="Arial" w:cs="Arial" w:eastAsia="Arial" w:hAnsi="Arial"/>
                <w:sz w:val="18"/>
                <w:szCs w:val="18"/>
                <w:color w:val="auto"/>
              </w:rPr>
              <w:t>1,240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9"/>
              <w:spacing w:after="0"/>
              <w:rPr>
                <w:sz w:val="20"/>
                <w:szCs w:val="20"/>
                <w:color w:val="auto"/>
              </w:rPr>
            </w:pPr>
            <w:r>
              <w:rPr>
                <w:rFonts w:ascii="Arial" w:cs="Arial" w:eastAsia="Arial" w:hAnsi="Arial"/>
                <w:sz w:val="18"/>
                <w:szCs w:val="18"/>
                <w:color w:val="auto"/>
              </w:rPr>
              <w:t>107.85</w:t>
            </w:r>
          </w:p>
        </w:tc>
        <w:tc>
          <w:tcPr>
            <w:tcW w:w="1700" w:type="dxa"/>
            <w:vAlign w:val="bottom"/>
          </w:tcPr>
          <w:p>
            <w:pPr>
              <w:ind w:left="1320"/>
              <w:spacing w:after="0"/>
              <w:rPr>
                <w:sz w:val="20"/>
                <w:szCs w:val="20"/>
                <w:color w:val="auto"/>
              </w:rPr>
            </w:pPr>
            <w:r>
              <w:rPr>
                <w:rFonts w:ascii="Arial" w:cs="Arial" w:eastAsia="Arial" w:hAnsi="Arial"/>
                <w:sz w:val="18"/>
                <w:szCs w:val="18"/>
                <w:color w:val="auto"/>
              </w:rPr>
              <w:t>N/A</w:t>
            </w:r>
          </w:p>
        </w:tc>
        <w:tc>
          <w:tcPr>
            <w:tcW w:w="1640" w:type="dxa"/>
            <w:vAlign w:val="bottom"/>
          </w:tcPr>
          <w:p>
            <w:pPr>
              <w:ind w:left="13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-621030</wp:posOffset>
            </wp:positionV>
            <wp:extent cx="6931660" cy="1606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31660" cy="16065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-308610</wp:posOffset>
            </wp:positionV>
            <wp:extent cx="6931660" cy="151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31660" cy="15176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ind w:left="640" w:right="320" w:hanging="315"/>
        <w:spacing w:after="0" w:line="238" w:lineRule="auto"/>
        <w:tabs>
          <w:tab w:leader="none" w:pos="635"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shares of restricted common stock of BXP surrendered by employees to BXP to satisfy such employees’ tax withholding obligations in connection with the vesting of restricted common stock.</w:t>
      </w:r>
    </w:p>
    <w:p>
      <w:pPr>
        <w:spacing w:after="0" w:line="73" w:lineRule="exact"/>
        <w:rPr>
          <w:rFonts w:ascii="Arial" w:cs="Arial" w:eastAsia="Arial" w:hAnsi="Arial"/>
          <w:sz w:val="16"/>
          <w:szCs w:val="16"/>
          <w:color w:val="auto"/>
        </w:rPr>
      </w:pPr>
    </w:p>
    <w:p>
      <w:pPr>
        <w:ind w:left="640" w:right="220" w:hanging="315"/>
        <w:spacing w:after="0" w:line="231" w:lineRule="auto"/>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Includes 88 shares of restricted common stock of BXP repurchased in connection with the termination of a certain employee’s employment with BXP and 598 shares of restricted common stock of BXP surrendered by employees to BXP to satisfy such employees’ tax withholding obligations in connection with the vesting of restricted common stock. Under the terms of the applicable restricted stock award agreements, the 88 shares were repurchased by BXP at a price of $0.01 per share, which was the amount originally paid by such employee for such shares.</w:t>
      </w:r>
    </w:p>
    <w:p>
      <w:pPr>
        <w:spacing w:after="0" w:line="246" w:lineRule="exact"/>
        <w:rPr>
          <w:sz w:val="20"/>
          <w:szCs w:val="20"/>
          <w:color w:val="auto"/>
        </w:rPr>
      </w:pPr>
    </w:p>
    <w:p>
      <w:pPr>
        <w:ind w:right="120" w:firstLine="439"/>
        <w:spacing w:after="0" w:line="248" w:lineRule="auto"/>
        <w:rPr>
          <w:sz w:val="20"/>
          <w:szCs w:val="20"/>
          <w:color w:val="auto"/>
        </w:rPr>
      </w:pPr>
      <w:r>
        <w:rPr>
          <w:rFonts w:ascii="Arial" w:cs="Arial" w:eastAsia="Arial" w:hAnsi="Arial"/>
          <w:sz w:val="18"/>
          <w:szCs w:val="18"/>
          <w:color w:val="auto"/>
        </w:rPr>
        <w:t>On April 1, 2021, BXP redeemed 80,000 shares of Series B Preferred Stock (including the corresponding 8,000,000 Depositary Shares), which represented all of the outstanding shares of Series B Preferred Stock and all of the outstanding Depositary Shares. In connection with the redemption of the Series B Preferred Stock, all outstanding shares of the Series B Preferred Units, which had terms and preferences generally mirroring those of the Series B Preferred Stock, were redeemed by BPLP.</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08" w:lineRule="exact"/>
        <w:rPr>
          <w:sz w:val="20"/>
          <w:szCs w:val="20"/>
          <w:color w:val="auto"/>
        </w:rPr>
      </w:pPr>
    </w:p>
    <w:p>
      <w:pPr>
        <w:ind w:left="960" w:right="100" w:hanging="475"/>
        <w:spacing w:after="0" w:line="247" w:lineRule="auto"/>
        <w:tabs>
          <w:tab w:leader="none" w:pos="9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time BXP issues shares of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June 30, 2021, in connection with issuances of common stock by BXP pursuant to issuances to non-employee directors of restricted common stock under the 2021 Plan, BPLP issued an aggregate of 3,855 common units to BXP in exchange for $38.55, the aggregate proceeds of such common stock issuances to BXP. Such units were issued in reliance on an exemption from registration under Section 4(a)(2) of the Securities Act of 1933, as amended.</w:t>
      </w:r>
    </w:p>
    <w:p>
      <w:pPr>
        <w:spacing w:after="0" w:line="117" w:lineRule="exact"/>
        <w:rPr>
          <w:rFonts w:ascii="Arial" w:cs="Arial" w:eastAsia="Arial" w:hAnsi="Arial"/>
          <w:sz w:val="18"/>
          <w:szCs w:val="18"/>
          <w:color w:val="auto"/>
        </w:rPr>
      </w:pPr>
    </w:p>
    <w:p>
      <w:pPr>
        <w:ind w:left="960" w:hanging="475"/>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8" w:lineRule="exact"/>
        <w:rPr>
          <w:rFonts w:ascii="Arial" w:cs="Arial" w:eastAsia="Arial" w:hAnsi="Arial"/>
          <w:sz w:val="18"/>
          <w:szCs w:val="18"/>
          <w:color w:val="auto"/>
        </w:rPr>
      </w:pPr>
    </w:p>
    <w:p>
      <w:pPr>
        <w:ind w:left="960" w:hanging="475"/>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460" w:type="dxa"/>
            <w:vAlign w:val="bottom"/>
            <w:vMerge w:val="restart"/>
          </w:tcPr>
          <w:p>
            <w:pPr>
              <w:jc w:val="center"/>
              <w:ind w:left="778"/>
              <w:spacing w:after="0"/>
              <w:rPr>
                <w:sz w:val="20"/>
                <w:szCs w:val="20"/>
                <w:color w:val="auto"/>
              </w:rPr>
            </w:pPr>
            <w:r>
              <w:rPr>
                <w:rFonts w:ascii="Arial" w:cs="Arial" w:eastAsia="Arial" w:hAnsi="Arial"/>
                <w:sz w:val="14"/>
                <w:szCs w:val="14"/>
                <w:b w:val="1"/>
                <w:bCs w:val="1"/>
                <w:color w:val="auto"/>
                <w:w w:val="93"/>
              </w:rPr>
              <w:t>(a)</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center"/>
              <w:ind w:right="257"/>
              <w:spacing w:after="0"/>
              <w:rPr>
                <w:sz w:val="20"/>
                <w:szCs w:val="20"/>
                <w:color w:val="auto"/>
              </w:rPr>
            </w:pPr>
            <w:r>
              <w:rPr>
                <w:rFonts w:ascii="Arial" w:cs="Arial" w:eastAsia="Arial" w:hAnsi="Arial"/>
                <w:sz w:val="14"/>
                <w:szCs w:val="14"/>
                <w:b w:val="1"/>
                <w:bCs w:val="1"/>
                <w:color w:val="auto"/>
              </w:rPr>
              <w:t>(b)</w:t>
            </w: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Total Number of Units</w:t>
            </w:r>
          </w:p>
        </w:tc>
        <w:tc>
          <w:tcPr>
            <w:tcW w:w="17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Purchased as Part of</w:t>
            </w:r>
          </w:p>
        </w:tc>
        <w:tc>
          <w:tcPr>
            <w:tcW w:w="17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328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Period</w:t>
            </w:r>
          </w:p>
        </w:tc>
        <w:tc>
          <w:tcPr>
            <w:tcW w:w="2460" w:type="dxa"/>
            <w:vAlign w:val="bottom"/>
          </w:tcPr>
          <w:p>
            <w:pPr>
              <w:jc w:val="center"/>
              <w:ind w:left="818"/>
              <w:spacing w:after="0" w:line="133" w:lineRule="exact"/>
              <w:rPr>
                <w:sz w:val="20"/>
                <w:szCs w:val="20"/>
                <w:color w:val="auto"/>
              </w:rPr>
            </w:pPr>
            <w:r>
              <w:rPr>
                <w:rFonts w:ascii="Arial" w:cs="Arial" w:eastAsia="Arial" w:hAnsi="Arial"/>
                <w:sz w:val="14"/>
                <w:szCs w:val="14"/>
                <w:b w:val="1"/>
                <w:bCs w:val="1"/>
                <w:color w:val="auto"/>
              </w:rPr>
              <w:t>Total Number of Units</w:t>
            </w:r>
          </w:p>
        </w:tc>
        <w:tc>
          <w:tcPr>
            <w:tcW w:w="360" w:type="dxa"/>
            <w:vAlign w:val="bottom"/>
          </w:tcPr>
          <w:p>
            <w:pPr>
              <w:spacing w:after="0"/>
              <w:rPr>
                <w:sz w:val="11"/>
                <w:szCs w:val="11"/>
                <w:color w:val="auto"/>
              </w:rPr>
            </w:pPr>
          </w:p>
        </w:tc>
        <w:tc>
          <w:tcPr>
            <w:tcW w:w="15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Average Price Paid</w:t>
            </w: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Publicly Announced</w:t>
            </w:r>
          </w:p>
        </w:tc>
        <w:tc>
          <w:tcPr>
            <w:tcW w:w="178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rPr>
              <w:t>Value) of Units that May</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2460" w:type="dxa"/>
            <w:vAlign w:val="bottom"/>
          </w:tcPr>
          <w:p>
            <w:pPr>
              <w:jc w:val="center"/>
              <w:ind w:left="818"/>
              <w:spacing w:after="0"/>
              <w:rPr>
                <w:sz w:val="20"/>
                <w:szCs w:val="20"/>
                <w:color w:val="auto"/>
              </w:rPr>
            </w:pPr>
            <w:r>
              <w:rPr>
                <w:rFonts w:ascii="Arial" w:cs="Arial" w:eastAsia="Arial" w:hAnsi="Arial"/>
                <w:sz w:val="14"/>
                <w:szCs w:val="14"/>
                <w:b w:val="1"/>
                <w:bCs w:val="1"/>
                <w:color w:val="auto"/>
              </w:rPr>
              <w:t>Purchased</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center"/>
              <w:ind w:right="217"/>
              <w:spacing w:after="0"/>
              <w:rPr>
                <w:sz w:val="20"/>
                <w:szCs w:val="20"/>
                <w:color w:val="auto"/>
              </w:rPr>
            </w:pPr>
            <w:r>
              <w:rPr>
                <w:rFonts w:ascii="Arial" w:cs="Arial" w:eastAsia="Arial" w:hAnsi="Arial"/>
                <w:sz w:val="14"/>
                <w:szCs w:val="14"/>
                <w:b w:val="1"/>
                <w:bCs w:val="1"/>
                <w:color w:val="auto"/>
              </w:rPr>
              <w:t>per Unit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2021 – April 30, 2021</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99"/>
              </w:rPr>
              <w:t>N/A</w:t>
            </w:r>
          </w:p>
        </w:tc>
        <w:tc>
          <w:tcPr>
            <w:tcW w:w="166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4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May 1, 2021 – May 31, 2021</w:t>
            </w:r>
          </w:p>
        </w:tc>
        <w:tc>
          <w:tcPr>
            <w:tcW w:w="2460" w:type="dxa"/>
            <w:vAlign w:val="bottom"/>
          </w:tcPr>
          <w:p>
            <w:pPr>
              <w:jc w:val="right"/>
              <w:spacing w:after="0"/>
              <w:rPr>
                <w:sz w:val="20"/>
                <w:szCs w:val="20"/>
                <w:color w:val="auto"/>
              </w:rPr>
            </w:pPr>
            <w:r>
              <w:rPr>
                <w:rFonts w:ascii="Arial" w:cs="Arial" w:eastAsia="Arial" w:hAnsi="Arial"/>
                <w:sz w:val="18"/>
                <w:szCs w:val="18"/>
                <w:color w:val="auto"/>
              </w:rPr>
              <w:t>554</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111.67</w:t>
            </w:r>
          </w:p>
        </w:tc>
        <w:tc>
          <w:tcPr>
            <w:tcW w:w="1660" w:type="dxa"/>
            <w:vAlign w:val="bottom"/>
          </w:tcPr>
          <w:p>
            <w:pPr>
              <w:ind w:left="1340"/>
              <w:spacing w:after="0"/>
              <w:rPr>
                <w:sz w:val="20"/>
                <w:szCs w:val="20"/>
                <w:color w:val="auto"/>
              </w:rPr>
            </w:pPr>
            <w:r>
              <w:rPr>
                <w:rFonts w:ascii="Arial" w:cs="Arial" w:eastAsia="Arial" w:hAnsi="Arial"/>
                <w:sz w:val="18"/>
                <w:szCs w:val="18"/>
                <w:color w:val="auto"/>
                <w:w w:val="99"/>
              </w:rPr>
              <w:t>N/A</w:t>
            </w:r>
          </w:p>
        </w:tc>
        <w:tc>
          <w:tcPr>
            <w:tcW w:w="1780" w:type="dxa"/>
            <w:vAlign w:val="bottom"/>
            <w:gridSpan w:val="2"/>
          </w:tcPr>
          <w:p>
            <w:pPr>
              <w:ind w:left="1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2021 – June 30, 2021</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16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99"/>
              </w:rPr>
              <w:t>N/A</w:t>
            </w:r>
          </w:p>
        </w:tc>
        <w:tc>
          <w:tcPr>
            <w:tcW w:w="16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Total</w:t>
            </w:r>
          </w:p>
        </w:tc>
        <w:tc>
          <w:tcPr>
            <w:tcW w:w="2460" w:type="dxa"/>
            <w:vAlign w:val="bottom"/>
          </w:tcPr>
          <w:p>
            <w:pPr>
              <w:jc w:val="right"/>
              <w:spacing w:after="0"/>
              <w:rPr>
                <w:sz w:val="20"/>
                <w:szCs w:val="20"/>
                <w:color w:val="auto"/>
              </w:rPr>
            </w:pPr>
            <w:r>
              <w:rPr>
                <w:rFonts w:ascii="Arial" w:cs="Arial" w:eastAsia="Arial" w:hAnsi="Arial"/>
                <w:sz w:val="18"/>
                <w:szCs w:val="18"/>
                <w:color w:val="auto"/>
              </w:rPr>
              <w:t>1,240</w:t>
            </w:r>
          </w:p>
        </w:tc>
        <w:tc>
          <w:tcPr>
            <w:tcW w:w="360" w:type="dxa"/>
            <w:vAlign w:val="bottom"/>
          </w:tcPr>
          <w:p>
            <w:pPr>
              <w:spacing w:after="0"/>
              <w:rPr>
                <w:sz w:val="20"/>
                <w:szCs w:val="20"/>
                <w:color w:val="auto"/>
              </w:rPr>
            </w:pPr>
          </w:p>
        </w:tc>
        <w:tc>
          <w:tcPr>
            <w:tcW w:w="3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107.85</w:t>
            </w:r>
          </w:p>
        </w:tc>
        <w:tc>
          <w:tcPr>
            <w:tcW w:w="1660" w:type="dxa"/>
            <w:vAlign w:val="bottom"/>
          </w:tcPr>
          <w:p>
            <w:pPr>
              <w:ind w:left="1340"/>
              <w:spacing w:after="0"/>
              <w:rPr>
                <w:sz w:val="20"/>
                <w:szCs w:val="20"/>
                <w:color w:val="auto"/>
              </w:rPr>
            </w:pPr>
            <w:r>
              <w:rPr>
                <w:rFonts w:ascii="Arial" w:cs="Arial" w:eastAsia="Arial" w:hAnsi="Arial"/>
                <w:sz w:val="18"/>
                <w:szCs w:val="18"/>
                <w:color w:val="auto"/>
                <w:w w:val="99"/>
              </w:rPr>
              <w:t>N/A</w:t>
            </w:r>
          </w:p>
        </w:tc>
        <w:tc>
          <w:tcPr>
            <w:tcW w:w="1780" w:type="dxa"/>
            <w:vAlign w:val="bottom"/>
            <w:gridSpan w:val="2"/>
          </w:tcPr>
          <w:p>
            <w:pPr>
              <w:ind w:left="1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851"/>
        </w:trPr>
        <w:tc>
          <w:tcPr>
            <w:tcW w:w="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60" w:type="dxa"/>
            <w:vAlign w:val="bottom"/>
          </w:tcPr>
          <w:p>
            <w:pPr>
              <w:jc w:val="right"/>
              <w:ind w:right="18"/>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4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8" w:lineRule="exact"/>
        <w:rPr>
          <w:sz w:val="20"/>
          <w:szCs w:val="20"/>
          <w:color w:val="auto"/>
        </w:rPr>
      </w:pPr>
    </w:p>
    <w:p>
      <w:pPr>
        <w:ind w:left="640" w:right="80" w:hanging="315"/>
        <w:spacing w:after="0" w:line="253" w:lineRule="auto"/>
        <w:tabs>
          <w:tab w:leader="none" w:pos="635"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Represents common units previously held by BXP that were redeemed in connection with the surrender of shares of restricted common stock of BXP by employees to BXP to satisfy such employees’ tax withholding obligations in connection with the vesting of restricted common stock.</w:t>
      </w:r>
    </w:p>
    <w:p>
      <w:pPr>
        <w:spacing w:after="0" w:line="104" w:lineRule="exact"/>
        <w:rPr>
          <w:rFonts w:ascii="Arial" w:cs="Arial" w:eastAsia="Arial" w:hAnsi="Arial"/>
          <w:sz w:val="16"/>
          <w:szCs w:val="16"/>
          <w:color w:val="auto"/>
        </w:rPr>
      </w:pPr>
    </w:p>
    <w:p>
      <w:pPr>
        <w:ind w:left="640" w:hanging="315"/>
        <w:spacing w:after="0" w:line="245" w:lineRule="auto"/>
        <w:tabs>
          <w:tab w:leader="none" w:pos="635"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88 common units previously held by BXP that were redeemed in connection with the repurchase of shares of restricted common stock of BXP in connection with the termination of a certain employee’s employment with BXP and 598 common units previously held by BXP that were redeemed in connection with the surrender of shares of restricted common stock of BXP by employees to BXP to satisfy such employees’ tax withholding obligations in connection with the vesting of restricted common stock. Under the terms of the applicable restricted stock award agreement, such shares were repurchased at a price of $0.01 per share, which was the amount originally paid by such employee for such shares.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5—Other Information.</w:t>
      </w:r>
    </w:p>
    <w:p>
      <w:pPr>
        <w:spacing w:after="0" w:line="108" w:lineRule="exact"/>
        <w:rPr>
          <w:sz w:val="20"/>
          <w:szCs w:val="20"/>
          <w:color w:val="auto"/>
        </w:rPr>
      </w:pPr>
    </w:p>
    <w:p>
      <w:pPr>
        <w:ind w:left="960" w:hanging="475"/>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None.</w:t>
      </w:r>
    </w:p>
    <w:p>
      <w:pPr>
        <w:spacing w:after="0" w:line="98" w:lineRule="exact"/>
        <w:rPr>
          <w:rFonts w:ascii="Arial" w:cs="Arial" w:eastAsia="Arial" w:hAnsi="Arial"/>
          <w:sz w:val="18"/>
          <w:szCs w:val="18"/>
          <w:color w:val="auto"/>
        </w:rPr>
      </w:pPr>
    </w:p>
    <w:p>
      <w:pPr>
        <w:ind w:left="960" w:hanging="475"/>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10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Exhibits</w:t>
      </w:r>
    </w:p>
    <w:p>
      <w:pPr>
        <w:spacing w:after="0" w:line="116" w:lineRule="exact"/>
        <w:rPr>
          <w:sz w:val="20"/>
          <w:szCs w:val="20"/>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 xml:space="preserve">10.1* — </w:t>
      </w:r>
      <w:hyperlink r:id="rId145">
        <w:r>
          <w:rPr>
            <w:rFonts w:ascii="Arial" w:cs="Arial" w:eastAsia="Arial" w:hAnsi="Arial"/>
            <w:sz w:val="17"/>
            <w:szCs w:val="17"/>
            <w:u w:val="single" w:color="auto"/>
            <w:color w:val="0000FF"/>
          </w:rPr>
          <w:t>Boston Properties, Inc. 2021 Stock Incentive Plan. (Incorporated by reference to Exhibit 10.1 to the Current Report on Form</w:t>
        </w:r>
      </w:hyperlink>
    </w:p>
    <w:p>
      <w:pPr>
        <w:ind w:left="1360"/>
        <w:spacing w:after="0"/>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8-K of Boston Properties, Inc. and Boston Properties Limited Partnership filed on May 20, 2021).</w:t>
        </w:r>
      </w:hyperlink>
    </w:p>
    <w:p>
      <w:pPr>
        <w:spacing w:after="0" w:line="218" w:lineRule="exact"/>
        <w:rPr>
          <w:sz w:val="20"/>
          <w:szCs w:val="20"/>
          <w:color w:val="auto"/>
        </w:rPr>
      </w:pPr>
    </w:p>
    <w:p>
      <w:pPr>
        <w:ind w:left="1360" w:right="180" w:hanging="677"/>
        <w:spacing w:after="0" w:line="21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 </w:t>
      </w:r>
      <w:hyperlink r:id="rId146">
        <w:r>
          <w:rPr>
            <w:rFonts w:ascii="Arial" w:cs="Arial" w:eastAsia="Arial" w:hAnsi="Arial"/>
            <w:sz w:val="18"/>
            <w:szCs w:val="18"/>
            <w:u w:val="single" w:color="auto"/>
            <w:color w:val="0000FF"/>
          </w:rPr>
          <w:t>Ninth Amended and Restated Credit Agreement, dated as of June 15, 2021, among Boston Properties Limited Partnership</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FF"/>
          </w:rPr>
          <w:t>and the lenders identified therein. (Incorporated by reference to Exhibit 10.1 to the Current Report on Form 8-K of Boston</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Properties, Inc. and Boston Properties Limited Partnership filed on June 16, 2021.)</w:t>
        </w:r>
      </w:hyperlink>
    </w:p>
    <w:p>
      <w:pPr>
        <w:spacing w:after="0" w:line="2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10.3* — </w:t>
      </w:r>
      <w:hyperlink w:anchor="page111">
        <w:r>
          <w:rPr>
            <w:rFonts w:ascii="Arial" w:cs="Arial" w:eastAsia="Arial" w:hAnsi="Arial"/>
            <w:sz w:val="18"/>
            <w:szCs w:val="18"/>
            <w:u w:val="single" w:color="auto"/>
            <w:color w:val="0000FF"/>
          </w:rPr>
          <w:t>Third Amendment to the Boston Properties, Inc. 1999 Non-Qualified Employee Stock Purchase Plan. (Filed herewith.)</w:t>
        </w:r>
      </w:hyperlink>
    </w:p>
    <w:p>
      <w:pPr>
        <w:spacing w:after="0" w:line="232" w:lineRule="exact"/>
        <w:rPr>
          <w:rFonts w:ascii="Arial" w:cs="Arial" w:eastAsia="Arial" w:hAnsi="Arial"/>
          <w:sz w:val="18"/>
          <w:szCs w:val="18"/>
          <w:color w:val="auto"/>
        </w:rPr>
      </w:pPr>
    </w:p>
    <w:p>
      <w:pPr>
        <w:ind w:left="1360" w:hanging="677"/>
        <w:spacing w:after="0" w:line="22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31.1 — </w:t>
      </w:r>
      <w:hyperlink w:anchor="page112">
        <w:r>
          <w:rPr>
            <w:rFonts w:ascii="Arial" w:cs="Arial" w:eastAsia="Arial" w:hAnsi="Arial"/>
            <w:sz w:val="18"/>
            <w:szCs w:val="18"/>
            <w:u w:val="single" w:color="auto"/>
            <w:color w:val="0000FF"/>
          </w:rPr>
          <w:t>Certification of Chief Executive Officer pursuant to Section 302 of the Sarbanes-Oxley Act of 2002 for Boston Properties, Inc.</w:t>
        </w:r>
      </w:hyperlink>
      <w:r>
        <w:rPr>
          <w:rFonts w:ascii="Arial" w:cs="Arial" w:eastAsia="Arial" w:hAnsi="Arial"/>
          <w:sz w:val="18"/>
          <w:szCs w:val="18"/>
          <w:color w:val="auto"/>
        </w:rPr>
        <w:t xml:space="preserve"> </w:t>
      </w:r>
      <w:hyperlink w:anchor="page112">
        <w:r>
          <w:rPr>
            <w:rFonts w:ascii="Arial" w:cs="Arial" w:eastAsia="Arial" w:hAnsi="Arial"/>
            <w:sz w:val="18"/>
            <w:szCs w:val="18"/>
            <w:u w:val="single" w:color="auto"/>
            <w:color w:val="0000FF"/>
          </w:rPr>
          <w:t>(Filed herewith.)</w:t>
        </w:r>
      </w:hyperlink>
    </w:p>
    <w:p>
      <w:pPr>
        <w:spacing w:after="0" w:line="214" w:lineRule="exact"/>
        <w:rPr>
          <w:sz w:val="20"/>
          <w:szCs w:val="20"/>
          <w:color w:val="auto"/>
        </w:rPr>
      </w:pPr>
    </w:p>
    <w:p>
      <w:pPr>
        <w:ind w:left="1360" w:right="60" w:hanging="677"/>
        <w:spacing w:after="0" w:line="22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31.2 — </w:t>
      </w:r>
      <w:hyperlink w:anchor="page113">
        <w:r>
          <w:rPr>
            <w:rFonts w:ascii="Arial" w:cs="Arial" w:eastAsia="Arial" w:hAnsi="Arial"/>
            <w:sz w:val="18"/>
            <w:szCs w:val="18"/>
            <w:u w:val="single" w:color="auto"/>
            <w:color w:val="0000FF"/>
          </w:rPr>
          <w:t>Certification of Chief Financial Officer pursuant to Section 302 of the Sarbanes-Oxley Act of 2002 for Boston Properties, Inc.</w:t>
        </w:r>
      </w:hyperlink>
      <w:r>
        <w:rPr>
          <w:rFonts w:ascii="Arial" w:cs="Arial" w:eastAsia="Arial" w:hAnsi="Arial"/>
          <w:sz w:val="18"/>
          <w:szCs w:val="18"/>
          <w:color w:val="auto"/>
        </w:rPr>
        <w:t xml:space="preserve"> </w:t>
      </w:r>
      <w:hyperlink w:anchor="page113">
        <w:r>
          <w:rPr>
            <w:rFonts w:ascii="Arial" w:cs="Arial" w:eastAsia="Arial" w:hAnsi="Arial"/>
            <w:sz w:val="18"/>
            <w:szCs w:val="18"/>
            <w:u w:val="single" w:color="auto"/>
            <w:color w:val="0000FF"/>
          </w:rPr>
          <w:t>(Filed herewith.)</w:t>
        </w:r>
      </w:hyperlink>
    </w:p>
    <w:p>
      <w:pPr>
        <w:spacing w:after="0" w:line="214" w:lineRule="exact"/>
        <w:rPr>
          <w:sz w:val="20"/>
          <w:szCs w:val="20"/>
          <w:color w:val="auto"/>
        </w:rPr>
      </w:pPr>
    </w:p>
    <w:p>
      <w:pPr>
        <w:ind w:left="1360" w:right="400" w:hanging="677"/>
        <w:spacing w:after="0" w:line="22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31.3 — </w:t>
      </w:r>
      <w:hyperlink w:anchor="page114">
        <w:r>
          <w:rPr>
            <w:rFonts w:ascii="Arial" w:cs="Arial" w:eastAsia="Arial" w:hAnsi="Arial"/>
            <w:sz w:val="18"/>
            <w:szCs w:val="18"/>
            <w:u w:val="single" w:color="auto"/>
            <w:color w:val="0000FF"/>
          </w:rPr>
          <w:t>Certification of Chief Executive Officer pursuant to Section 302 of the Sarbanes-Oxley Act of 2002 for Boston Properties</w:t>
        </w:r>
      </w:hyperlink>
      <w:r>
        <w:rPr>
          <w:rFonts w:ascii="Arial" w:cs="Arial" w:eastAsia="Arial" w:hAnsi="Arial"/>
          <w:sz w:val="18"/>
          <w:szCs w:val="18"/>
          <w:color w:val="auto"/>
        </w:rPr>
        <w:t xml:space="preserve"> </w:t>
      </w:r>
      <w:hyperlink w:anchor="page114">
        <w:r>
          <w:rPr>
            <w:rFonts w:ascii="Arial" w:cs="Arial" w:eastAsia="Arial" w:hAnsi="Arial"/>
            <w:sz w:val="18"/>
            <w:szCs w:val="18"/>
            <w:u w:val="single" w:color="auto"/>
            <w:color w:val="0000FF"/>
          </w:rPr>
          <w:t>Limited Partnership. (Filed herewith.)</w:t>
        </w:r>
      </w:hyperlink>
    </w:p>
    <w:p>
      <w:pPr>
        <w:spacing w:after="0" w:line="214" w:lineRule="exact"/>
        <w:rPr>
          <w:sz w:val="20"/>
          <w:szCs w:val="20"/>
          <w:color w:val="auto"/>
        </w:rPr>
      </w:pPr>
    </w:p>
    <w:p>
      <w:pPr>
        <w:ind w:left="1360" w:right="460" w:hanging="677"/>
        <w:spacing w:after="0" w:line="22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31.4 — </w:t>
      </w:r>
      <w:hyperlink w:anchor="page115">
        <w:r>
          <w:rPr>
            <w:rFonts w:ascii="Arial" w:cs="Arial" w:eastAsia="Arial" w:hAnsi="Arial"/>
            <w:sz w:val="18"/>
            <w:szCs w:val="18"/>
            <w:u w:val="single" w:color="auto"/>
            <w:color w:val="0000FF"/>
          </w:rPr>
          <w:t>Certification of Chief Financial Officer pursuant to Section 302 of the Sarbanes-Oxley Act of 2002 for Boston Properties</w:t>
        </w:r>
      </w:hyperlink>
      <w:r>
        <w:rPr>
          <w:rFonts w:ascii="Arial" w:cs="Arial" w:eastAsia="Arial" w:hAnsi="Arial"/>
          <w:sz w:val="18"/>
          <w:szCs w:val="18"/>
          <w:color w:val="auto"/>
        </w:rPr>
        <w:t xml:space="preserve"> </w:t>
      </w:r>
      <w:hyperlink w:anchor="page115">
        <w:r>
          <w:rPr>
            <w:rFonts w:ascii="Arial" w:cs="Arial" w:eastAsia="Arial" w:hAnsi="Arial"/>
            <w:sz w:val="18"/>
            <w:szCs w:val="18"/>
            <w:u w:val="single" w:color="auto"/>
            <w:color w:val="0000FF"/>
          </w:rPr>
          <w:t>Limited Partnership. (Filed herewith.)</w:t>
        </w:r>
      </w:hyperlink>
    </w:p>
    <w:p>
      <w:pPr>
        <w:spacing w:after="0" w:line="214" w:lineRule="exact"/>
        <w:rPr>
          <w:sz w:val="20"/>
          <w:szCs w:val="20"/>
          <w:color w:val="auto"/>
        </w:rPr>
      </w:pPr>
    </w:p>
    <w:p>
      <w:pPr>
        <w:ind w:left="1360" w:right="20" w:hanging="677"/>
        <w:spacing w:after="0" w:line="22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32.1 — </w:t>
      </w:r>
      <w:hyperlink w:anchor="page116">
        <w:r>
          <w:rPr>
            <w:rFonts w:ascii="Arial" w:cs="Arial" w:eastAsia="Arial" w:hAnsi="Arial"/>
            <w:sz w:val="18"/>
            <w:szCs w:val="18"/>
            <w:u w:val="single" w:color="auto"/>
            <w:color w:val="0000FF"/>
          </w:rPr>
          <w:t>Certification of Chief Executive Officer pursuant to Section 906 of the Sarbanes Oxley Act of 2002 for Boston Properties, Inc.</w:t>
        </w:r>
      </w:hyperlink>
      <w:r>
        <w:rPr>
          <w:rFonts w:ascii="Arial" w:cs="Arial" w:eastAsia="Arial" w:hAnsi="Arial"/>
          <w:sz w:val="18"/>
          <w:szCs w:val="18"/>
          <w:color w:val="auto"/>
        </w:rPr>
        <w:t xml:space="preserve"> </w:t>
      </w:r>
      <w:hyperlink w:anchor="page116">
        <w:r>
          <w:rPr>
            <w:rFonts w:ascii="Arial" w:cs="Arial" w:eastAsia="Arial" w:hAnsi="Arial"/>
            <w:sz w:val="18"/>
            <w:szCs w:val="18"/>
            <w:u w:val="single" w:color="auto"/>
            <w:color w:val="0000FF"/>
          </w:rPr>
          <w:t>(Furnished herewith.)</w:t>
        </w:r>
      </w:hyperlink>
    </w:p>
    <w:p>
      <w:pPr>
        <w:spacing w:after="0" w:line="214" w:lineRule="exact"/>
        <w:rPr>
          <w:sz w:val="20"/>
          <w:szCs w:val="20"/>
          <w:color w:val="auto"/>
        </w:rPr>
      </w:pPr>
    </w:p>
    <w:p>
      <w:pPr>
        <w:ind w:left="1360" w:right="80" w:hanging="677"/>
        <w:spacing w:after="0" w:line="22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32.2 — </w:t>
      </w:r>
      <w:hyperlink w:anchor="page117">
        <w:r>
          <w:rPr>
            <w:rFonts w:ascii="Arial" w:cs="Arial" w:eastAsia="Arial" w:hAnsi="Arial"/>
            <w:sz w:val="18"/>
            <w:szCs w:val="18"/>
            <w:u w:val="single" w:color="auto"/>
            <w:color w:val="0000FF"/>
          </w:rPr>
          <w:t>Certification of Chief Financial Officer pursuant to Section 906 of the Sarbanes Oxley Act of 2002 for Boston Properties, Inc.</w:t>
        </w:r>
      </w:hyperlink>
      <w:r>
        <w:rPr>
          <w:rFonts w:ascii="Arial" w:cs="Arial" w:eastAsia="Arial" w:hAnsi="Arial"/>
          <w:sz w:val="18"/>
          <w:szCs w:val="18"/>
          <w:color w:val="auto"/>
        </w:rPr>
        <w:t xml:space="preserve"> </w:t>
      </w:r>
      <w:hyperlink w:anchor="page117">
        <w:r>
          <w:rPr>
            <w:rFonts w:ascii="Arial" w:cs="Arial" w:eastAsia="Arial" w:hAnsi="Arial"/>
            <w:sz w:val="18"/>
            <w:szCs w:val="18"/>
            <w:u w:val="single" w:color="auto"/>
            <w:color w:val="0000FF"/>
          </w:rPr>
          <w:t>(Furnished herewith.)</w:t>
        </w:r>
      </w:hyperlink>
    </w:p>
    <w:p>
      <w:pPr>
        <w:spacing w:after="0" w:line="214" w:lineRule="exact"/>
        <w:rPr>
          <w:sz w:val="20"/>
          <w:szCs w:val="20"/>
          <w:color w:val="auto"/>
        </w:rPr>
      </w:pPr>
    </w:p>
    <w:p>
      <w:pPr>
        <w:ind w:left="1360" w:right="400" w:hanging="677"/>
        <w:spacing w:after="0" w:line="22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32.3 — </w:t>
      </w:r>
      <w:hyperlink w:anchor="page118">
        <w:r>
          <w:rPr>
            <w:rFonts w:ascii="Arial" w:cs="Arial" w:eastAsia="Arial" w:hAnsi="Arial"/>
            <w:sz w:val="18"/>
            <w:szCs w:val="18"/>
            <w:u w:val="single" w:color="auto"/>
            <w:color w:val="0000FF"/>
          </w:rPr>
          <w:t>Certification of Chief Executive Officer pursuant to Section 906 of the Sarbanes Oxley Act of 2002 for Boston Properties</w:t>
        </w:r>
      </w:hyperlink>
      <w:r>
        <w:rPr>
          <w:rFonts w:ascii="Arial" w:cs="Arial" w:eastAsia="Arial" w:hAnsi="Arial"/>
          <w:sz w:val="18"/>
          <w:szCs w:val="18"/>
          <w:color w:val="auto"/>
        </w:rPr>
        <w:t xml:space="preserve"> </w:t>
      </w:r>
      <w:hyperlink w:anchor="page118">
        <w:r>
          <w:rPr>
            <w:rFonts w:ascii="Arial" w:cs="Arial" w:eastAsia="Arial" w:hAnsi="Arial"/>
            <w:sz w:val="18"/>
            <w:szCs w:val="18"/>
            <w:u w:val="single" w:color="auto"/>
            <w:color w:val="0000FF"/>
          </w:rPr>
          <w:t>Limited Partnership. (Furnished herewith.)</w:t>
        </w:r>
      </w:hyperlink>
    </w:p>
    <w:p>
      <w:pPr>
        <w:spacing w:after="0" w:line="214" w:lineRule="exact"/>
        <w:rPr>
          <w:sz w:val="20"/>
          <w:szCs w:val="20"/>
          <w:color w:val="auto"/>
        </w:rPr>
      </w:pPr>
    </w:p>
    <w:p>
      <w:pPr>
        <w:ind w:left="1360" w:right="460" w:hanging="677"/>
        <w:spacing w:after="0" w:line="22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32.4 — </w:t>
      </w:r>
      <w:hyperlink w:anchor="page119">
        <w:r>
          <w:rPr>
            <w:rFonts w:ascii="Arial" w:cs="Arial" w:eastAsia="Arial" w:hAnsi="Arial"/>
            <w:sz w:val="18"/>
            <w:szCs w:val="18"/>
            <w:u w:val="single" w:color="auto"/>
            <w:color w:val="0000FF"/>
          </w:rPr>
          <w:t>Certification of Chief Financial Officer pursuant to Section 906 of the Sarbanes Oxley Act of 2002 for Boston Properties</w:t>
        </w:r>
      </w:hyperlink>
      <w:r>
        <w:rPr>
          <w:rFonts w:ascii="Arial" w:cs="Arial" w:eastAsia="Arial" w:hAnsi="Arial"/>
          <w:sz w:val="18"/>
          <w:szCs w:val="18"/>
          <w:color w:val="auto"/>
        </w:rPr>
        <w:t xml:space="preserve"> </w:t>
      </w:r>
      <w:hyperlink w:anchor="page119">
        <w:r>
          <w:rPr>
            <w:rFonts w:ascii="Arial" w:cs="Arial" w:eastAsia="Arial" w:hAnsi="Arial"/>
            <w:sz w:val="18"/>
            <w:szCs w:val="18"/>
            <w:u w:val="single" w:color="auto"/>
            <w:color w:val="0000FF"/>
          </w:rPr>
          <w:t>Limited Partnership. (Furnished herewith.)</w:t>
        </w:r>
      </w:hyperlink>
    </w:p>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101.SCH — Inline XBRL Taxonomy Extension Schema Document. (Filed herewith.)</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101.CAL — Inline XBRL Taxonomy Extension Calculation Linkbase Document. (Filed herewith.)</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101.LAB — Inline XBRL Taxonomy Extension Label Linkbase Document. (Filed herewith.)</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101.PRE — Inline XBRL Taxonomy Extension Presentation Linkbase Document. (Filed herewith.)</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101.DEF — Inline XBRL Taxonomy Extension Definition Linkbase Document. (Filed herewith.)</w:t>
      </w:r>
    </w:p>
    <w:p>
      <w:pPr>
        <w:spacing w:after="0" w:line="72" w:lineRule="exact"/>
        <w:rPr>
          <w:sz w:val="20"/>
          <w:szCs w:val="20"/>
          <w:color w:val="auto"/>
        </w:rPr>
      </w:pPr>
    </w:p>
    <w:p>
      <w:pPr>
        <w:ind w:left="1360" w:right="360" w:hanging="635"/>
        <w:spacing w:after="0" w:line="223" w:lineRule="auto"/>
        <w:tabs>
          <w:tab w:leader="none" w:pos="1121" w:val="left"/>
        </w:tabs>
        <w:numPr>
          <w:ilvl w:val="0"/>
          <w:numId w:val="86"/>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with applicable taxonomy extension information contained in Exhibits 101.*). (Filed herewith.)</w:t>
      </w:r>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ind w:left="160" w:right="140" w:hanging="154"/>
        <w:spacing w:after="0" w:line="252" w:lineRule="auto"/>
        <w:tabs>
          <w:tab w:leader="none" w:pos="119"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required to be filed or incorporated by reference as an exhibit to this Form 10-Q pursuant to Item 6 of Form 10-Q.</w:t>
      </w: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298" w:right="4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BOSTON PROPERTIES, INC.</w:t>
      </w:r>
    </w:p>
    <w:p>
      <w:pPr>
        <w:spacing w:after="0" w:line="285" w:lineRule="exact"/>
        <w:rPr>
          <w:sz w:val="20"/>
          <w:szCs w:val="20"/>
          <w:color w:val="auto"/>
        </w:rPr>
      </w:pPr>
    </w:p>
    <w:p>
      <w:pPr>
        <w:ind w:left="20"/>
        <w:spacing w:after="0"/>
        <w:tabs>
          <w:tab w:leader="none" w:pos="7260" w:val="left"/>
          <w:tab w:leader="none" w:pos="7640" w:val="left"/>
        </w:tabs>
        <w:rPr>
          <w:sz w:val="20"/>
          <w:szCs w:val="20"/>
          <w:color w:val="auto"/>
        </w:rPr>
      </w:pPr>
      <w:r>
        <w:rPr>
          <w:rFonts w:ascii="Arial" w:cs="Arial" w:eastAsia="Arial" w:hAnsi="Arial"/>
          <w:sz w:val="18"/>
          <w:szCs w:val="18"/>
          <w:color w:val="auto"/>
        </w:rPr>
        <w:t>August 6, 2021</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4445</wp:posOffset>
            </wp:positionV>
            <wp:extent cx="32677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4"/>
          <w:szCs w:val="14"/>
          <w:b w:val="1"/>
          <w:bCs w:val="1"/>
          <w:color w:val="auto"/>
        </w:rPr>
        <w:t>Michael R. Walsh</w:t>
      </w:r>
    </w:p>
    <w:p>
      <w:pPr>
        <w:spacing w:after="0" w:line="15"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Chief Accounting Officer</w:t>
      </w:r>
    </w:p>
    <w:p>
      <w:pPr>
        <w:ind w:left="646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98" w:right="3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BOSTON PROPERTIES LIMITED PARTNERSHIP</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Boston Properties, Inc., its General Partner</w:t>
      </w:r>
    </w:p>
    <w:p>
      <w:pPr>
        <w:spacing w:after="0" w:line="285" w:lineRule="exact"/>
        <w:rPr>
          <w:sz w:val="20"/>
          <w:szCs w:val="20"/>
          <w:color w:val="auto"/>
        </w:rPr>
      </w:pPr>
    </w:p>
    <w:p>
      <w:pPr>
        <w:ind w:left="20"/>
        <w:spacing w:after="0"/>
        <w:tabs>
          <w:tab w:leader="none" w:pos="7260" w:val="left"/>
          <w:tab w:leader="none" w:pos="7640" w:val="left"/>
        </w:tabs>
        <w:rPr>
          <w:sz w:val="20"/>
          <w:szCs w:val="20"/>
          <w:color w:val="auto"/>
        </w:rPr>
      </w:pPr>
      <w:r>
        <w:rPr>
          <w:rFonts w:ascii="Arial" w:cs="Arial" w:eastAsia="Arial" w:hAnsi="Arial"/>
          <w:sz w:val="18"/>
          <w:szCs w:val="18"/>
          <w:color w:val="auto"/>
        </w:rPr>
        <w:t>August 6, 2021</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4445</wp:posOffset>
            </wp:positionV>
            <wp:extent cx="32677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4"/>
          <w:szCs w:val="14"/>
          <w:b w:val="1"/>
          <w:bCs w:val="1"/>
          <w:color w:val="auto"/>
        </w:rPr>
        <w:t>Michael R. Walsh</w:t>
      </w:r>
    </w:p>
    <w:p>
      <w:pPr>
        <w:spacing w:after="0" w:line="15"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Chief Accounting Officer</w:t>
      </w:r>
    </w:p>
    <w:p>
      <w:pPr>
        <w:ind w:left="646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298" w:right="3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THIRD AMENDMENT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TO THE</w:t>
      </w:r>
    </w:p>
    <w:p>
      <w:pPr>
        <w:jc w:val="center"/>
        <w:spacing w:after="0" w:line="233" w:lineRule="auto"/>
        <w:rPr>
          <w:sz w:val="20"/>
          <w:szCs w:val="20"/>
          <w:color w:val="auto"/>
        </w:rPr>
      </w:pPr>
      <w:r>
        <w:rPr>
          <w:rFonts w:ascii="Arial" w:cs="Arial" w:eastAsia="Arial" w:hAnsi="Arial"/>
          <w:sz w:val="19"/>
          <w:szCs w:val="19"/>
          <w:b w:val="1"/>
          <w:bCs w:val="1"/>
          <w:color w:val="auto"/>
        </w:rPr>
        <w:t>BOSTON PROPERTIES,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1999 NON-QUALIFIED EMPLOYEE STOCK PURCHASE PLAN</w:t>
      </w:r>
    </w:p>
    <w:p>
      <w:pPr>
        <w:spacing w:after="0" w:line="200" w:lineRule="exact"/>
        <w:rPr>
          <w:sz w:val="20"/>
          <w:szCs w:val="20"/>
          <w:color w:val="auto"/>
        </w:rPr>
      </w:pPr>
    </w:p>
    <w:p>
      <w:pPr>
        <w:spacing w:after="0" w:line="286" w:lineRule="exact"/>
        <w:rPr>
          <w:sz w:val="20"/>
          <w:szCs w:val="20"/>
          <w:color w:val="auto"/>
        </w:rPr>
      </w:pPr>
    </w:p>
    <w:p>
      <w:pPr>
        <w:ind w:right="600" w:firstLine="638"/>
        <w:spacing w:after="0" w:line="265" w:lineRule="auto"/>
        <w:rPr>
          <w:sz w:val="20"/>
          <w:szCs w:val="20"/>
          <w:color w:val="auto"/>
        </w:rPr>
      </w:pPr>
      <w:r>
        <w:rPr>
          <w:rFonts w:ascii="Arial" w:cs="Arial" w:eastAsia="Arial" w:hAnsi="Arial"/>
          <w:sz w:val="19"/>
          <w:szCs w:val="19"/>
          <w:color w:val="auto"/>
        </w:rPr>
        <w:t>The Boston Properties, Inc. 1999 Non-Qualified Employee Stock Purchase Plan, as amended (the “Plan”), is hereby amended as follows.</w:t>
      </w:r>
    </w:p>
    <w:p>
      <w:pPr>
        <w:spacing w:after="0" w:line="175" w:lineRule="exact"/>
        <w:rPr>
          <w:sz w:val="20"/>
          <w:szCs w:val="20"/>
          <w:color w:val="auto"/>
        </w:rPr>
      </w:pPr>
    </w:p>
    <w:p>
      <w:pPr>
        <w:ind w:left="640" w:hanging="315"/>
        <w:spacing w:after="0"/>
        <w:tabs>
          <w:tab w:leader="none" w:pos="640" w:val="left"/>
        </w:tabs>
        <w:numPr>
          <w:ilvl w:val="0"/>
          <w:numId w:val="88"/>
        </w:numPr>
        <w:rPr>
          <w:rFonts w:ascii="Arial" w:cs="Arial" w:eastAsia="Arial" w:hAnsi="Arial"/>
          <w:sz w:val="21"/>
          <w:szCs w:val="21"/>
          <w:color w:val="auto"/>
        </w:rPr>
      </w:pPr>
      <w:r>
        <w:rPr>
          <w:rFonts w:ascii="Arial" w:cs="Arial" w:eastAsia="Arial" w:hAnsi="Arial"/>
          <w:sz w:val="19"/>
          <w:szCs w:val="19"/>
          <w:color w:val="auto"/>
        </w:rPr>
        <w:t>Section 6(a)(2)(b) of the Plan is amended by deleting the reference to “$10,000” and replacing it with “$25,000.”</w:t>
      </w:r>
    </w:p>
    <w:p>
      <w:pPr>
        <w:spacing w:after="0" w:line="217" w:lineRule="exact"/>
        <w:rPr>
          <w:rFonts w:ascii="Arial" w:cs="Arial" w:eastAsia="Arial" w:hAnsi="Arial"/>
          <w:sz w:val="21"/>
          <w:szCs w:val="21"/>
          <w:color w:val="auto"/>
        </w:rPr>
      </w:pPr>
    </w:p>
    <w:p>
      <w:pPr>
        <w:ind w:left="640" w:right="4240" w:hanging="315"/>
        <w:spacing w:after="0" w:line="459" w:lineRule="auto"/>
        <w:tabs>
          <w:tab w:leader="none" w:pos="631" w:val="left"/>
        </w:tabs>
        <w:numPr>
          <w:ilvl w:val="0"/>
          <w:numId w:val="88"/>
        </w:numPr>
        <w:rPr>
          <w:rFonts w:ascii="Arial" w:cs="Arial" w:eastAsia="Arial" w:hAnsi="Arial"/>
          <w:sz w:val="21"/>
          <w:szCs w:val="21"/>
          <w:color w:val="auto"/>
        </w:rPr>
      </w:pPr>
      <w:r>
        <w:rPr>
          <w:rFonts w:ascii="Arial" w:cs="Arial" w:eastAsia="Arial" w:hAnsi="Arial"/>
          <w:sz w:val="19"/>
          <w:szCs w:val="19"/>
          <w:color w:val="auto"/>
        </w:rPr>
        <w:t>Except as so amended, the Plan is hereby confirmed in all other respects. Executed this 20</w:t>
      </w:r>
      <w:r>
        <w:rPr>
          <w:rFonts w:ascii="Arial" w:cs="Arial" w:eastAsia="Arial" w:hAnsi="Arial"/>
          <w:sz w:val="11"/>
          <w:szCs w:val="11"/>
          <w:color w:val="auto"/>
        </w:rPr>
        <w:t>th</w:t>
      </w:r>
      <w:r>
        <w:rPr>
          <w:rFonts w:ascii="Arial" w:cs="Arial" w:eastAsia="Arial" w:hAnsi="Arial"/>
          <w:sz w:val="19"/>
          <w:szCs w:val="19"/>
          <w:color w:val="auto"/>
        </w:rPr>
        <w:t xml:space="preserve"> day of May, 2021.</w:t>
      </w:r>
    </w:p>
    <w:p>
      <w:pPr>
        <w:spacing w:after="0" w:line="200" w:lineRule="exact"/>
        <w:rPr>
          <w:sz w:val="20"/>
          <w:szCs w:val="20"/>
          <w:color w:val="auto"/>
        </w:rPr>
      </w:pPr>
    </w:p>
    <w:p>
      <w:pPr>
        <w:spacing w:after="0" w:line="266" w:lineRule="exact"/>
        <w:rPr>
          <w:sz w:val="20"/>
          <w:szCs w:val="20"/>
          <w:color w:val="auto"/>
        </w:rPr>
      </w:pPr>
    </w:p>
    <w:p>
      <w:pPr>
        <w:ind w:left="3840"/>
        <w:spacing w:after="0"/>
        <w:rPr>
          <w:sz w:val="20"/>
          <w:szCs w:val="20"/>
          <w:color w:val="auto"/>
        </w:rPr>
      </w:pPr>
      <w:r>
        <w:rPr>
          <w:rFonts w:ascii="Arial" w:cs="Arial" w:eastAsia="Arial" w:hAnsi="Arial"/>
          <w:sz w:val="19"/>
          <w:szCs w:val="19"/>
          <w:b w:val="1"/>
          <w:bCs w:val="1"/>
          <w:color w:val="auto"/>
        </w:rPr>
        <w:t>BOSTON PROPERTIES, INC.</w:t>
      </w:r>
    </w:p>
    <w:p>
      <w:pPr>
        <w:spacing w:after="0" w:line="252"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By: /s/ Eric G. Kevorkian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-13970</wp:posOffset>
            </wp:positionV>
            <wp:extent cx="15405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1540510" cy="8255"/>
                    </a:xfrm>
                    <a:prstGeom prst="rect">
                      <a:avLst/>
                    </a:prstGeom>
                    <a:noFill/>
                  </pic:spPr>
                </pic:pic>
              </a:graphicData>
            </a:graphic>
          </wp:anchor>
        </w:drawing>
      </w:r>
    </w:p>
    <w:p>
      <w:pPr>
        <w:ind w:left="3840"/>
        <w:spacing w:after="0" w:line="233" w:lineRule="auto"/>
        <w:rPr>
          <w:sz w:val="20"/>
          <w:szCs w:val="20"/>
          <w:color w:val="auto"/>
        </w:rPr>
      </w:pPr>
      <w:r>
        <w:rPr>
          <w:rFonts w:ascii="Arial" w:cs="Arial" w:eastAsia="Arial" w:hAnsi="Arial"/>
          <w:sz w:val="19"/>
          <w:szCs w:val="19"/>
          <w:color w:val="auto"/>
        </w:rPr>
        <w:t>Name: Eric G. Kevorkian</w:t>
      </w:r>
    </w:p>
    <w:p>
      <w:pPr>
        <w:spacing w:after="0" w:line="1"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Title: Senior Vice President, Senior Corporate Counsel</w:t>
      </w:r>
    </w:p>
    <w:p>
      <w:pPr>
        <w:sectPr>
          <w:pgSz w:w="11900" w:h="16838" w:orient="portrait"/>
          <w:cols w:equalWidth="0" w:num="1">
            <w:col w:w="11240"/>
          </w:cols>
          <w:pgMar w:left="320" w:top="59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86" w:lineRule="exact"/>
        <w:rPr>
          <w:sz w:val="20"/>
          <w:szCs w:val="20"/>
          <w:color w:val="auto"/>
        </w:rPr>
      </w:pPr>
    </w:p>
    <w:p>
      <w:pPr>
        <w:ind w:left="400" w:hanging="354"/>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I have reviewed this Quarterly Report on Form </w:t>
      </w:r>
      <w:r>
        <w:rPr>
          <w:rFonts w:ascii="Arial" w:cs="Arial" w:eastAsia="Arial" w:hAnsi="Arial"/>
          <w:sz w:val="15"/>
          <w:szCs w:val="15"/>
          <w:color w:val="auto"/>
        </w:rPr>
        <w:t>10-Q</w:t>
      </w:r>
      <w:r>
        <w:rPr>
          <w:rFonts w:ascii="Arial" w:cs="Arial" w:eastAsia="Arial" w:hAnsi="Arial"/>
          <w:sz w:val="18"/>
          <w:szCs w:val="18"/>
          <w:color w:val="auto"/>
        </w:rPr>
        <w:t xml:space="preserve"> of Boston Properties, Inc.;</w:t>
      </w:r>
    </w:p>
    <w:p>
      <w:pPr>
        <w:spacing w:after="0" w:line="85" w:lineRule="exact"/>
        <w:rPr>
          <w:rFonts w:ascii="Arial" w:cs="Arial" w:eastAsia="Arial" w:hAnsi="Arial"/>
          <w:sz w:val="18"/>
          <w:szCs w:val="18"/>
          <w:color w:val="auto"/>
        </w:rPr>
      </w:pPr>
    </w:p>
    <w:p>
      <w:pPr>
        <w:ind w:left="440" w:right="180" w:hanging="394"/>
        <w:spacing w:after="0" w:line="249" w:lineRule="auto"/>
        <w:tabs>
          <w:tab w:leader="none" w:pos="3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40" w:right="220" w:hanging="394"/>
        <w:spacing w:after="0" w:line="281" w:lineRule="auto"/>
        <w:tabs>
          <w:tab w:leader="none" w:pos="386"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7"/>
          <w:szCs w:val="17"/>
          <w:color w:val="auto"/>
        </w:rPr>
      </w:pPr>
    </w:p>
    <w:p>
      <w:pPr>
        <w:ind w:left="440" w:right="180" w:hanging="394"/>
        <w:spacing w:after="0" w:line="261" w:lineRule="auto"/>
        <w:tabs>
          <w:tab w:leader="none" w:pos="383"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85" w:lineRule="exact"/>
        <w:rPr>
          <w:rFonts w:ascii="Arial" w:cs="Arial" w:eastAsia="Arial" w:hAnsi="Arial"/>
          <w:sz w:val="17"/>
          <w:szCs w:val="17"/>
          <w:color w:val="auto"/>
        </w:rPr>
      </w:pPr>
    </w:p>
    <w:p>
      <w:pPr>
        <w:ind w:left="840" w:right="40" w:hanging="395"/>
        <w:spacing w:after="0" w:line="249" w:lineRule="auto"/>
        <w:tabs>
          <w:tab w:leader="none" w:pos="855"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40" w:right="80" w:hanging="395"/>
        <w:spacing w:after="0" w:line="249" w:lineRule="auto"/>
        <w:tabs>
          <w:tab w:leader="none" w:pos="855"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40" w:right="40" w:hanging="395"/>
        <w:spacing w:after="0" w:line="249" w:lineRule="auto"/>
        <w:tabs>
          <w:tab w:leader="none" w:pos="845"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40" w:right="340" w:hanging="395"/>
        <w:spacing w:after="0" w:line="249" w:lineRule="auto"/>
        <w:tabs>
          <w:tab w:leader="none" w:pos="855"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40" w:right="200" w:hanging="394"/>
        <w:spacing w:after="0" w:line="249" w:lineRule="auto"/>
        <w:tabs>
          <w:tab w:leader="none" w:pos="38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40" w:right="220" w:hanging="395"/>
        <w:spacing w:after="0" w:line="281" w:lineRule="auto"/>
        <w:tabs>
          <w:tab w:leader="none" w:pos="845"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7"/>
          <w:szCs w:val="17"/>
          <w:color w:val="auto"/>
        </w:rPr>
      </w:pPr>
    </w:p>
    <w:p>
      <w:pPr>
        <w:ind w:left="840" w:right="460" w:hanging="395"/>
        <w:spacing w:after="0" w:line="252" w:lineRule="auto"/>
        <w:tabs>
          <w:tab w:leader="none" w:pos="84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40"/>
        <w:spacing w:after="0"/>
        <w:tabs>
          <w:tab w:leader="none" w:pos="840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4445</wp:posOffset>
            </wp:positionV>
            <wp:extent cx="27774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2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1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86" w:lineRule="exact"/>
        <w:rPr>
          <w:sz w:val="20"/>
          <w:szCs w:val="20"/>
          <w:color w:val="auto"/>
        </w:rPr>
      </w:pPr>
    </w:p>
    <w:p>
      <w:pPr>
        <w:ind w:left="400" w:hanging="354"/>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I have reviewed this Quarterly Report on Form </w:t>
      </w:r>
      <w:r>
        <w:rPr>
          <w:rFonts w:ascii="Arial" w:cs="Arial" w:eastAsia="Arial" w:hAnsi="Arial"/>
          <w:sz w:val="15"/>
          <w:szCs w:val="15"/>
          <w:color w:val="auto"/>
        </w:rPr>
        <w:t>10-Q</w:t>
      </w:r>
      <w:r>
        <w:rPr>
          <w:rFonts w:ascii="Arial" w:cs="Arial" w:eastAsia="Arial" w:hAnsi="Arial"/>
          <w:sz w:val="18"/>
          <w:szCs w:val="18"/>
          <w:color w:val="auto"/>
        </w:rPr>
        <w:t xml:space="preserve"> of Boston Properties, Inc.;</w:t>
      </w:r>
    </w:p>
    <w:p>
      <w:pPr>
        <w:spacing w:after="0" w:line="85" w:lineRule="exact"/>
        <w:rPr>
          <w:rFonts w:ascii="Arial" w:cs="Arial" w:eastAsia="Arial" w:hAnsi="Arial"/>
          <w:sz w:val="18"/>
          <w:szCs w:val="18"/>
          <w:color w:val="auto"/>
        </w:rPr>
      </w:pPr>
    </w:p>
    <w:p>
      <w:pPr>
        <w:ind w:left="440" w:right="180" w:hanging="394"/>
        <w:spacing w:after="0" w:line="249" w:lineRule="auto"/>
        <w:tabs>
          <w:tab w:leader="none" w:pos="3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40" w:right="220" w:hanging="394"/>
        <w:spacing w:after="0" w:line="281" w:lineRule="auto"/>
        <w:tabs>
          <w:tab w:leader="none" w:pos="386"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7"/>
          <w:szCs w:val="17"/>
          <w:color w:val="auto"/>
        </w:rPr>
      </w:pPr>
    </w:p>
    <w:p>
      <w:pPr>
        <w:ind w:left="440" w:right="180" w:hanging="394"/>
        <w:spacing w:after="0" w:line="261" w:lineRule="auto"/>
        <w:tabs>
          <w:tab w:leader="none" w:pos="383"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85" w:lineRule="exact"/>
        <w:rPr>
          <w:rFonts w:ascii="Arial" w:cs="Arial" w:eastAsia="Arial" w:hAnsi="Arial"/>
          <w:sz w:val="17"/>
          <w:szCs w:val="17"/>
          <w:color w:val="auto"/>
        </w:rPr>
      </w:pPr>
    </w:p>
    <w:p>
      <w:pPr>
        <w:ind w:left="840" w:right="40" w:hanging="395"/>
        <w:spacing w:after="0" w:line="249" w:lineRule="auto"/>
        <w:tabs>
          <w:tab w:leader="none" w:pos="855"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40" w:right="80" w:hanging="395"/>
        <w:spacing w:after="0" w:line="249" w:lineRule="auto"/>
        <w:tabs>
          <w:tab w:leader="none" w:pos="855"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40" w:right="40" w:hanging="395"/>
        <w:spacing w:after="0" w:line="249" w:lineRule="auto"/>
        <w:tabs>
          <w:tab w:leader="none" w:pos="845"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40" w:right="340" w:hanging="395"/>
        <w:spacing w:after="0" w:line="249" w:lineRule="auto"/>
        <w:tabs>
          <w:tab w:leader="none" w:pos="855"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40" w:right="200" w:hanging="394"/>
        <w:spacing w:after="0" w:line="249" w:lineRule="auto"/>
        <w:tabs>
          <w:tab w:leader="none" w:pos="38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40" w:right="220" w:hanging="395"/>
        <w:spacing w:after="0" w:line="281" w:lineRule="auto"/>
        <w:tabs>
          <w:tab w:leader="none" w:pos="845" w:val="left"/>
        </w:tabs>
        <w:numPr>
          <w:ilvl w:val="1"/>
          <w:numId w:val="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7"/>
          <w:szCs w:val="17"/>
          <w:color w:val="auto"/>
        </w:rPr>
      </w:pPr>
    </w:p>
    <w:p>
      <w:pPr>
        <w:ind w:left="840" w:right="460" w:hanging="395"/>
        <w:spacing w:after="0" w:line="252" w:lineRule="auto"/>
        <w:tabs>
          <w:tab w:leader="none" w:pos="845"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20"/>
        <w:spacing w:after="0"/>
        <w:tabs>
          <w:tab w:leader="none" w:pos="840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4445</wp:posOffset>
            </wp:positionV>
            <wp:extent cx="27774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2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3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86" w:lineRule="exact"/>
        <w:rPr>
          <w:sz w:val="20"/>
          <w:szCs w:val="20"/>
          <w:color w:val="auto"/>
        </w:rPr>
      </w:pPr>
    </w:p>
    <w:p>
      <w:pPr>
        <w:ind w:left="400" w:hanging="354"/>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 have reviewed this Quarterly Report on Form </w:t>
      </w:r>
      <w:r>
        <w:rPr>
          <w:rFonts w:ascii="Arial" w:cs="Arial" w:eastAsia="Arial" w:hAnsi="Arial"/>
          <w:sz w:val="15"/>
          <w:szCs w:val="15"/>
          <w:color w:val="auto"/>
        </w:rPr>
        <w:t>10-Q</w:t>
      </w:r>
      <w:r>
        <w:rPr>
          <w:rFonts w:ascii="Arial" w:cs="Arial" w:eastAsia="Arial" w:hAnsi="Arial"/>
          <w:sz w:val="18"/>
          <w:szCs w:val="18"/>
          <w:color w:val="auto"/>
        </w:rPr>
        <w:t xml:space="preserve"> of Boston Properties Limited Partnership;</w:t>
      </w:r>
    </w:p>
    <w:p>
      <w:pPr>
        <w:spacing w:after="0" w:line="85" w:lineRule="exact"/>
        <w:rPr>
          <w:rFonts w:ascii="Arial" w:cs="Arial" w:eastAsia="Arial" w:hAnsi="Arial"/>
          <w:sz w:val="18"/>
          <w:szCs w:val="18"/>
          <w:color w:val="auto"/>
        </w:rPr>
      </w:pPr>
    </w:p>
    <w:p>
      <w:pPr>
        <w:ind w:left="440" w:right="180" w:hanging="394"/>
        <w:spacing w:after="0" w:line="249" w:lineRule="auto"/>
        <w:tabs>
          <w:tab w:leader="none" w:pos="3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40" w:right="220" w:hanging="394"/>
        <w:spacing w:after="0" w:line="281" w:lineRule="auto"/>
        <w:tabs>
          <w:tab w:leader="none" w:pos="386"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7"/>
          <w:szCs w:val="17"/>
          <w:color w:val="auto"/>
        </w:rPr>
      </w:pPr>
    </w:p>
    <w:p>
      <w:pPr>
        <w:ind w:left="440" w:right="180" w:hanging="394"/>
        <w:spacing w:after="0" w:line="261" w:lineRule="auto"/>
        <w:tabs>
          <w:tab w:leader="none" w:pos="383"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85" w:lineRule="exact"/>
        <w:rPr>
          <w:rFonts w:ascii="Arial" w:cs="Arial" w:eastAsia="Arial" w:hAnsi="Arial"/>
          <w:sz w:val="17"/>
          <w:szCs w:val="17"/>
          <w:color w:val="auto"/>
        </w:rPr>
      </w:pPr>
    </w:p>
    <w:p>
      <w:pPr>
        <w:ind w:left="840" w:right="40" w:hanging="395"/>
        <w:spacing w:after="0" w:line="249" w:lineRule="auto"/>
        <w:tabs>
          <w:tab w:leader="none" w:pos="855"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40" w:right="80" w:hanging="395"/>
        <w:spacing w:after="0" w:line="249" w:lineRule="auto"/>
        <w:tabs>
          <w:tab w:leader="none" w:pos="855"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40" w:right="40" w:hanging="395"/>
        <w:spacing w:after="0" w:line="249" w:lineRule="auto"/>
        <w:tabs>
          <w:tab w:leader="none" w:pos="845"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40" w:right="340" w:hanging="395"/>
        <w:spacing w:after="0" w:line="249" w:lineRule="auto"/>
        <w:tabs>
          <w:tab w:leader="none" w:pos="855"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40" w:right="200" w:hanging="394"/>
        <w:spacing w:after="0" w:line="249" w:lineRule="auto"/>
        <w:tabs>
          <w:tab w:leader="none" w:pos="38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40" w:right="220" w:hanging="395"/>
        <w:spacing w:after="0" w:line="281" w:lineRule="auto"/>
        <w:tabs>
          <w:tab w:leader="none" w:pos="845"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7"/>
          <w:szCs w:val="17"/>
          <w:color w:val="auto"/>
        </w:rPr>
      </w:pPr>
    </w:p>
    <w:p>
      <w:pPr>
        <w:ind w:left="840" w:right="460" w:hanging="395"/>
        <w:spacing w:after="0" w:line="252" w:lineRule="auto"/>
        <w:tabs>
          <w:tab w:leader="none" w:pos="84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780"/>
        <w:spacing w:after="0"/>
        <w:tabs>
          <w:tab w:leader="none" w:pos="814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4445</wp:posOffset>
            </wp:positionV>
            <wp:extent cx="32588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jc w:val="center"/>
        <w:ind w:left="6080"/>
        <w:spacing w:after="0"/>
        <w:rPr>
          <w:sz w:val="20"/>
          <w:szCs w:val="20"/>
          <w:color w:val="auto"/>
        </w:rPr>
      </w:pPr>
      <w:r>
        <w:rPr>
          <w:rFonts w:ascii="Arial" w:cs="Arial" w:eastAsia="Arial" w:hAnsi="Arial"/>
          <w:sz w:val="16"/>
          <w:szCs w:val="16"/>
          <w:b w:val="1"/>
          <w:bCs w:val="1"/>
          <w:color w:val="auto"/>
        </w:rPr>
        <w:t>Owen D. Thomas</w:t>
      </w:r>
    </w:p>
    <w:p>
      <w:pPr>
        <w:jc w:val="center"/>
        <w:ind w:left="6080"/>
        <w:spacing w:after="0" w:line="208" w:lineRule="auto"/>
        <w:rPr>
          <w:sz w:val="20"/>
          <w:szCs w:val="20"/>
          <w:color w:val="auto"/>
        </w:rPr>
      </w:pPr>
      <w:r>
        <w:rPr>
          <w:rFonts w:ascii="Arial" w:cs="Arial" w:eastAsia="Arial" w:hAnsi="Arial"/>
          <w:sz w:val="16"/>
          <w:szCs w:val="16"/>
          <w:b w:val="1"/>
          <w:bCs w:val="1"/>
          <w:color w:val="auto"/>
        </w:rPr>
        <w:t>Chief Executive Officer of Boston Properties, Inc.</w:t>
      </w:r>
    </w:p>
    <w:p>
      <w:pPr>
        <w:jc w:val="center"/>
        <w:ind w:left="608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1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86" w:lineRule="exact"/>
        <w:rPr>
          <w:sz w:val="20"/>
          <w:szCs w:val="20"/>
          <w:color w:val="auto"/>
        </w:rPr>
      </w:pPr>
    </w:p>
    <w:p>
      <w:pPr>
        <w:ind w:left="400" w:hanging="354"/>
        <w:spacing w:after="0"/>
        <w:tabs>
          <w:tab w:leader="none" w:pos="4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 have reviewed this Quarterly Report on Form </w:t>
      </w:r>
      <w:r>
        <w:rPr>
          <w:rFonts w:ascii="Arial" w:cs="Arial" w:eastAsia="Arial" w:hAnsi="Arial"/>
          <w:sz w:val="15"/>
          <w:szCs w:val="15"/>
          <w:color w:val="auto"/>
        </w:rPr>
        <w:t>10-Q</w:t>
      </w:r>
      <w:r>
        <w:rPr>
          <w:rFonts w:ascii="Arial" w:cs="Arial" w:eastAsia="Arial" w:hAnsi="Arial"/>
          <w:sz w:val="18"/>
          <w:szCs w:val="18"/>
          <w:color w:val="auto"/>
        </w:rPr>
        <w:t xml:space="preserve"> of Boston Properties Limited Partnership;</w:t>
      </w:r>
    </w:p>
    <w:p>
      <w:pPr>
        <w:spacing w:after="0" w:line="85" w:lineRule="exact"/>
        <w:rPr>
          <w:rFonts w:ascii="Arial" w:cs="Arial" w:eastAsia="Arial" w:hAnsi="Arial"/>
          <w:sz w:val="18"/>
          <w:szCs w:val="18"/>
          <w:color w:val="auto"/>
        </w:rPr>
      </w:pPr>
    </w:p>
    <w:p>
      <w:pPr>
        <w:ind w:left="440" w:right="180" w:hanging="394"/>
        <w:spacing w:after="0" w:line="249" w:lineRule="auto"/>
        <w:tabs>
          <w:tab w:leader="none" w:pos="386"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40" w:right="220" w:hanging="394"/>
        <w:spacing w:after="0" w:line="281" w:lineRule="auto"/>
        <w:tabs>
          <w:tab w:leader="none" w:pos="386"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7"/>
          <w:szCs w:val="17"/>
          <w:color w:val="auto"/>
        </w:rPr>
      </w:pPr>
    </w:p>
    <w:p>
      <w:pPr>
        <w:ind w:left="440" w:right="180" w:hanging="394"/>
        <w:spacing w:after="0" w:line="261" w:lineRule="auto"/>
        <w:tabs>
          <w:tab w:leader="none" w:pos="383"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85" w:lineRule="exact"/>
        <w:rPr>
          <w:rFonts w:ascii="Arial" w:cs="Arial" w:eastAsia="Arial" w:hAnsi="Arial"/>
          <w:sz w:val="17"/>
          <w:szCs w:val="17"/>
          <w:color w:val="auto"/>
        </w:rPr>
      </w:pPr>
    </w:p>
    <w:p>
      <w:pPr>
        <w:ind w:left="840" w:right="40" w:hanging="395"/>
        <w:spacing w:after="0" w:line="249" w:lineRule="auto"/>
        <w:tabs>
          <w:tab w:leader="none" w:pos="855"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40" w:right="80" w:hanging="395"/>
        <w:spacing w:after="0" w:line="249" w:lineRule="auto"/>
        <w:tabs>
          <w:tab w:leader="none" w:pos="855"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40" w:right="40" w:hanging="395"/>
        <w:spacing w:after="0" w:line="249" w:lineRule="auto"/>
        <w:tabs>
          <w:tab w:leader="none" w:pos="845" w:val="left"/>
        </w:tabs>
        <w:numPr>
          <w:ilvl w:val="1"/>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40" w:right="340" w:hanging="395"/>
        <w:spacing w:after="0" w:line="249" w:lineRule="auto"/>
        <w:tabs>
          <w:tab w:leader="none" w:pos="855"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40" w:right="200" w:hanging="394"/>
        <w:spacing w:after="0" w:line="249" w:lineRule="auto"/>
        <w:tabs>
          <w:tab w:leader="none" w:pos="3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40" w:right="220" w:hanging="395"/>
        <w:spacing w:after="0" w:line="281" w:lineRule="auto"/>
        <w:tabs>
          <w:tab w:leader="none" w:pos="845"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7"/>
          <w:szCs w:val="17"/>
          <w:color w:val="auto"/>
        </w:rPr>
      </w:pPr>
    </w:p>
    <w:p>
      <w:pPr>
        <w:ind w:left="840" w:right="460" w:hanging="395"/>
        <w:spacing w:after="0" w:line="252" w:lineRule="auto"/>
        <w:tabs>
          <w:tab w:leader="none" w:pos="845"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4445</wp:posOffset>
            </wp:positionV>
            <wp:extent cx="32169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216910" cy="8255"/>
                    </a:xfrm>
                    <a:prstGeom prst="rect">
                      <a:avLst/>
                    </a:prstGeom>
                    <a:noFill/>
                  </pic:spPr>
                </pic:pic>
              </a:graphicData>
            </a:graphic>
          </wp:anchor>
        </w:drawing>
      </w:r>
    </w:p>
    <w:p>
      <w:pPr>
        <w:jc w:val="center"/>
        <w:ind w:left="6160"/>
        <w:spacing w:after="0"/>
        <w:rPr>
          <w:sz w:val="20"/>
          <w:szCs w:val="20"/>
          <w:color w:val="auto"/>
        </w:rPr>
      </w:pPr>
      <w:r>
        <w:rPr>
          <w:rFonts w:ascii="Arial" w:cs="Arial" w:eastAsia="Arial" w:hAnsi="Arial"/>
          <w:sz w:val="16"/>
          <w:szCs w:val="16"/>
          <w:b w:val="1"/>
          <w:bCs w:val="1"/>
          <w:color w:val="auto"/>
        </w:rPr>
        <w:t>Michael E. LaBelle</w:t>
      </w:r>
    </w:p>
    <w:p>
      <w:pPr>
        <w:jc w:val="center"/>
        <w:ind w:left="6160"/>
        <w:spacing w:after="0" w:line="208" w:lineRule="auto"/>
        <w:rPr>
          <w:sz w:val="20"/>
          <w:szCs w:val="20"/>
          <w:color w:val="auto"/>
        </w:rPr>
      </w:pPr>
      <w:r>
        <w:rPr>
          <w:rFonts w:ascii="Arial" w:cs="Arial" w:eastAsia="Arial" w:hAnsi="Arial"/>
          <w:sz w:val="16"/>
          <w:szCs w:val="16"/>
          <w:b w:val="1"/>
          <w:bCs w:val="1"/>
          <w:color w:val="auto"/>
        </w:rPr>
        <w:t>Chief Financial Officer of Boston Properties, Inc.</w:t>
      </w:r>
    </w:p>
    <w:p>
      <w:pPr>
        <w:jc w:val="center"/>
        <w:ind w:left="616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1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6"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 xml:space="preserve">The undersigned officer of Boston Properties, Inc. (the “Company”) hereby certifies to his knowledge that the Company’s Quarterly Report on Form </w:t>
      </w:r>
      <w:r>
        <w:rPr>
          <w:rFonts w:ascii="Arial" w:cs="Arial" w:eastAsia="Arial" w:hAnsi="Arial"/>
          <w:sz w:val="15"/>
          <w:szCs w:val="15"/>
          <w:color w:val="auto"/>
        </w:rPr>
        <w:t>10-Q</w:t>
      </w:r>
      <w:r>
        <w:rPr>
          <w:rFonts w:ascii="Arial" w:cs="Arial" w:eastAsia="Arial" w:hAnsi="Arial"/>
          <w:sz w:val="18"/>
          <w:szCs w:val="18"/>
          <w:color w:val="auto"/>
        </w:rPr>
        <w:t xml:space="preserve"> for the period ended June 30, 2021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040"/>
        <w:spacing w:after="0"/>
        <w:tabs>
          <w:tab w:leader="none" w:pos="840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4445</wp:posOffset>
            </wp:positionV>
            <wp:extent cx="27774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2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353"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6" w:lineRule="exact"/>
        <w:rPr>
          <w:sz w:val="20"/>
          <w:szCs w:val="20"/>
          <w:color w:val="auto"/>
        </w:rPr>
      </w:pPr>
    </w:p>
    <w:p>
      <w:pPr>
        <w:ind w:firstLine="439"/>
        <w:spacing w:after="0" w:line="247" w:lineRule="auto"/>
        <w:rPr>
          <w:sz w:val="20"/>
          <w:szCs w:val="20"/>
          <w:color w:val="auto"/>
        </w:rPr>
      </w:pPr>
      <w:r>
        <w:rPr>
          <w:rFonts w:ascii="Arial" w:cs="Arial" w:eastAsia="Arial" w:hAnsi="Arial"/>
          <w:sz w:val="18"/>
          <w:szCs w:val="18"/>
          <w:color w:val="auto"/>
        </w:rPr>
        <w:t xml:space="preserve">The undersigned officer of Boston Properties, Inc. (the “Company”) hereby certifies to his knowledge that the Company's Quarterly Report on Form </w:t>
      </w:r>
      <w:r>
        <w:rPr>
          <w:rFonts w:ascii="Arial" w:cs="Arial" w:eastAsia="Arial" w:hAnsi="Arial"/>
          <w:sz w:val="15"/>
          <w:szCs w:val="15"/>
          <w:color w:val="auto"/>
        </w:rPr>
        <w:t>10-Q</w:t>
      </w:r>
      <w:r>
        <w:rPr>
          <w:rFonts w:ascii="Arial" w:cs="Arial" w:eastAsia="Arial" w:hAnsi="Arial"/>
          <w:sz w:val="18"/>
          <w:szCs w:val="18"/>
          <w:color w:val="auto"/>
        </w:rPr>
        <w:t xml:space="preserve"> for the period ended June 30, 2021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00"/>
        <w:spacing w:after="0"/>
        <w:tabs>
          <w:tab w:leader="none" w:pos="836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4445</wp:posOffset>
            </wp:positionV>
            <wp:extent cx="27774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2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353"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6" w:lineRule="exact"/>
        <w:rPr>
          <w:sz w:val="20"/>
          <w:szCs w:val="20"/>
          <w:color w:val="auto"/>
        </w:rPr>
      </w:pPr>
    </w:p>
    <w:p>
      <w:pPr>
        <w:ind w:right="60" w:firstLine="439"/>
        <w:spacing w:after="0" w:line="247" w:lineRule="auto"/>
        <w:rPr>
          <w:sz w:val="20"/>
          <w:szCs w:val="20"/>
          <w:color w:val="auto"/>
        </w:rPr>
      </w:pPr>
      <w:r>
        <w:rPr>
          <w:rFonts w:ascii="Arial" w:cs="Arial" w:eastAsia="Arial" w:hAnsi="Arial"/>
          <w:sz w:val="18"/>
          <w:szCs w:val="18"/>
          <w:color w:val="auto"/>
        </w:rPr>
        <w:t xml:space="preserve">The undersigned officer of Boston Properties, Inc., the sole general partner of Boston Properties Limited Partnership (the “Operating Partnership”), hereby certifies to his knowledge that the Operating Partnership's Quarterly Report on Form </w:t>
      </w:r>
      <w:r>
        <w:rPr>
          <w:rFonts w:ascii="Arial" w:cs="Arial" w:eastAsia="Arial" w:hAnsi="Arial"/>
          <w:sz w:val="15"/>
          <w:szCs w:val="15"/>
          <w:color w:val="auto"/>
        </w:rPr>
        <w:t>10-Q</w:t>
      </w:r>
      <w:r>
        <w:rPr>
          <w:rFonts w:ascii="Arial" w:cs="Arial" w:eastAsia="Arial" w:hAnsi="Arial"/>
          <w:sz w:val="18"/>
          <w:szCs w:val="18"/>
          <w:color w:val="auto"/>
        </w:rPr>
        <w:t xml:space="preserve"> for the period ended June 30, 2021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60"/>
        <w:spacing w:after="0"/>
        <w:tabs>
          <w:tab w:leader="none" w:pos="802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4445</wp:posOffset>
            </wp:positionV>
            <wp:extent cx="32588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jc w:val="center"/>
        <w:ind w:left="6080"/>
        <w:spacing w:after="0"/>
        <w:rPr>
          <w:sz w:val="20"/>
          <w:szCs w:val="20"/>
          <w:color w:val="auto"/>
        </w:rPr>
      </w:pPr>
      <w:r>
        <w:rPr>
          <w:rFonts w:ascii="Arial" w:cs="Arial" w:eastAsia="Arial" w:hAnsi="Arial"/>
          <w:sz w:val="16"/>
          <w:szCs w:val="16"/>
          <w:b w:val="1"/>
          <w:bCs w:val="1"/>
          <w:color w:val="auto"/>
        </w:rPr>
        <w:t>Owen D. Thomas</w:t>
      </w:r>
    </w:p>
    <w:p>
      <w:pPr>
        <w:jc w:val="center"/>
        <w:ind w:left="6080"/>
        <w:spacing w:after="0" w:line="208" w:lineRule="auto"/>
        <w:rPr>
          <w:sz w:val="20"/>
          <w:szCs w:val="20"/>
          <w:color w:val="auto"/>
        </w:rPr>
      </w:pPr>
      <w:r>
        <w:rPr>
          <w:rFonts w:ascii="Arial" w:cs="Arial" w:eastAsia="Arial" w:hAnsi="Arial"/>
          <w:sz w:val="16"/>
          <w:szCs w:val="16"/>
          <w:b w:val="1"/>
          <w:bCs w:val="1"/>
          <w:color w:val="auto"/>
        </w:rPr>
        <w:t>Chief Executive Officer of Boston Properties, Inc.</w:t>
      </w:r>
    </w:p>
    <w:p>
      <w:pPr>
        <w:jc w:val="center"/>
        <w:ind w:left="608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287"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6" w:lineRule="exact"/>
        <w:rPr>
          <w:sz w:val="20"/>
          <w:szCs w:val="20"/>
          <w:color w:val="auto"/>
        </w:rPr>
      </w:pPr>
    </w:p>
    <w:p>
      <w:pPr>
        <w:ind w:right="60" w:firstLine="439"/>
        <w:spacing w:after="0" w:line="247" w:lineRule="auto"/>
        <w:rPr>
          <w:sz w:val="20"/>
          <w:szCs w:val="20"/>
          <w:color w:val="auto"/>
        </w:rPr>
      </w:pPr>
      <w:r>
        <w:rPr>
          <w:rFonts w:ascii="Arial" w:cs="Arial" w:eastAsia="Arial" w:hAnsi="Arial"/>
          <w:sz w:val="18"/>
          <w:szCs w:val="18"/>
          <w:color w:val="auto"/>
        </w:rPr>
        <w:t xml:space="preserve">The undersigned officer of Boston Properties, Inc., the sole general partner of Boston Properties Limited Partnership (the “Operating Partnership”), hereby certifies to his knowledge that the Operating Partnership’s Quarterly Report on Form </w:t>
      </w:r>
      <w:r>
        <w:rPr>
          <w:rFonts w:ascii="Arial" w:cs="Arial" w:eastAsia="Arial" w:hAnsi="Arial"/>
          <w:sz w:val="15"/>
          <w:szCs w:val="15"/>
          <w:color w:val="auto"/>
        </w:rPr>
        <w:t>10-Q</w:t>
      </w:r>
      <w:r>
        <w:rPr>
          <w:rFonts w:ascii="Arial" w:cs="Arial" w:eastAsia="Arial" w:hAnsi="Arial"/>
          <w:sz w:val="18"/>
          <w:szCs w:val="18"/>
          <w:color w:val="auto"/>
        </w:rPr>
        <w:t xml:space="preserve"> for the period ended June 30, 2021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20"/>
        <w:spacing w:after="0"/>
        <w:tabs>
          <w:tab w:leader="none" w:pos="798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4445</wp:posOffset>
            </wp:positionV>
            <wp:extent cx="32588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jc w:val="center"/>
        <w:ind w:left="6080"/>
        <w:spacing w:after="0"/>
        <w:rPr>
          <w:sz w:val="20"/>
          <w:szCs w:val="20"/>
          <w:color w:val="auto"/>
        </w:rPr>
      </w:pPr>
      <w:r>
        <w:rPr>
          <w:rFonts w:ascii="Arial" w:cs="Arial" w:eastAsia="Arial" w:hAnsi="Arial"/>
          <w:sz w:val="16"/>
          <w:szCs w:val="16"/>
          <w:b w:val="1"/>
          <w:bCs w:val="1"/>
          <w:color w:val="auto"/>
        </w:rPr>
        <w:t>Michael E. LaBelle</w:t>
      </w:r>
    </w:p>
    <w:p>
      <w:pPr>
        <w:jc w:val="center"/>
        <w:ind w:left="6080"/>
        <w:spacing w:after="0" w:line="208" w:lineRule="auto"/>
        <w:rPr>
          <w:sz w:val="20"/>
          <w:szCs w:val="20"/>
          <w:color w:val="auto"/>
        </w:rPr>
      </w:pPr>
      <w:r>
        <w:rPr>
          <w:rFonts w:ascii="Arial" w:cs="Arial" w:eastAsia="Arial" w:hAnsi="Arial"/>
          <w:sz w:val="16"/>
          <w:szCs w:val="16"/>
          <w:b w:val="1"/>
          <w:bCs w:val="1"/>
          <w:color w:val="auto"/>
        </w:rPr>
        <w:t>Chief Financial Officer of Boston Properties, Inc.</w:t>
      </w:r>
    </w:p>
    <w:p>
      <w:pPr>
        <w:jc w:val="center"/>
        <w:ind w:left="6080"/>
        <w:spacing w:after="0"/>
        <w:rPr>
          <w:sz w:val="20"/>
          <w:szCs w:val="20"/>
          <w:color w:val="auto"/>
        </w:rPr>
      </w:pPr>
      <w:r>
        <w:rPr>
          <w:rFonts w:ascii="Arial" w:cs="Arial" w:eastAsia="Arial" w:hAnsi="Arial"/>
          <w:sz w:val="16"/>
          <w:szCs w:val="16"/>
          <w:b w:val="1"/>
          <w:bCs w:val="1"/>
          <w:color w:val="auto"/>
        </w:rPr>
        <w:t>General Partner of Boston Properties Limited Partnership</w:t>
      </w:r>
    </w:p>
    <w:sectPr>
      <w:pgSz w:w="11900" w:h="16838" w:orient="portrait"/>
      <w:cols w:equalWidth="0" w:num="1">
        <w:col w:w="11240"/>
      </w:cols>
      <w:pgMar w:left="320" w:top="12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lvl w:ilvl="1">
      <w:lvlJc w:val="left"/>
      <w:lvlText w:val="•"/>
      <w:numFmt w:val="bullet"/>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1)"/>
      <w:numFmt w:val="decimal"/>
      <w:start w:val="1"/>
    </w:lvl>
  </w:abstractNum>
  <w:abstractNum w:abstractNumId="9">
    <w:nsid w:val="1BA026FA"/>
    <w:multiLevelType w:val="hybridMultilevel"/>
    <w:lvl w:ilvl="0">
      <w:lvlJc w:val="left"/>
      <w:lvlText w:val="(%1)"/>
      <w:numFmt w:val="decimal"/>
      <w:start w:val="1"/>
    </w:lvl>
  </w:abstractNum>
  <w:abstractNum w:abstractNumId="10">
    <w:nsid w:val="79A1DEAA"/>
    <w:multiLevelType w:val="hybridMultilevel"/>
    <w:lvl w:ilvl="0">
      <w:lvlJc w:val="left"/>
      <w:lvlText w:val="(%1)"/>
      <w:numFmt w:val="decimal"/>
      <w:start w:val="1"/>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1)"/>
      <w:numFmt w:val="decimal"/>
      <w:start w:val="1"/>
    </w:lvl>
  </w:abstractNum>
  <w:abstractNum w:abstractNumId="13">
    <w:nsid w:val="70C6A529"/>
    <w:multiLevelType w:val="hybridMultilevel"/>
    <w:lvl w:ilvl="0">
      <w:lvlJc w:val="left"/>
      <w:lvlText w:val="(%1)"/>
      <w:numFmt w:val="decimal"/>
      <w:start w:val="4"/>
    </w:lvl>
  </w:abstractNum>
  <w:abstractNum w:abstractNumId="14">
    <w:nsid w:val="520EEDD1"/>
    <w:multiLevelType w:val="hybridMultilevel"/>
    <w:lvl w:ilvl="0">
      <w:lvlJc w:val="left"/>
      <w:lvlText w:val="(%1)"/>
      <w:numFmt w:val="decimal"/>
      <w:start w:val="1"/>
    </w:lvl>
  </w:abstractNum>
  <w:abstractNum w:abstractNumId="15">
    <w:nsid w:val="374A3FE6"/>
    <w:multiLevelType w:val="hybridMultilevel"/>
    <w:lvl w:ilvl="0">
      <w:lvlJc w:val="left"/>
      <w:lvlText w:val="(%1)"/>
      <w:numFmt w:val="decimal"/>
      <w:start w:val="1"/>
    </w:lvl>
  </w:abstractNum>
  <w:abstractNum w:abstractNumId="16">
    <w:nsid w:val="4F4EF005"/>
    <w:multiLevelType w:val="hybridMultilevel"/>
    <w:lvl w:ilvl="0">
      <w:lvlJc w:val="left"/>
      <w:lvlText w:val="(%1)"/>
      <w:numFmt w:val="lowerLetter"/>
      <w:start w:val="1"/>
    </w:lvl>
  </w:abstractNum>
  <w:abstractNum w:abstractNumId="17">
    <w:nsid w:val="23F9C13C"/>
    <w:multiLevelType w:val="hybridMultilevel"/>
    <w:lvl w:ilvl="0">
      <w:lvlJc w:val="left"/>
      <w:lvlText w:val="(%1)"/>
      <w:numFmt w:val="lowerLetter"/>
      <w:start w:val="4"/>
    </w:lvl>
  </w:abstractNum>
  <w:abstractNum w:abstractNumId="18">
    <w:nsid w:val="649BB77C"/>
    <w:multiLevelType w:val="hybridMultilevel"/>
    <w:lvl w:ilvl="0">
      <w:lvlJc w:val="left"/>
      <w:lvlText w:val="%1."/>
      <w:numFmt w:val="decimal"/>
      <w:start w:val="9"/>
    </w:lvl>
  </w:abstractNum>
  <w:abstractNum w:abstractNumId="19">
    <w:nsid w:val="275AC794"/>
    <w:multiLevelType w:val="hybridMultilevel"/>
    <w:lvl w:ilvl="0">
      <w:lvlJc w:val="left"/>
      <w:lvlText w:val="(%1)"/>
      <w:numFmt w:val="decimal"/>
      <w:start w:val="1"/>
    </w:lvl>
  </w:abstractNum>
  <w:abstractNum w:abstractNumId="20">
    <w:nsid w:val="39386575"/>
    <w:multiLevelType w:val="hybridMultilevel"/>
    <w:lvl w:ilvl="0">
      <w:lvlJc w:val="left"/>
      <w:lvlText w:val="(%1)"/>
      <w:numFmt w:val="decimal"/>
      <w:start w:val="1"/>
    </w:lvl>
  </w:abstractNum>
  <w:abstractNum w:abstractNumId="21">
    <w:nsid w:val="1CF10FD8"/>
    <w:multiLevelType w:val="hybridMultilevel"/>
    <w:lvl w:ilvl="0">
      <w:lvlJc w:val="left"/>
      <w:lvlText w:val="(%1)"/>
      <w:numFmt w:val="decimal"/>
      <w:start w:val="1"/>
    </w:lvl>
  </w:abstractNum>
  <w:abstractNum w:abstractNumId="22">
    <w:nsid w:val="180115BE"/>
    <w:multiLevelType w:val="hybridMultilevel"/>
    <w:lvl w:ilvl="0">
      <w:lvlJc w:val="left"/>
      <w:lvlText w:val="%1"/>
      <w:numFmt w:val="decimal"/>
      <w:start w:val="1"/>
    </w:lvl>
    <w:lvl w:ilvl="1">
      <w:lvlJc w:val="left"/>
      <w:lvlText w:val="(%2)"/>
      <w:numFmt w:val="decimal"/>
      <w:start w:val="1"/>
    </w:lvl>
  </w:abstractNum>
  <w:abstractNum w:abstractNumId="23">
    <w:nsid w:val="235BA861"/>
    <w:multiLevelType w:val="hybridMultilevel"/>
    <w:lvl w:ilvl="0">
      <w:lvlJc w:val="left"/>
      <w:lvlText w:val="%1."/>
      <w:numFmt w:val="decimal"/>
      <w:start w:val="13"/>
    </w:lvl>
    <w:lvl w:ilvl="1">
      <w:lvlJc w:val="left"/>
      <w:lvlText w:val="%2"/>
      <w:numFmt w:val="decimal"/>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1)"/>
      <w:numFmt w:val="decimal"/>
      <w:start w:val="8"/>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1)"/>
      <w:numFmt w:val="decimal"/>
      <w:start w:val="1"/>
    </w:lvl>
  </w:abstractNum>
  <w:abstractNum w:abstractNumId="45">
    <w:nsid w:val="6590700B"/>
    <w:multiLevelType w:val="hybridMultilevel"/>
    <w:lvl w:ilvl="0">
      <w:lvlJc w:val="left"/>
      <w:lvlText w:val="(%1)"/>
      <w:numFmt w:val="decimal"/>
      <w:start w:val="1"/>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1"/>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1)"/>
      <w:numFmt w:val="decimal"/>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decimal"/>
      <w:start w:val="1"/>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1)"/>
      <w:numFmt w:val="decimal"/>
      <w:start w:val="1"/>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1)"/>
      <w:numFmt w:val="decimal"/>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decimal"/>
      <w:start w:val="2"/>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decimal"/>
      <w:start w:val="1"/>
    </w:lvl>
    <w:lvl w:ilvl="1">
      <w:lvlJc w:val="left"/>
      <w:lvlText w:val="(%2)"/>
      <w:numFmt w:val="lowerRoman"/>
      <w:start w:val="1"/>
    </w:lvl>
  </w:abstractNum>
  <w:abstractNum w:abstractNumId="73">
    <w:nsid w:val="1A27709E"/>
    <w:multiLevelType w:val="hybridMultilevel"/>
    <w:lvl w:ilvl="0">
      <w:lvlJc w:val="left"/>
      <w:lvlText w:val="(%1)"/>
      <w:numFmt w:val="decimal"/>
      <w:start w:val="1"/>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1)"/>
      <w:numFmt w:val="decimal"/>
      <w:start w:val="1"/>
    </w:lvl>
  </w:abstractNum>
  <w:abstractNum w:abstractNumId="76">
    <w:nsid w:val="7FB7E0AA"/>
    <w:multiLevelType w:val="hybridMultilevel"/>
    <w:lvl w:ilvl="0">
      <w:lvlJc w:val="left"/>
      <w:lvlText w:val="(%1)"/>
      <w:numFmt w:val="decimal"/>
      <w:start w:val="8"/>
    </w:lvl>
  </w:abstractNum>
  <w:abstractNum w:abstractNumId="77">
    <w:nsid w:val="6EB5BD4"/>
    <w:multiLevelType w:val="hybridMultilevel"/>
    <w:lvl w:ilvl="0">
      <w:lvlJc w:val="left"/>
      <w:lvlText w:val="(%1)"/>
      <w:numFmt w:val="decimal"/>
      <w:start w:val="1"/>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lowerLetter"/>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1)"/>
      <w:numFmt w:val="lowerLetter"/>
      <w:start w:val="1"/>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lowerLetter"/>
      <w:start w:val="1"/>
    </w:lvl>
  </w:abstractNum>
  <w:abstractNum w:abstractNumId="85">
    <w:nsid w:val="3222E7CD"/>
    <w:multiLevelType w:val="hybridMultilevel"/>
    <w:lvl w:ilvl="0">
      <w:lvlJc w:val="left"/>
      <w:lvlText w:val="%1"/>
      <w:numFmt w:val="decimal"/>
      <w:start w:val="104"/>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1."/>
      <w:numFmt w:val="decimal"/>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45" Type="http://schemas.openxmlformats.org/officeDocument/2006/relationships/hyperlink" Target="http://www.sec.gov/Archives/edgar/data/1037540/000165642321000017/exhibit101.htm" TargetMode="External"/><Relationship Id="rId146" Type="http://schemas.openxmlformats.org/officeDocument/2006/relationships/hyperlink" Target="http://www.sec.gov/Archives/edgar/data/1037540/000119312521192092/d5200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2021-08-06T11:43:35Z</dcterms:created>
  <dcterms:modified xsi:type="dcterms:W3CDTF">2021-08-06T11:43:35Z</dcterms:modified>
</cp:coreProperties>
</file>